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 w:lineRule="exact"/>
        <w:rPr>
          <w:sz w:val="24"/>
          <w:szCs w:val="24"/>
          <w:color w:val="auto"/>
        </w:rPr>
      </w:pPr>
    </w:p>
    <w:p>
      <w:pPr>
        <w:ind w:left="1140" w:right="80" w:hanging="794"/>
        <w:spacing w:after="0" w:line="238"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9" w:lineRule="exact"/>
        <w:rPr>
          <w:sz w:val="24"/>
          <w:szCs w:val="24"/>
          <w:color w:val="auto"/>
        </w:rPr>
      </w:pPr>
    </w:p>
    <w:p>
      <w:pPr>
        <w:ind w:left="1140" w:right="80" w:hanging="794"/>
        <w:spacing w:after="0" w:line="261" w:lineRule="auto"/>
        <w:tabs>
          <w:tab w:leader="none" w:pos="11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 w:lineRule="exact"/>
        <w:rPr>
          <w:sz w:val="24"/>
          <w:szCs w:val="24"/>
          <w:color w:val="auto"/>
        </w:rPr>
      </w:pPr>
    </w:p>
    <w:p>
      <w:pPr>
        <w:ind w:left="362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1-16483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52070</wp:posOffset>
            </wp:positionV>
            <wp:extent cx="1029335"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743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41"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4780" w:type="dxa"/>
            <w:vAlign w:val="bottom"/>
          </w:tcPr>
          <w:p>
            <w:pPr>
              <w:jc w:val="center"/>
              <w:ind w:right="1692"/>
              <w:spacing w:after="0"/>
              <w:rPr>
                <w:sz w:val="20"/>
                <w:szCs w:val="20"/>
                <w:color w:val="auto"/>
              </w:rPr>
            </w:pPr>
            <w:r>
              <w:rPr>
                <w:rFonts w:ascii="Arial" w:cs="Arial" w:eastAsia="Arial" w:hAnsi="Arial"/>
                <w:sz w:val="18"/>
                <w:szCs w:val="18"/>
                <w:b w:val="1"/>
                <w:bCs w:val="1"/>
                <w:color w:val="auto"/>
                <w:w w:val="96"/>
              </w:rPr>
              <w:t>Virginia</w:t>
            </w:r>
          </w:p>
        </w:tc>
        <w:tc>
          <w:tcPr>
            <w:tcW w:w="3160" w:type="dxa"/>
            <w:vAlign w:val="bottom"/>
          </w:tcPr>
          <w:p>
            <w:pPr>
              <w:jc w:val="right"/>
              <w:ind w:right="132"/>
              <w:spacing w:after="0"/>
              <w:rPr>
                <w:sz w:val="20"/>
                <w:szCs w:val="20"/>
                <w:color w:val="auto"/>
              </w:rPr>
            </w:pPr>
            <w:r>
              <w:rPr>
                <w:rFonts w:ascii="Arial" w:cs="Arial" w:eastAsia="Arial" w:hAnsi="Arial"/>
                <w:sz w:val="18"/>
                <w:szCs w:val="18"/>
                <w:b w:val="1"/>
                <w:bCs w:val="1"/>
                <w:color w:val="auto"/>
              </w:rPr>
              <w:t>52-2284372</w:t>
            </w:r>
          </w:p>
        </w:tc>
      </w:tr>
      <w:tr>
        <w:trPr>
          <w:trHeight w:val="203"/>
        </w:trPr>
        <w:tc>
          <w:tcPr>
            <w:tcW w:w="4780" w:type="dxa"/>
            <w:vAlign w:val="bottom"/>
          </w:tcPr>
          <w:p>
            <w:pPr>
              <w:jc w:val="center"/>
              <w:ind w:right="1712"/>
              <w:spacing w:after="0" w:line="202" w:lineRule="exact"/>
              <w:rPr>
                <w:sz w:val="20"/>
                <w:szCs w:val="20"/>
                <w:color w:val="auto"/>
              </w:rPr>
            </w:pPr>
            <w:r>
              <w:rPr>
                <w:rFonts w:ascii="Arial" w:cs="Arial" w:eastAsia="Arial" w:hAnsi="Arial"/>
                <w:sz w:val="18"/>
                <w:szCs w:val="18"/>
                <w:color w:val="auto"/>
                <w:w w:val="96"/>
              </w:rPr>
              <w:t>(State or other jurisdiction of</w:t>
            </w:r>
          </w:p>
        </w:tc>
        <w:tc>
          <w:tcPr>
            <w:tcW w:w="3160" w:type="dxa"/>
            <w:vAlign w:val="bottom"/>
          </w:tcPr>
          <w:p>
            <w:pPr>
              <w:jc w:val="center"/>
              <w:ind w:left="1692"/>
              <w:spacing w:after="0" w:line="202" w:lineRule="exact"/>
              <w:rPr>
                <w:sz w:val="20"/>
                <w:szCs w:val="20"/>
                <w:color w:val="auto"/>
              </w:rPr>
            </w:pPr>
            <w:r>
              <w:rPr>
                <w:rFonts w:ascii="Arial" w:cs="Arial" w:eastAsia="Arial" w:hAnsi="Arial"/>
                <w:sz w:val="18"/>
                <w:szCs w:val="18"/>
                <w:color w:val="auto"/>
                <w:w w:val="98"/>
              </w:rPr>
              <w:t>(I.R.S. Employer</w:t>
            </w:r>
          </w:p>
        </w:tc>
      </w:tr>
      <w:tr>
        <w:trPr>
          <w:trHeight w:val="211"/>
        </w:trPr>
        <w:tc>
          <w:tcPr>
            <w:tcW w:w="4780" w:type="dxa"/>
            <w:vAlign w:val="bottom"/>
          </w:tcPr>
          <w:p>
            <w:pPr>
              <w:jc w:val="center"/>
              <w:ind w:right="1712"/>
              <w:spacing w:after="0"/>
              <w:rPr>
                <w:sz w:val="20"/>
                <w:szCs w:val="20"/>
                <w:color w:val="auto"/>
              </w:rPr>
            </w:pPr>
            <w:r>
              <w:rPr>
                <w:rFonts w:ascii="Arial" w:cs="Arial" w:eastAsia="Arial" w:hAnsi="Arial"/>
                <w:sz w:val="18"/>
                <w:szCs w:val="18"/>
                <w:color w:val="auto"/>
                <w:w w:val="98"/>
              </w:rPr>
              <w:t>incorporation or organization)</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8"/>
              </w:rPr>
              <w:t>Identification No.)</w:t>
            </w:r>
          </w:p>
        </w:tc>
      </w:tr>
      <w:tr>
        <w:trPr>
          <w:trHeight w:val="402"/>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Three Parkway North,</w:t>
            </w:r>
          </w:p>
        </w:tc>
        <w:tc>
          <w:tcPr>
            <w:tcW w:w="3160" w:type="dxa"/>
            <w:vAlign w:val="bottom"/>
          </w:tcPr>
          <w:p>
            <w:pPr>
              <w:spacing w:after="0"/>
              <w:rPr>
                <w:sz w:val="24"/>
                <w:szCs w:val="24"/>
                <w:color w:val="auto"/>
              </w:rPr>
            </w:pPr>
          </w:p>
        </w:tc>
      </w:tr>
      <w:tr>
        <w:trPr>
          <w:trHeight w:val="238"/>
        </w:trPr>
        <w:tc>
          <w:tcPr>
            <w:tcW w:w="4780" w:type="dxa"/>
            <w:vAlign w:val="bottom"/>
          </w:tcPr>
          <w:p>
            <w:pPr>
              <w:jc w:val="center"/>
              <w:ind w:right="1712"/>
              <w:spacing w:after="0"/>
              <w:rPr>
                <w:sz w:val="20"/>
                <w:szCs w:val="20"/>
                <w:color w:val="auto"/>
              </w:rPr>
            </w:pPr>
            <w:r>
              <w:rPr>
                <w:rFonts w:ascii="Arial" w:cs="Arial" w:eastAsia="Arial" w:hAnsi="Arial"/>
                <w:sz w:val="18"/>
                <w:szCs w:val="18"/>
                <w:b w:val="1"/>
                <w:bCs w:val="1"/>
                <w:color w:val="auto"/>
                <w:w w:val="98"/>
              </w:rPr>
              <w:t>Deerfield, Illinois</w:t>
            </w:r>
          </w:p>
        </w:tc>
        <w:tc>
          <w:tcPr>
            <w:tcW w:w="3160" w:type="dxa"/>
            <w:vAlign w:val="bottom"/>
          </w:tcPr>
          <w:p>
            <w:pPr>
              <w:jc w:val="right"/>
              <w:ind w:right="352"/>
              <w:spacing w:after="0"/>
              <w:rPr>
                <w:sz w:val="20"/>
                <w:szCs w:val="20"/>
                <w:color w:val="auto"/>
              </w:rPr>
            </w:pPr>
            <w:r>
              <w:rPr>
                <w:rFonts w:ascii="Arial" w:cs="Arial" w:eastAsia="Arial" w:hAnsi="Arial"/>
                <w:sz w:val="18"/>
                <w:szCs w:val="18"/>
                <w:b w:val="1"/>
                <w:bCs w:val="1"/>
                <w:color w:val="auto"/>
              </w:rPr>
              <w:t>60015</w:t>
            </w:r>
          </w:p>
        </w:tc>
      </w:tr>
      <w:tr>
        <w:trPr>
          <w:trHeight w:val="211"/>
        </w:trPr>
        <w:tc>
          <w:tcPr>
            <w:tcW w:w="4780" w:type="dxa"/>
            <w:vAlign w:val="bottom"/>
          </w:tcPr>
          <w:p>
            <w:pPr>
              <w:jc w:val="center"/>
              <w:ind w:right="1692"/>
              <w:spacing w:after="0"/>
              <w:rPr>
                <w:sz w:val="20"/>
                <w:szCs w:val="20"/>
                <w:color w:val="auto"/>
              </w:rPr>
            </w:pPr>
            <w:r>
              <w:rPr>
                <w:rFonts w:ascii="Arial" w:cs="Arial" w:eastAsia="Arial" w:hAnsi="Arial"/>
                <w:sz w:val="18"/>
                <w:szCs w:val="18"/>
                <w:color w:val="auto"/>
                <w:w w:val="97"/>
              </w:rPr>
              <w:t>(Address of principal executive offices)</w:t>
            </w:r>
          </w:p>
        </w:tc>
        <w:tc>
          <w:tcPr>
            <w:tcW w:w="3160" w:type="dxa"/>
            <w:vAlign w:val="bottom"/>
          </w:tcPr>
          <w:p>
            <w:pPr>
              <w:jc w:val="center"/>
              <w:ind w:left="1692"/>
              <w:spacing w:after="0"/>
              <w:rPr>
                <w:sz w:val="20"/>
                <w:szCs w:val="20"/>
                <w:color w:val="auto"/>
              </w:rPr>
            </w:pPr>
            <w:r>
              <w:rPr>
                <w:rFonts w:ascii="Arial" w:cs="Arial" w:eastAsia="Arial" w:hAnsi="Arial"/>
                <w:sz w:val="18"/>
                <w:szCs w:val="18"/>
                <w:color w:val="auto"/>
                <w:w w:val="96"/>
              </w:rPr>
              <w:t>(Zip Code)</w:t>
            </w:r>
          </w:p>
        </w:tc>
      </w:tr>
    </w:tbl>
    <w:p>
      <w:pPr>
        <w:spacing w:after="0" w:line="24"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943-4000</w:t>
      </w:r>
    </w:p>
    <w:p>
      <w:pPr>
        <w:spacing w:after="0" w:line="50"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50" w:lineRule="exact"/>
        <w:rPr>
          <w:sz w:val="24"/>
          <w:szCs w:val="24"/>
          <w:color w:val="auto"/>
        </w:rPr>
      </w:pPr>
    </w:p>
    <w:p>
      <w:pPr>
        <w:jc w:val="both"/>
        <w:ind w:right="16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100"/>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jc w:val="both"/>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220" w:type="dxa"/>
        <w:tblCellMar>
          <w:top w:w="0" w:type="dxa"/>
          <w:left w:w="0" w:type="dxa"/>
          <w:bottom w:w="0" w:type="dxa"/>
          <w:right w:w="0" w:type="dxa"/>
        </w:tblCellMar>
      </w:tblP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80" w:type="dxa"/>
            <w:vAlign w:val="bottom"/>
          </w:tcPr>
          <w:p>
            <w:pPr>
              <w:ind w:left="5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8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268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right="28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360"/>
        <w:spacing w:after="0" w:line="26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July 28, 2017, there were 1,507,639,931 shares of the registrant’s Class A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Mondelēz International,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302"/>
        </w:trPr>
        <w:tc>
          <w:tcPr>
            <w:tcW w:w="10780" w:type="dxa"/>
            <w:vAlign w:val="bottom"/>
            <w:gridSpan w:val="23"/>
          </w:tcPr>
          <w:p>
            <w:pPr>
              <w:spacing w:after="0"/>
              <w:rPr>
                <w:sz w:val="20"/>
                <w:szCs w:val="20"/>
                <w:color w:val="auto"/>
              </w:rPr>
            </w:pPr>
            <w:r>
              <w:rPr>
                <w:rFonts w:ascii="Arial" w:cs="Arial" w:eastAsia="Arial" w:hAnsi="Arial"/>
                <w:sz w:val="18"/>
                <w:szCs w:val="18"/>
                <w:b w:val="1"/>
                <w:bCs w:val="1"/>
                <w:color w:val="auto"/>
              </w:rPr>
              <w:t>PART I - FINANCIAL INFORMATION</w:t>
            </w:r>
          </w:p>
        </w:tc>
        <w:tc>
          <w:tcPr>
            <w:tcW w:w="580" w:type="dxa"/>
            <w:vAlign w:val="bottom"/>
          </w:tcPr>
          <w:p>
            <w:pPr>
              <w:spacing w:after="0"/>
              <w:rPr>
                <w:sz w:val="24"/>
                <w:szCs w:val="24"/>
                <w:color w:val="auto"/>
              </w:rPr>
            </w:pPr>
          </w:p>
        </w:tc>
      </w:tr>
      <w:tr>
        <w:trPr>
          <w:trHeight w:val="311"/>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sz w:val="20"/>
                <w:szCs w:val="20"/>
                <w:color w:val="auto"/>
              </w:rPr>
            </w:pPr>
            <w:r>
              <w:rPr>
                <w:rFonts w:ascii="Arial" w:cs="Arial" w:eastAsia="Arial" w:hAnsi="Arial"/>
                <w:sz w:val="18"/>
                <w:szCs w:val="18"/>
                <w:color w:val="auto"/>
              </w:rPr>
              <w:t>Financial Statements (Unaudited)</w:t>
            </w:r>
          </w:p>
        </w:tc>
        <w:tc>
          <w:tcPr>
            <w:tcW w:w="580" w:type="dxa"/>
            <w:vAlign w:val="bottom"/>
          </w:tcPr>
          <w:p>
            <w:pPr>
              <w:spacing w:after="0"/>
              <w:rPr>
                <w:sz w:val="24"/>
                <w:szCs w:val="24"/>
                <w:color w:val="auto"/>
              </w:rPr>
            </w:pPr>
          </w:p>
        </w:tc>
      </w:tr>
      <w:tr>
        <w:trPr>
          <w:trHeight w:val="272"/>
        </w:trPr>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Earnings</w:t>
              </w:r>
            </w:hyperlink>
          </w:p>
        </w:tc>
        <w:tc>
          <w:tcPr>
            <w:tcW w:w="580" w:type="dxa"/>
            <w:vAlign w:val="bottom"/>
          </w:tcPr>
          <w:p>
            <w:pPr>
              <w:spacing w:after="0"/>
              <w:rPr>
                <w:sz w:val="23"/>
                <w:szCs w:val="23"/>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60" w:type="dxa"/>
            <w:vAlign w:val="bottom"/>
            <w:gridSpan w:val="20"/>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for the Three and Six Months Ended June 30, 2017 and 2016</w:t>
              </w:r>
            </w:hyperlink>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Earnings</w:t>
              </w:r>
            </w:hyperlink>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900" w:type="dxa"/>
            <w:vAlign w:val="bottom"/>
            <w:tcBorders>
              <w:top w:val="single" w:sz="8" w:color="0000EE"/>
            </w:tcBorders>
            <w:gridSpan w:val="18"/>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Three and Six Months Ended June 30, 2017 and 2016</w:t>
              </w:r>
            </w:hyperlink>
          </w:p>
        </w:tc>
        <w:tc>
          <w:tcPr>
            <w:tcW w:w="4560" w:type="dxa"/>
            <w:vAlign w:val="bottom"/>
            <w:gridSpan w:val="2"/>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Balance Sheets</w:t>
              </w:r>
            </w:hyperlink>
          </w:p>
        </w:tc>
        <w:tc>
          <w:tcPr>
            <w:tcW w:w="6420" w:type="dxa"/>
            <w:vAlign w:val="bottom"/>
            <w:gridSpan w:val="14"/>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at June 30, 2017 and December 31, 2016</w:t>
              </w:r>
            </w:hyperlink>
          </w:p>
        </w:tc>
        <w:tc>
          <w:tcPr>
            <w:tcW w:w="6220" w:type="dxa"/>
            <w:vAlign w:val="bottom"/>
            <w:gridSpan w:val="13"/>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for the Year Ended December 31, 2016 and</w:t>
              </w:r>
            </w:hyperlink>
          </w:p>
        </w:tc>
        <w:tc>
          <w:tcPr>
            <w:tcW w:w="602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80" w:type="dxa"/>
            <w:vAlign w:val="bottom"/>
            <w:tcBorders>
              <w:bottom w:val="single" w:sz="8" w:color="0000EE"/>
            </w:tcBorders>
            <w:gridSpan w:val="5"/>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Six Months Ended June 30, 2017</w:t>
              </w:r>
            </w:hyperlink>
          </w:p>
        </w:tc>
        <w:tc>
          <w:tcPr>
            <w:tcW w:w="6580" w:type="dxa"/>
            <w:vAlign w:val="bottom"/>
            <w:gridSpan w:val="15"/>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w:t>
              </w:r>
            </w:hyperlink>
          </w:p>
        </w:tc>
        <w:tc>
          <w:tcPr>
            <w:tcW w:w="56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2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for the Six Months Ended June 30, 2017 and 2016</w:t>
              </w:r>
            </w:hyperlink>
          </w:p>
        </w:tc>
        <w:tc>
          <w:tcPr>
            <w:tcW w:w="5540" w:type="dxa"/>
            <w:vAlign w:val="bottom"/>
            <w:gridSpan w:val="8"/>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91"/>
        </w:trPr>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2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5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Quantitative and Qualitative Disclosures about Market Risk</w:t>
              </w:r>
            </w:hyperlink>
          </w:p>
        </w:tc>
        <w:tc>
          <w:tcPr>
            <w:tcW w:w="2320" w:type="dxa"/>
            <w:vAlign w:val="bottom"/>
            <w:tcBorders>
              <w:top w:val="single" w:sz="8" w:color="0000EE"/>
            </w:tcBorders>
            <w:gridSpan w:val="5"/>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9"/>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4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w w:val="98"/>
              </w:rPr>
              <w:t>OTHER INFORMATION</w:t>
            </w:r>
          </w:p>
        </w:tc>
        <w:tc>
          <w:tcPr>
            <w:tcW w:w="774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r>
      <w:tr>
        <w:trPr>
          <w:trHeight w:val="272"/>
        </w:trPr>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Legal Proceedings</w:t>
              </w:r>
            </w:hyperlink>
          </w:p>
        </w:tc>
        <w:tc>
          <w:tcPr>
            <w:tcW w:w="8220" w:type="dxa"/>
            <w:vAlign w:val="bottom"/>
            <w:gridSpan w:val="17"/>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Risk Factors</w:t>
              </w:r>
            </w:hyperlink>
          </w:p>
        </w:tc>
        <w:tc>
          <w:tcPr>
            <w:tcW w:w="8700" w:type="dxa"/>
            <w:vAlign w:val="bottom"/>
            <w:gridSpan w:val="1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7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Unregistered Sales of Equity Securities and Use of Proceeds</w:t>
              </w:r>
            </w:hyperlink>
          </w:p>
        </w:tc>
        <w:tc>
          <w:tcPr>
            <w:tcW w:w="49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1"/>
        </w:trPr>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1"/>
        </w:trPr>
        <w:tc>
          <w:tcPr>
            <w:tcW w:w="760" w:type="dxa"/>
            <w:vAlign w:val="bottom"/>
            <w:tcBorders>
              <w:bottom w:val="single" w:sz="8" w:color="0000EE"/>
            </w:tcBorders>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Signature</w:t>
              </w:r>
            </w:hyperlink>
          </w:p>
        </w:tc>
        <w:tc>
          <w:tcPr>
            <w:tcW w:w="3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6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3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5,986</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6,302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12,400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3,662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3,786</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7,551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7,706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2,516</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4,849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311"/>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 impairment and exit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Loss on divestiture</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1,481</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60" w:type="dxa"/>
            <w:vAlign w:val="bottom"/>
          </w:tcPr>
          <w:p>
            <w:pPr>
              <w:spacing w:after="0"/>
              <w:rPr>
                <w:sz w:val="17"/>
                <w:szCs w:val="17"/>
                <w:color w:val="auto"/>
              </w:rPr>
            </w:pP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 net earnings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Noncontrolling interest earnings</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earnings attributable to Mondelēz International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498</w:t>
            </w:r>
          </w:p>
        </w:tc>
        <w:tc>
          <w:tcPr>
            <w:tcW w:w="24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464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 data: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rPr>
              <w:t>Basic earnings per share attributable to</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tcPr>
          <w:p>
            <w:pPr>
              <w:ind w:left="340"/>
              <w:spacing w:after="0" w:line="203" w:lineRule="exact"/>
              <w:rPr>
                <w:sz w:val="20"/>
                <w:szCs w:val="20"/>
                <w:color w:val="auto"/>
              </w:rPr>
            </w:pPr>
            <w:r>
              <w:rPr>
                <w:rFonts w:ascii="Arial" w:cs="Arial" w:eastAsia="Arial" w:hAnsi="Arial"/>
                <w:sz w:val="18"/>
                <w:szCs w:val="18"/>
                <w:color w:val="auto"/>
              </w:rPr>
              <w:t>Mondelēz International</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0.33</w:t>
            </w:r>
          </w:p>
        </w:tc>
        <w:tc>
          <w:tcPr>
            <w:tcW w:w="240" w:type="dxa"/>
            <w:vAlign w:val="bottom"/>
          </w:tcPr>
          <w:p>
            <w:pPr>
              <w:spacing w:after="0"/>
              <w:rPr>
                <w:sz w:val="17"/>
                <w:szCs w:val="17"/>
                <w:color w:val="auto"/>
              </w:rPr>
            </w:pPr>
          </w:p>
        </w:tc>
        <w:tc>
          <w:tcPr>
            <w:tcW w:w="3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0.30</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0.74</w:t>
            </w:r>
          </w:p>
        </w:tc>
        <w:tc>
          <w:tcPr>
            <w:tcW w:w="38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Diluted earnings per share attributable to</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Mondelēz International</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0.73</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ind w:left="160"/>
              <w:spacing w:after="0" w:line="196" w:lineRule="exact"/>
              <w:rPr>
                <w:sz w:val="20"/>
                <w:szCs w:val="20"/>
                <w:color w:val="auto"/>
              </w:rPr>
            </w:pPr>
            <w:r>
              <w:rPr>
                <w:rFonts w:ascii="Arial" w:cs="Arial" w:eastAsia="Arial" w:hAnsi="Arial"/>
                <w:sz w:val="18"/>
                <w:szCs w:val="18"/>
                <w:color w:val="auto"/>
              </w:rPr>
              <w:t>Dividends declared</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240" w:type="dxa"/>
            <w:vAlign w:val="bottom"/>
          </w:tcPr>
          <w:p>
            <w:pPr>
              <w:spacing w:after="0"/>
              <w:rPr>
                <w:sz w:val="17"/>
                <w:szCs w:val="17"/>
                <w:color w:val="auto"/>
              </w:rPr>
            </w:pP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0.17</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0.38</w:t>
            </w:r>
          </w:p>
        </w:tc>
        <w:tc>
          <w:tcPr>
            <w:tcW w:w="3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0.34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7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earnings</w:t>
            </w:r>
          </w:p>
        </w:tc>
        <w:tc>
          <w:tcPr>
            <w:tcW w:w="680" w:type="dxa"/>
            <w:vAlign w:val="bottom"/>
            <w:shd w:val="clear" w:color="auto" w:fill="CCEEFF"/>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1,133</w:t>
            </w:r>
          </w:p>
        </w:tc>
        <w:tc>
          <w:tcPr>
            <w:tcW w:w="4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Other comprehensive earnings/(losses), net of tax:</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Currency translation adjustment</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923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Pr>
          <w:p>
            <w:pPr>
              <w:ind w:left="160"/>
              <w:spacing w:after="0" w:line="202" w:lineRule="exact"/>
              <w:rPr>
                <w:sz w:val="20"/>
                <w:szCs w:val="20"/>
                <w:color w:val="auto"/>
              </w:rPr>
            </w:pPr>
            <w:r>
              <w:rPr>
                <w:rFonts w:ascii="Arial" w:cs="Arial" w:eastAsia="Arial" w:hAnsi="Arial"/>
                <w:sz w:val="18"/>
                <w:szCs w:val="18"/>
                <w:color w:val="auto"/>
              </w:rPr>
              <w:t>Pension and other benefit plans</w:t>
            </w:r>
          </w:p>
        </w:tc>
        <w:tc>
          <w:tcPr>
            <w:tcW w:w="680" w:type="dxa"/>
            <w:vAlign w:val="bottom"/>
          </w:tcPr>
          <w:p>
            <w:pPr>
              <w:spacing w:after="0"/>
              <w:rPr>
                <w:sz w:val="17"/>
                <w:szCs w:val="17"/>
                <w:color w:val="auto"/>
              </w:rPr>
            </w:pPr>
          </w:p>
        </w:tc>
        <w:tc>
          <w:tcPr>
            <w:tcW w:w="7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Derivative cash flow hedges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other comprehensive earnings/(losses)</w:t>
            </w: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earnings</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859</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160"/>
              <w:spacing w:after="0" w:line="201" w:lineRule="exact"/>
              <w:rPr>
                <w:sz w:val="20"/>
                <w:szCs w:val="20"/>
                <w:color w:val="auto"/>
              </w:rPr>
            </w:pPr>
            <w:r>
              <w:rPr>
                <w:rFonts w:ascii="Arial" w:cs="Arial" w:eastAsia="Arial" w:hAnsi="Arial"/>
                <w:sz w:val="18"/>
                <w:szCs w:val="18"/>
                <w:color w:val="auto"/>
              </w:rPr>
              <w:t>less: Comprehensive earnings/(losses) attributable to noncontrolling</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340"/>
              <w:spacing w:after="0" w:line="203" w:lineRule="exact"/>
              <w:rPr>
                <w:sz w:val="20"/>
                <w:szCs w:val="20"/>
                <w:color w:val="auto"/>
              </w:rPr>
            </w:pPr>
            <w:r>
              <w:rPr>
                <w:rFonts w:ascii="Arial" w:cs="Arial" w:eastAsia="Arial" w:hAnsi="Arial"/>
                <w:sz w:val="18"/>
                <w:szCs w:val="18"/>
                <w:color w:val="auto"/>
              </w:rPr>
              <w:t>interests</w:t>
            </w:r>
          </w:p>
        </w:tc>
        <w:tc>
          <w:tcPr>
            <w:tcW w:w="680" w:type="dxa"/>
            <w:vAlign w:val="bottom"/>
          </w:tcPr>
          <w:p>
            <w:pPr>
              <w:spacing w:after="0"/>
              <w:rPr>
                <w:sz w:val="18"/>
                <w:szCs w:val="18"/>
                <w:color w:val="auto"/>
              </w:rPr>
            </w:pPr>
          </w:p>
        </w:tc>
        <w:tc>
          <w:tcPr>
            <w:tcW w:w="78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earnings attributable to</w:t>
            </w: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Mondelēz International</w:t>
            </w:r>
          </w:p>
        </w:tc>
        <w:tc>
          <w:tcPr>
            <w:tcW w:w="680" w:type="dxa"/>
            <w:vAlign w:val="bottom"/>
            <w:shd w:val="clear" w:color="auto" w:fill="CCEEFF"/>
          </w:tcPr>
          <w:p>
            <w:pPr>
              <w:jc w:val="right"/>
              <w:ind w:right="499"/>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845</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77</w:t>
            </w:r>
          </w:p>
        </w:tc>
        <w:tc>
          <w:tcPr>
            <w:tcW w:w="4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2,033</w:t>
            </w:r>
          </w:p>
        </w:tc>
        <w:tc>
          <w:tcPr>
            <w:tcW w:w="4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7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1,397</w:t>
            </w:r>
          </w:p>
        </w:tc>
        <w:tc>
          <w:tcPr>
            <w:tcW w:w="540" w:type="dxa"/>
            <w:vAlign w:val="bottom"/>
          </w:tcPr>
          <w:p>
            <w:pPr>
              <w:spacing w:after="0"/>
              <w:rPr>
                <w:sz w:val="17"/>
                <w:szCs w:val="17"/>
                <w:color w:val="auto"/>
              </w:rPr>
            </w:pPr>
          </w:p>
        </w:tc>
        <w:tc>
          <w:tcPr>
            <w:tcW w:w="220" w:type="dxa"/>
            <w:vAlign w:val="bottom"/>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02"/>
        </w:trPr>
        <w:tc>
          <w:tcPr>
            <w:tcW w:w="8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Trade receivables (net of allowances of $47 at June 30, 2017</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and $58 at December 31, 2016)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Other receivables (net of allowances of $99 at June 30, 2017</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and $93 at December 31, 2016)</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913</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8,193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8,444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20,915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18,514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18,101</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pension assets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method investments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347</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62,757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5,012</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Accrued marketing</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1,574</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employment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2,819</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15,563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311"/>
        </w:trPr>
        <w:tc>
          <w:tcPr>
            <w:tcW w:w="87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13,226</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4,587</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Accrued pension costs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1,708</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postretirement health care costs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1,488</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36,965</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36,323</w:t>
            </w:r>
          </w:p>
        </w:tc>
        <w:tc>
          <w:tcPr>
            <w:tcW w:w="0" w:type="dxa"/>
            <w:vAlign w:val="bottom"/>
          </w:tcPr>
          <w:p>
            <w:pPr>
              <w:spacing w:after="0"/>
              <w:rPr>
                <w:sz w:val="1"/>
                <w:szCs w:val="1"/>
                <w:color w:val="auto"/>
              </w:rPr>
            </w:pPr>
          </w:p>
        </w:tc>
      </w:tr>
      <w:tr>
        <w:trPr>
          <w:trHeight w:val="203"/>
        </w:trPr>
        <w:tc>
          <w:tcPr>
            <w:tcW w:w="874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11)</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Common Stock, no par value (5,000,000,000 shares authorized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1,996,537,778 shares issued at June 30, 2017 and December 31, 2016)</w:t>
            </w:r>
          </w:p>
        </w:tc>
        <w:tc>
          <w:tcPr>
            <w:tcW w:w="160" w:type="dxa"/>
            <w:vAlign w:val="bottom"/>
          </w:tcPr>
          <w:p>
            <w:pPr>
              <w:spacing w:after="0"/>
              <w:rPr>
                <w:sz w:val="17"/>
                <w:szCs w:val="17"/>
                <w:color w:val="auto"/>
              </w:rPr>
            </w:pPr>
          </w:p>
        </w:tc>
        <w:tc>
          <w:tcPr>
            <w:tcW w:w="138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31,860</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31,847</w:t>
            </w:r>
          </w:p>
        </w:tc>
        <w:tc>
          <w:tcPr>
            <w:tcW w:w="0" w:type="dxa"/>
            <w:vAlign w:val="bottom"/>
          </w:tcPr>
          <w:p>
            <w:pPr>
              <w:spacing w:after="0"/>
              <w:rPr>
                <w:sz w:val="1"/>
                <w:szCs w:val="1"/>
                <w:color w:val="auto"/>
              </w:rPr>
            </w:pPr>
          </w:p>
        </w:tc>
      </w:tr>
      <w:tr>
        <w:trPr>
          <w:trHeight w:val="203"/>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21,648</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21,149</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losses</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(10,217)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(11,122)</w:t>
            </w:r>
          </w:p>
        </w:tc>
        <w:tc>
          <w:tcPr>
            <w:tcW w:w="0" w:type="dxa"/>
            <w:vAlign w:val="bottom"/>
          </w:tcPr>
          <w:p>
            <w:pPr>
              <w:spacing w:after="0"/>
              <w:rPr>
                <w:sz w:val="1"/>
                <w:szCs w:val="1"/>
                <w:color w:val="auto"/>
              </w:rPr>
            </w:pPr>
          </w:p>
        </w:tc>
      </w:tr>
      <w:tr>
        <w:trPr>
          <w:trHeight w:val="202"/>
        </w:trPr>
        <w:tc>
          <w:tcPr>
            <w:tcW w:w="8740" w:type="dxa"/>
            <w:vAlign w:val="bottom"/>
          </w:tcPr>
          <w:p>
            <w:pPr>
              <w:ind w:left="180"/>
              <w:spacing w:after="0" w:line="201" w:lineRule="exact"/>
              <w:rPr>
                <w:sz w:val="20"/>
                <w:szCs w:val="20"/>
                <w:color w:val="auto"/>
              </w:rPr>
            </w:pPr>
            <w:r>
              <w:rPr>
                <w:rFonts w:ascii="Arial" w:cs="Arial" w:eastAsia="Arial" w:hAnsi="Arial"/>
                <w:sz w:val="18"/>
                <w:szCs w:val="18"/>
                <w:color w:val="auto"/>
              </w:rPr>
              <w:t>Treasury stock, at cost (485,738,865 shares at June 30, 2017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360"/>
              <w:spacing w:after="0" w:line="203" w:lineRule="exact"/>
              <w:rPr>
                <w:sz w:val="20"/>
                <w:szCs w:val="20"/>
                <w:color w:val="auto"/>
              </w:rPr>
            </w:pPr>
            <w:r>
              <w:rPr>
                <w:rFonts w:ascii="Arial" w:cs="Arial" w:eastAsia="Arial" w:hAnsi="Arial"/>
                <w:sz w:val="18"/>
                <w:szCs w:val="18"/>
                <w:color w:val="auto"/>
              </w:rPr>
              <w:t>468,172,237 shares at December 31, 2016)</w:t>
            </w:r>
          </w:p>
        </w:tc>
        <w:tc>
          <w:tcPr>
            <w:tcW w:w="160" w:type="dxa"/>
            <w:vAlign w:val="bottom"/>
          </w:tcPr>
          <w:p>
            <w:pPr>
              <w:spacing w:after="0"/>
              <w:rPr>
                <w:sz w:val="18"/>
                <w:szCs w:val="18"/>
                <w:color w:val="auto"/>
              </w:rPr>
            </w:pPr>
          </w:p>
        </w:tc>
        <w:tc>
          <w:tcPr>
            <w:tcW w:w="138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(17,571)</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(16,713)</w:t>
            </w: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Mondelēz International Shareholders’ Equity</w:t>
            </w: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25,720</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180"/>
              <w:spacing w:after="0" w:line="202" w:lineRule="exact"/>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25,792</w:t>
            </w:r>
          </w:p>
        </w:tc>
        <w:tc>
          <w:tcPr>
            <w:tcW w:w="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4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62,757</w:t>
            </w:r>
          </w:p>
        </w:tc>
        <w:tc>
          <w:tcPr>
            <w:tcW w:w="54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61,538</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8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rPr>
              <w:t>Mondelēz International Shareholders’ Equity</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Treasury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88"/>
        </w:trPr>
        <w:tc>
          <w:tcPr>
            <w:tcW w:w="3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Balances at January 1, 2016</w:t>
            </w:r>
          </w:p>
        </w:tc>
        <w:tc>
          <w:tcPr>
            <w:tcW w:w="940" w:type="dxa"/>
            <w:vAlign w:val="bottom"/>
            <w:gridSpan w:val="2"/>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31,760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20,700</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(9,986)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(14,462)</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28,100</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Comprehensive earnings/(losses):</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1,659</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167"/>
        </w:trPr>
        <w:tc>
          <w:tcPr>
            <w:tcW w:w="3340" w:type="dxa"/>
            <w:vAlign w:val="bottom"/>
          </w:tcPr>
          <w:p>
            <w:pPr>
              <w:ind w:left="160"/>
              <w:spacing w:after="0"/>
              <w:rPr>
                <w:sz w:val="20"/>
                <w:szCs w:val="20"/>
                <w:color w:val="auto"/>
              </w:rPr>
            </w:pPr>
            <w:r>
              <w:rPr>
                <w:rFonts w:ascii="Arial" w:cs="Arial" w:eastAsia="Arial" w:hAnsi="Arial"/>
                <w:sz w:val="14"/>
                <w:szCs w:val="14"/>
                <w:color w:val="auto"/>
              </w:rPr>
              <w:t>Other comprehensive earnings/(losses), net of</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Pr>
          <w:p>
            <w:pPr>
              <w:ind w:left="300"/>
              <w:spacing w:after="0" w:line="157" w:lineRule="exact"/>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(1,136)</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 issuance of other</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stock awards</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87</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(2,601)</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(2,601)</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($0.72 per share)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(1,116)</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Dividends paid on noncontrolling interest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Pr>
          <w:p>
            <w:pPr>
              <w:ind w:left="160"/>
              <w:spacing w:after="0" w:line="157" w:lineRule="exact"/>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(27)</w:t>
            </w:r>
          </w:p>
        </w:tc>
        <w:tc>
          <w:tcPr>
            <w:tcW w:w="18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Balances at December 31, 2016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(11,122)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(16,713)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25,215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4"/>
                <w:szCs w:val="14"/>
                <w:color w:val="auto"/>
              </w:rPr>
              <w:t>Comprehensive earnings/(losses):</w:t>
            </w: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earnings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1,128</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67"/>
        </w:trPr>
        <w:tc>
          <w:tcPr>
            <w:tcW w:w="3340" w:type="dxa"/>
            <w:vAlign w:val="bottom"/>
          </w:tcPr>
          <w:p>
            <w:pPr>
              <w:ind w:left="160"/>
              <w:spacing w:after="0"/>
              <w:rPr>
                <w:sz w:val="20"/>
                <w:szCs w:val="20"/>
                <w:color w:val="auto"/>
              </w:rPr>
            </w:pPr>
            <w:r>
              <w:rPr>
                <w:rFonts w:ascii="Arial" w:cs="Arial" w:eastAsia="Arial" w:hAnsi="Arial"/>
                <w:sz w:val="14"/>
                <w:szCs w:val="14"/>
                <w:color w:val="auto"/>
              </w:rPr>
              <w:t>Other comprehensive earnings/(losses), net of</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Pr>
          <w:p>
            <w:pPr>
              <w:ind w:left="300"/>
              <w:spacing w:after="0" w:line="157" w:lineRule="exact"/>
              <w:rPr>
                <w:sz w:val="20"/>
                <w:szCs w:val="20"/>
                <w:color w:val="auto"/>
              </w:rPr>
            </w:pPr>
            <w:r>
              <w:rPr>
                <w:rFonts w:ascii="Arial" w:cs="Arial" w:eastAsia="Arial" w:hAnsi="Arial"/>
                <w:sz w:val="14"/>
                <w:szCs w:val="14"/>
                <w:color w:val="auto"/>
              </w:rPr>
              <w:t>income taxes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905</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9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67"/>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 issuance of other</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stock awards</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251</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Common Stock repurchased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(1,109)</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($0.38 per share)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(581)</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Dividends paid on noncontrolling interest and other</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Pr>
          <w:p>
            <w:pPr>
              <w:ind w:left="160"/>
              <w:spacing w:after="0" w:line="157" w:lineRule="exact"/>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ind w:left="60"/>
              <w:spacing w:after="0" w:line="157"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3"/>
                <w:szCs w:val="13"/>
                <w:color w:val="auto"/>
              </w:rPr>
            </w:pPr>
          </w:p>
        </w:tc>
        <w:tc>
          <w:tcPr>
            <w:tcW w:w="9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Balances at June 30, 2017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31,860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(10,217)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(17,571)</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25,792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1140" w:right="140" w:hanging="335"/>
        <w:spacing w:after="0" w:line="258" w:lineRule="auto"/>
        <w:tabs>
          <w:tab w:leader="none" w:pos="11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Noncontrolling interest as of June 30, 2016 was $84 million, as compared to $88 million as of January 1, 2016. The change of $(4) million during the six months ended June 30, 2016 was due to $(13) million of dividends paid, $(1) million of other comprehensive earnings, net of taxes offset by $10 million of net earnings.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millions of U.S. dollars)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80" w:type="dxa"/>
            <w:vAlign w:val="bottom"/>
            <w:tcBorders>
              <w:bottom w:val="single" w:sz="8" w:color="CCEEFF"/>
            </w:tcBorders>
          </w:tcPr>
          <w:p>
            <w:pPr>
              <w:spacing w:after="0"/>
              <w:rPr>
                <w:sz w:val="13"/>
                <w:szCs w:val="13"/>
                <w:color w:val="auto"/>
              </w:rPr>
            </w:pPr>
          </w:p>
        </w:tc>
        <w:tc>
          <w:tcPr>
            <w:tcW w:w="1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PROVIDED BY/(USED IN) OPERATING ACTIVITIES</w:t>
            </w:r>
          </w:p>
        </w:tc>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Net earnings</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1,133</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Adjustments to reconcile net earnings to operating cash flows: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395</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Deferred income tax provision/(benefit)</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Asset impairments and accelerated depreciation</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Loss on early extinguishment of debt</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Gain on equity method investment exchange</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Loss on divestiture</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 method investment net earnings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Distributions from equity method investments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132</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non-cash items, net</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Change in assets and liabilities, net of acquisitions and divestitures: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Receivables, net</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520"/>
              <w:spacing w:after="0" w:line="202" w:lineRule="exact"/>
              <w:rPr>
                <w:sz w:val="20"/>
                <w:szCs w:val="20"/>
                <w:color w:val="auto"/>
              </w:rPr>
            </w:pPr>
            <w:r>
              <w:rPr>
                <w:rFonts w:ascii="Arial" w:cs="Arial" w:eastAsia="Arial" w:hAnsi="Arial"/>
                <w:sz w:val="18"/>
                <w:szCs w:val="18"/>
                <w:color w:val="auto"/>
              </w:rPr>
              <w:t>Inventories, net</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(181)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520"/>
              <w:spacing w:after="0" w:line="202" w:lineRule="exact"/>
              <w:rPr>
                <w:sz w:val="20"/>
                <w:szCs w:val="20"/>
                <w:color w:val="auto"/>
              </w:rPr>
            </w:pPr>
            <w:r>
              <w:rPr>
                <w:rFonts w:ascii="Arial" w:cs="Arial" w:eastAsia="Arial" w:hAnsi="Arial"/>
                <w:sz w:val="18"/>
                <w:szCs w:val="18"/>
                <w:color w:val="auto"/>
              </w:rPr>
              <w:t>Other current assets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(88)</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Other current liabilities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(646)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340"/>
              <w:spacing w:after="0" w:line="202" w:lineRule="exact"/>
              <w:rPr>
                <w:sz w:val="20"/>
                <w:szCs w:val="20"/>
                <w:color w:val="auto"/>
              </w:rPr>
            </w:pPr>
            <w:r>
              <w:rPr>
                <w:rFonts w:ascii="Arial" w:cs="Arial" w:eastAsia="Arial" w:hAnsi="Arial"/>
                <w:sz w:val="18"/>
                <w:szCs w:val="18"/>
                <w:color w:val="auto"/>
              </w:rPr>
              <w:t>Change in pension and postretirement assets and liabilities,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54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300" w:type="dxa"/>
            <w:vAlign w:val="bottom"/>
            <w:gridSpan w:val="2"/>
          </w:tcPr>
          <w:p>
            <w:pPr>
              <w:spacing w:after="0"/>
              <w:rPr>
                <w:sz w:val="20"/>
                <w:szCs w:val="20"/>
                <w:color w:val="auto"/>
              </w:rPr>
            </w:pPr>
            <w:r>
              <w:rPr>
                <w:rFonts w:ascii="Arial" w:cs="Arial" w:eastAsia="Arial" w:hAnsi="Arial"/>
                <w:sz w:val="18"/>
                <w:szCs w:val="18"/>
                <w:color w:val="auto"/>
              </w:rPr>
              <w:t>CASH PROVIDED BY/(USED IN) INVESTING ACTIVITIES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Proceeds from divestiture, net of disbursements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169</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Proceeds from sale of property, plant and equipment and other assets</w:t>
            </w:r>
          </w:p>
        </w:tc>
        <w:tc>
          <w:tcPr>
            <w:tcW w:w="1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BY/(USED IN) FINANCING ACTIVITIES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Issuances of commercial paper, maturities greater than 90 days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1,150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Repayments of commercial paper, maturities greater than 90 days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(1,141)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Net issuances of other short-term borrowings</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2,230</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debt proceeds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Long-term debt repaid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(1,469)</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Repurchase of Common Stock</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(1,069)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Dividends paid</w:t>
            </w: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(581)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8"/>
                <w:szCs w:val="18"/>
                <w:color w:val="auto"/>
              </w:rPr>
              <w:t>Net cash (used in)/provided by financing activities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Decrease</w:t>
            </w: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Balance at beginning of period</w:t>
            </w:r>
          </w:p>
        </w:tc>
        <w:tc>
          <w:tcPr>
            <w:tcW w:w="1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1,741</w:t>
            </w:r>
          </w:p>
        </w:tc>
        <w:tc>
          <w:tcPr>
            <w:tcW w:w="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Balance at end of period</w:t>
            </w:r>
          </w:p>
        </w:tc>
        <w:tc>
          <w:tcPr>
            <w:tcW w:w="1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1,397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As of the close of the 2015 fiscal year, we deconsolidated and changed to the cost method of accounting for our Venezuelan operations. As such, for all periods presented, we have excluded the results of operations, financial position and cash flows of our Venezuelan subsidiaries from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Change</w:t>
      </w:r>
      <w:r>
        <w:rPr>
          <w:rFonts w:ascii="Arial" w:cs="Arial" w:eastAsia="Arial" w:hAnsi="Arial"/>
          <w:sz w:val="18"/>
          <w:szCs w:val="18"/>
          <w:color w:val="auto"/>
        </w:rPr>
        <w:t>:</w:t>
      </w:r>
    </w:p>
    <w:p>
      <w:pPr>
        <w:spacing w:after="0" w:line="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October 1, 2016, we integrated our Eastern Europe, Middle East, and Africa (“EEMEA”) operating segment into our Europe and Asia Pacific operating segments to further leverage and optimize the operating scale built within the Europe and Asia Pacific regions. Russia, Ukraine, Turkey, Belarus, Georgia and Kazakhstan were combined within our Europe region, while the remaining Middle East and African countries were combined within our Asia Pacific region to form a new Asia, Middle East and Africa (“AMEA”) operating segment. We have reflected the segment change as if it had occurred in all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2016, our operations and management structure were organized into four reportable operating segments:</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for additional information on our segments.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and realized exchange gains and losses on transactions in earnings.</w:t>
      </w:r>
    </w:p>
    <w:p>
      <w:pPr>
        <w:spacing w:after="0" w:line="2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of June 30, 2017, none of our consolidated subsidiaries were subject to highly inflationary accounting.</w:t>
      </w:r>
    </w:p>
    <w:p>
      <w:pPr>
        <w:spacing w:after="0" w:line="18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We continue to closely monitor inflation and the potential for the economy to become highly inflationary for accounting purposes. As</w:t>
      </w:r>
      <w:r>
        <w:rPr>
          <w:rFonts w:ascii="Arial" w:cs="Arial" w:eastAsia="Arial" w:hAnsi="Arial"/>
          <w:sz w:val="18"/>
          <w:szCs w:val="18"/>
          <w:i w:val="1"/>
          <w:iCs w:val="1"/>
          <w:color w:val="auto"/>
        </w:rPr>
        <w:t xml:space="preserve"> </w:t>
      </w:r>
      <w:r>
        <w:rPr>
          <w:rFonts w:ascii="Arial" w:cs="Arial" w:eastAsia="Arial" w:hAnsi="Arial"/>
          <w:sz w:val="18"/>
          <w:szCs w:val="18"/>
          <w:color w:val="auto"/>
        </w:rPr>
        <w:t>of June 30, 2017, the Argentinian economy was not designated as highly inflationary. At this time, we continue to record currency translation adjustments within equity and realized exchange gains and losses on transactions in earnings. Our Argentinian operations contributed</w:t>
      </w:r>
    </w:p>
    <w:p>
      <w:pPr>
        <w:spacing w:after="0" w:line="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$159 million, or 2.7% of consolidated net revenues in the three months and $301 million, or 2.4% of consolidated net revenues in the six months ended June 30, 2017, and our Argentinian operations had a net monetary liability position as of June 30, 2017.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i w:val="1"/>
          <w:iCs w:val="1"/>
          <w:color w:val="auto"/>
        </w:rPr>
        <w:t>Ukraine</w:t>
      </w:r>
      <w:r>
        <w:rPr>
          <w:rFonts w:ascii="Arial" w:cs="Arial" w:eastAsia="Arial" w:hAnsi="Arial"/>
          <w:sz w:val="18"/>
          <w:szCs w:val="18"/>
          <w:color w:val="auto"/>
        </w:rPr>
        <w:t>. In the second quarter of 2017, based on projected inflation data published by the National Bank of Ukraine, Ukraine’s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inflation rate dropped below 100% and it is projected to stay below 100% in late 2017. As such, Ukraine is no longer designated highly inflationary and we continue to record currency translation adjustments</w:t>
      </w:r>
    </w:p>
    <w:p>
      <w:pPr>
        <w:spacing w:after="0" w:line="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within equity and realized exchange gains and losses on transactions in earnings. Our Ukraine operations contributed $15 million, or 0.3%, of consolidated net revenues in the three months and $30 million, or 0.2% of consolidated net revenues in the six months ended June 30, 2017, and our Ukraine net monetary assets as of June 30, 2017 were not material.</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Since we sell in approximately 165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These include Brazil, China, Mexico, Russia, United Kingdom (Brexit), Turkey, Egypt, Nigeria and South Africa, most of which have had exchange rate volatility. We continue to monitor operations, currencies and net monetary exposures in these countries. At this time, we do not anticipate a risk to our operating results from changing to highly inflationary accounting in these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a factoring arrangement with a major global bank for a maximum combined capacity of $1.0 billion. Under the program, we may sell eligible short-term trade receivables to the bank in exchange for cash. We then continue to collect the receivables sold, acting solely as a collecting agent on behalf of the bank. The outstanding principal amount of receivables under this arrangement amounted to $594 million as of June 30, 2017 and $644 million as of December 31, 2016. The incremental cost of factoring receivables under this arrangement was recorded in net revenue and was approximately $2 million in the three months and $ 3 million in the six months ended June 30, 2017 and was $1 million in the three months and $2 million in the six months ended June 30, 2016. During our contract negotiations with customers, we also work with our customers to achieve earlier collection of receivables. The outstanding principal amount of receivables under these arrangements amounted to $38 million as of June 30, 2017 and $ 101 million as of December 31, 2016. The incremental cost of these arrangements was recorded in net revenue and was less than $1 million in the three months and $1 million in the six months ended June 30, 2017 and was $2 million in the three months and $3 million in the six months ended June 30,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May 2017, the Financial Accounting Standards Board (“FASB”) issued an Accounting Standards Update (“ASU”) to clarify when changes to the terms or conditions of a share-based payment award must be accounted for as modifications. The ASU is applied prospectively to awards that are modified on or after the adoption date. The ASU is effective for fiscal years beginning after December 15, 2017, with early adoption permitted. We are currently assessing the impact on our consolidated financial statements and do not anticipate a material impact to our consolidated financial statements.</w:t>
      </w:r>
    </w:p>
    <w:p>
      <w:pPr>
        <w:spacing w:after="0" w:line="162" w:lineRule="exact"/>
        <w:rPr>
          <w:sz w:val="20"/>
          <w:szCs w:val="20"/>
          <w:color w:val="auto"/>
        </w:rPr>
      </w:pPr>
    </w:p>
    <w:p>
      <w:pPr>
        <w:jc w:val="both"/>
        <w:ind w:right="260"/>
        <w:spacing w:after="0" w:line="237" w:lineRule="auto"/>
        <w:rPr>
          <w:sz w:val="20"/>
          <w:szCs w:val="20"/>
          <w:color w:val="auto"/>
        </w:rPr>
      </w:pPr>
      <w:r>
        <w:rPr>
          <w:rFonts w:ascii="Arial" w:cs="Arial" w:eastAsia="Arial" w:hAnsi="Arial"/>
          <w:sz w:val="18"/>
          <w:szCs w:val="18"/>
          <w:color w:val="auto"/>
        </w:rPr>
        <w:t>In March 2017, the FASB issued an ASU to amend the amortization period for certain purchased callable debt securities held at a premium, shortening the period to the earliest call date instead of the maturity date. The standard does not impact securities held at a discount as the discount continues to be amortized to maturity. The ASU is applied on a modified retrospective basis through a cumulative-effect adjustment directly to retained earnings as of the beginning of the period of adoption. The ASU is effective for fiscal years beginning after December 15, 2018, with early adoption permitted. We are currently assessing the impact on our consolidated financial statements and do not anticipate a material impact to our consolidated financial statements.</w:t>
      </w:r>
    </w:p>
    <w:p>
      <w:pPr>
        <w:spacing w:after="0" w:line="16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March 2017, the FASB issued an ASU to improve the presentation of net periodic pension cost and net periodic postretirement benefit cost. The standard requires employers to disaggregate the service cost component from the other components of net benefit cost and disclose the amount and location where the net benefit cost is recorded in the income statement or capitalized in assets. The standard is to be applied on a retrospective basis for the change in presentation in the income statement and prospectively for the change in presentation on the balance sheet. The ASU is effective for fiscal years beginning after December 15, 2017, with early adoption permitted. We are currently assessing the impact on our consolidated financial statements.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January 2017, the FASB issued an ASU that clarifies the definition of a business with the objective of adding guidance to assist companies with evaluating whether transactions should be accounted for as acquisitions or disposals of assets or businesses. The definition of a business may affect many areas of accounting including acquisitions, disposals, goodwill and consolidation. The ASU is applied on a prospective basis and is effective for fiscal years beginning after December 15, 2017, with early adoption permitted. We continue to assess the ASU based on any pending or new transactions that may arise prior to the January 1, 2018 adoption date. At this time, we do not anticipate early adopting nor a material impact on our consolidated financial statements.</w:t>
      </w:r>
    </w:p>
    <w:p>
      <w:pPr>
        <w:spacing w:after="0" w:line="17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November 2016, the FASB issued an ASU that requires the change in restricted cash or cash equivalents to be included with other changes in cash and cash equivalents in the statement of cash flows. The ASU is effective for fiscal years beginning after December 15, 2017, with early adoption permitted. We anticipate adopting this standard at the same time as the cash flow statement classification changes described below go into effect on January 1, 2018. We continue to assess the impact on our consolidated statement of cash flows.</w:t>
      </w:r>
    </w:p>
    <w:p>
      <w:pPr>
        <w:spacing w:after="0" w:line="16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October 2016, the FASB issued an ASU that requires the recognition of tax consequences of intercompany asset transfers other than inventory when the transfer occurs and removes the exception to postpone recognition until the asset has been sold to an outside party. The standard is to be applied on a modified retrospective basis through a cumulative-effect adjustment directly to retained earnings. The ASU is effective for fiscal years beginning after December 15, 2017, with early adoption permitted. We anticipate adopting on January 1, 2018 and do not expect the ASU to have a material impact on our consolidated financial statements.</w:t>
      </w:r>
    </w:p>
    <w:p>
      <w:pPr>
        <w:spacing w:after="0" w:line="20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August 2016, the FASB issued an ASU to provide guidance on eight specific cash flow classification issues and reduce diversity in practice in how some cash receipts and cash payments are presented and classified in the statement of cash flows. The ASU is effective for fiscal years beginning after December 15, 2017, with early adoption permitted. We anticipate adopting this standard on January 1, 2018. We continue to assess the impact on our consolidated statement of cash flows.</w:t>
      </w:r>
    </w:p>
    <w:p>
      <w:pPr>
        <w:spacing w:after="0" w:line="16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February 2016, the FASB issued an ASU on lease accounting. The ASU revises existing U.S. GAAP and outlines a new model for lessors and lessees to use in accounting for lease contracts. The guidance requires lessees to recognize a right-of-use asset and a lease liability on the balance sheet for all leases, with the exception of short-term leases. In the statement of earnings, lessees will classify leases as either operating (resulting in straight-line expense) or financing (resulting in a front-loaded expense pattern). The ASU is effective for fiscal years beginning after December 15, 2018, with early adoption permitted. We anticipate adopting the new standard on January 1, 2019. We continue to make progress in our due diligence and assess the impact of the new standard across our operations and on our consolidated financial statements, which will consist primarily of recording lease assets and liabilities on our balance sheet for our operating leases.</w:t>
      </w:r>
    </w:p>
    <w:p>
      <w:pPr>
        <w:spacing w:after="0" w:line="17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January 2016, the FASB issued an ASU that provides updated guidance for the recognition, measurement, presentation and disclosure of financial assets and liabilities. The standard requires that equity investments (other than those accounted for under equity method of accounting or those that result in consolidation of the investee) be measured at fair value, with changes in fair value recognized in net income. The standard also impacts financial liabilities under the fair value option and the presentation and disclosure requirements for financial instruments. The ASU is effective for fiscal years beginning after December 15, 2017. This ASU is not expected to have a significant impact on our consolidated financial statements.</w:t>
      </w:r>
    </w:p>
    <w:p>
      <w:pPr>
        <w:spacing w:after="0" w:line="16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May 2014, the FASB issued an ASU on revenue recognition from contracts with customers. The ASU outlines a new, single comprehensive model for companies to use in accounting for revenue. The core principle is that an entity should recognize revenue to depict the transfer of control over promised goods or services to a customer in an amount that reflects the consideration the entity expects to be entitled to receive in exchange for the goods or services. The ASU also requires additional disclosure about the nature, amount, timing and uncertainty of revenue and cash flows from customer contracts, including significant judgments made in recognizing revenue. In 2016 and early 2017, the FASB issued several ASUs that clarified principal versus agent (gross versus net) revenue presentation considerations, confirmed the accounting for certain prepaid stored-value products and clarified the guidance for identifying performance obligations within a contract, the accounting for licenses and partial sales of nonfinancial assets. The FASB also issued two ASUs providing technical corrections, narrow scope exceptions and practical expedients to clarify and improve the implementation of the new revenue recognition guidance. The revenue guidance is effective for annual reporting periods beginning after December 15, 2017, with early adoption permitted as of the original effective date (annual reporting periods beginning after December 15, 2016). The ASU may be applied retrospectively to historical periods presented or as a cumulative-effect adjustment as of the date of adoption. We plan to adopt the new standard on January 1, 2018 on a full retrospective basis. We are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finalizing reviews and working on implementing the process, policy and disclosure changes that will go into effect on January 1, 2018. At this time, we do not expect a material financial impact from adopting the new revenue standards.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Certain amounts previously reported have been reclassified to conform to current-year presentation. In connection with the October 1, 2016 segment change described above, see Notes 5, </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xml:space="preserve"> and 15,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for information on related changes made to prior-period segment goodwill, net revenues and earnings aligned with the new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structure. We also reclassified certain amounts previously reported within our condensed consolidated statements of cash flows, condensed consolidated statements of comprehensive earnings and Note 12, </w:t>
      </w:r>
      <w:r>
        <w:rPr>
          <w:rFonts w:ascii="Arial" w:cs="Arial" w:eastAsia="Arial" w:hAnsi="Arial"/>
          <w:sz w:val="18"/>
          <w:szCs w:val="18"/>
          <w:i w:val="1"/>
          <w:iCs w:val="1"/>
          <w:color w:val="auto"/>
        </w:rPr>
        <w:t>Reclassifications from Accumulated Other Comprehensive Income,</w:t>
      </w:r>
      <w:r>
        <w:rPr>
          <w:rFonts w:ascii="Arial" w:cs="Arial" w:eastAsia="Arial" w:hAnsi="Arial"/>
          <w:sz w:val="18"/>
          <w:szCs w:val="18"/>
          <w:color w:val="auto"/>
        </w:rPr>
        <w:t xml:space="preserve"> to be consistent with the current-year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Coffee Business Transactions:</w:t>
      </w:r>
    </w:p>
    <w:p>
      <w:pPr>
        <w:spacing w:after="0" w:line="1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On July 2, 2015, we completed transactions to combine our wholly owned coffee businesses with those of D.E Master Blenders 1753 B.V. (“DEMB”) to create a new company, Jacobs Douwe Egberts (“JDE”). Following the exchange of a portion of our investment in JDE for an interest in Keurig Green Mountain, Inc. (“Keurig”) in March 2016, we held a 26.5% equity interest in JDE. (See discussion under </w:t>
      </w:r>
      <w:r>
        <w:rPr>
          <w:rFonts w:ascii="Arial" w:cs="Arial" w:eastAsia="Arial" w:hAnsi="Arial"/>
          <w:sz w:val="18"/>
          <w:szCs w:val="18"/>
          <w:i w:val="1"/>
          <w:iCs w:val="1"/>
          <w:color w:val="auto"/>
        </w:rPr>
        <w:t>Keurig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 </w:t>
      </w:r>
      <w:r>
        <w:rPr>
          <w:rFonts w:ascii="Arial" w:cs="Arial" w:eastAsia="Arial" w:hAnsi="Arial"/>
          <w:sz w:val="18"/>
          <w:szCs w:val="18"/>
          <w:color w:val="auto"/>
        </w:rPr>
        <w:t>below.) The remaining 73.5% equity interest in JDE was held by a subsidiary of Acorn Holdings B.V. (“AHBV,” owner of DEMB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July 2, 2015). Following the transactions discussed under </w:t>
      </w:r>
      <w:r>
        <w:rPr>
          <w:rFonts w:ascii="Arial" w:cs="Arial" w:eastAsia="Arial" w:hAnsi="Arial"/>
          <w:sz w:val="18"/>
          <w:szCs w:val="18"/>
          <w:i w:val="1"/>
          <w:iCs w:val="1"/>
          <w:color w:val="auto"/>
        </w:rPr>
        <w:t>JDE Stock-Based Compensation Arrangements</w:t>
      </w:r>
      <w:r>
        <w:rPr>
          <w:rFonts w:ascii="Arial" w:cs="Arial" w:eastAsia="Arial" w:hAnsi="Arial"/>
          <w:sz w:val="18"/>
          <w:szCs w:val="18"/>
          <w:color w:val="auto"/>
        </w:rPr>
        <w:t xml:space="preserve"> below, as of June 30, 2017, we hold a 26.5% voting interest, a 26.4% ownership interest and a 26.2% profit and dividend sharing interest in JDE. We recorded $19 million of JDE equity earnings for three months and $38 million for the six months ended June 30, 2017 and $45 million for the three months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$92 million for the six months ended June 30, 2016. We also recorded $49 million of cash dividends received during the first quarter of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Stock-Based Compensation Arrangements: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30, 2016, we entered into agreements with AHBV and its affiliates to establish a new stock-based compensation arrangement tied to the issuance of JDE equity compensation awards to JDE employees. This arrangement replaced a temporary equity compensation program tied to the issuance of AHBV equity compensation to JDE employees. New Class C, D and E JDE shares were authorized and issued for investments made by, and vested stock-based compensation awards granted to, JDE employees. Under these arrangements, share ownership dilution from the JDE Class C, D and E shareholders is limited to 2%. We retained our 26.5% voting rights and have a slightly lower portion of JDE’s profits and dividends than our shareholder ownership interest as certain employee shareholders receive a slightly larger share. Upon execution of the agreements and the creation of the Class C, D and E JDE shares, as a percentage of the total JDE issued shares, our Class B shares decreased from 26.5% to 26.4% and AHBV’s Class A shares decreased from 73.5% to 73.22%, while the Class C, D and E shares, held by AHBV and its affiliates until the JDE employee awards vest, comprised 0.38% of JDE’s shares. Additional Class C shares are available to be issued when planned long-term incentive plan (“JDE LTIP”) awards vest, generally over the next five years. When the JDE Class C shares are issued in connection with the vested JDE LTIP awards, the Class A and B relative ownership interests will decrease. Based on estimated achievement and forfeiture assumptions, we do not expect our JDE ownership interest to decrease below 26.27%.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Transaction:</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March 3, 2016, a subsidiary of AHBV completed a $13.9 billion acquisition of all of the outstanding common stock of Keurig through a merger transaction. On March 7, 2016, we exchanged with a subsidiary of AHBV a portion of our equity interest in JDE with a carrying value of €1.7 billion (approximately $2.0 billion as of March 7, 2016) for an interest in Keurig with a fair value of $ 2.0 billion based on the merger consideration per share for Keurig. We recorded the difference between the fair value of Keurig and our basis in JDE shares as a $43 million gain on the equity method investment exchange in March 2016. Immediately following the exchange, our ownership interest in JDE was 26.5% and our interest in Keurig was 24.2%. Both AHBV and we hold our investments in Keurig through a combination of equity and interests in a shareholder loan, with pro-rata ownership of each. Our initial $2.0 billion investment in Keurig includes a $1.6 billion Keurig equity interest and a $0.4 billion shareholder loan receivable, which are reported on a combined basis within equity method investments on our condensed consolidated balance sheet as of June 30, 2017. The shareholder loan has a 5.5% interest rate and is payable at the end of a seven-year term on February 27, 2023. We recorded Keurig equity earnings, shareholder loan interest and dividends of $15 million, $6 million and $2 million during the three months and $29 million, $12 million and $6 million during the six months ended June 30, 2017. In 2016, we recorded Keurig equity earnings, shareholder loan interest and dividends of $21 million, $6 million and no dividends during the three months and $29 million, $8 million and $2 million during the four months ended June 30, 2016.</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Divestitures and Acquisitions:</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July 4, 2017, we completed the sale of most of our grocery business in Australia and New Zealand to Bega Cheese Limited for $456 million Australian dollars ($347 million as of July 4, 2017) and we expect to make a final working capital adjustment next quarter. We divested approximately $25 million of current assets, approximately $135 million of non-current assets and approximately $5 million of current liabilities based on the July 4, 2017 exchange rate.</w:t>
      </w:r>
    </w:p>
    <w:p>
      <w:pPr>
        <w:spacing w:after="0" w:line="14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April 28, 2017, we completed the sale of several manufacturing facilities in France and the sale or license of several local confectionery brands. We received net cash of approximately €157 million ($169 million as of April 28, 2017) at the transaction date, for proceeds net of cash in the businesses which transferred to the buyer. Sales price adjustments related to employee-related liabilities and working capital transferred at closing will be settled in the remainder of 2017. The sale was subject to E.U. and local regulatory approvals, completion of employee consultation requirements and additional steps to prepare the assets for transfer. During the fourth quarter of 2016, the buyer obtained anti-trust clearance in all markets where it was required and we received the Works Council approval. On April 28, 2017, we divested $44 million of current assets, $155 million of non-current assets, $8 million of current liabilities and $22 million of non-current liabilities based on the April 28, 2017 euro-to-U.S. dollar exchange rate. We recorded a $3 million loss on the sale during the three months ended June 30, 2017. We also incurred divestiture-related costs of $3 million in the three months and $21 million in the six months ended June 30, 2017, and $84 million for the three and six months ended June 30, 2016. These costs were recorded within cost of sales and selling, general and administrative expenses of our Europe segment. In prior periods, we recorded a $5 million impairment charge in May 2016 for a candy trademark to reduce the overall net assets to the estimated net sales proceeds after transaction costs. On March 31, 2016, we recorded a $ 14 million impairment charge for another gum &amp; candy trademark as a portion of its carrying value would not be recoverable based on future cash flows expected under a planned license agreement with the buyer.</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November 2, 2016, we purchased from Burton’s Biscuit Company certain intangibles, which include the license to manufacture, market and sell Cadbury-branded biscuits in additional key markets around the world, including in the U.K., France, Ireland, North America and Saudi Arabia. The transaction was accounted for as a business combination. Total cash paid for the acquired assets was £199 million ($245 million as of November 2, 2016). We have recorded a preliminary purchase price allocation of $72 million to definite-lived intangible assets, $155 million to goodwill, $14 million to property, plant and equipment and $4 million to inventory, reflecting a November 2, 2016 exchange rate.</w:t>
      </w:r>
    </w:p>
    <w:p>
      <w:pPr>
        <w:spacing w:after="0" w:line="149"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On May 2, 2016, we completed the sale of certain local biscuit brands in Finland as part of our strategic decisions to exit select small and local brands and shift investment towards our Power Brands. The sales price was €14 million ($16 million as of May 2, 2016) and we divested</w:t>
      </w:r>
    </w:p>
    <w:p>
      <w:pPr>
        <w:spacing w:after="0" w:line="1" w:lineRule="exact"/>
        <w:rPr>
          <w:sz w:val="20"/>
          <w:szCs w:val="20"/>
          <w:color w:val="auto"/>
        </w:rPr>
      </w:pPr>
    </w:p>
    <w:p>
      <w:pPr>
        <w:jc w:val="both"/>
        <w:ind w:right="60"/>
        <w:spacing w:after="0" w:line="249" w:lineRule="auto"/>
        <w:rPr>
          <w:sz w:val="20"/>
          <w:szCs w:val="20"/>
          <w:color w:val="auto"/>
        </w:rPr>
      </w:pPr>
      <w:r>
        <w:rPr>
          <w:rFonts w:ascii="Arial" w:cs="Arial" w:eastAsia="Arial" w:hAnsi="Arial"/>
          <w:sz w:val="18"/>
          <w:szCs w:val="18"/>
          <w:color w:val="auto"/>
        </w:rPr>
        <w:t>$8 million of indefinite-lived intangible assets and less than $1 million of other assets. We received cash proceeds of €12 million ($14 million as of May 2, 2016) upon closing and another €2 million ($2 million as of October 31, 2016) following the completion of post-closing requirements. The additional $2 million of consideration increased the pre-tax gain of $6 million recorded in the second quarter of 2016 to a total 2016 pre-tax gain of $8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Property:</w:t>
      </w:r>
    </w:p>
    <w:p>
      <w:pPr>
        <w:spacing w:after="0" w:line="1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the second quarter of 2016, we sold property within our North America segment and from our centrally held corporate assets. The North America sale generated cash proceeds of $40 million and a pre-tax gain of $33 million. The corporate aircraft sale generated cash proceeds of $20 million and a pre-tax gain of $6 million. The gains were recorded within selling, general and administrative expenses and cash proceeds were recorded in cash flows from other investing activities in the six months ended June 30,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 June 30,</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8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Raw materials</w:t>
            </w:r>
          </w:p>
        </w:tc>
        <w:tc>
          <w:tcPr>
            <w:tcW w:w="4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757</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Finished product</w:t>
            </w:r>
          </w:p>
        </w:tc>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2,087</w:t>
            </w:r>
          </w:p>
        </w:tc>
        <w:tc>
          <w:tcPr>
            <w:tcW w:w="3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2,844</w:t>
            </w:r>
          </w:p>
        </w:tc>
        <w:tc>
          <w:tcPr>
            <w:tcW w:w="3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Inventory reserves</w:t>
            </w:r>
          </w:p>
        </w:tc>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(134)</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Inventories, net</w:t>
            </w:r>
          </w:p>
        </w:tc>
        <w:tc>
          <w:tcPr>
            <w:tcW w:w="4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2,710</w:t>
            </w:r>
          </w:p>
        </w:tc>
        <w:tc>
          <w:tcPr>
            <w:tcW w:w="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960" w:type="dxa"/>
            <w:vAlign w:val="bottom"/>
            <w:vMerge w:val="restart"/>
          </w:tcPr>
          <w:p>
            <w:pPr>
              <w:jc w:val="right"/>
              <w:ind w:right="187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 June 30,</w:t>
            </w:r>
          </w:p>
        </w:tc>
        <w:tc>
          <w:tcPr>
            <w:tcW w:w="16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5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r>
      <w:tr>
        <w:trPr>
          <w:trHeight w:val="184"/>
        </w:trPr>
        <w:tc>
          <w:tcPr>
            <w:tcW w:w="5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Land and land improvements</w:t>
            </w:r>
          </w:p>
        </w:tc>
        <w:tc>
          <w:tcPr>
            <w:tcW w:w="23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7"/>
                <w:szCs w:val="17"/>
                <w:color w:val="auto"/>
              </w:rPr>
            </w:pPr>
          </w:p>
        </w:tc>
      </w:tr>
      <w:tr>
        <w:trPr>
          <w:trHeight w:val="203"/>
        </w:trPr>
        <w:tc>
          <w:tcPr>
            <w:tcW w:w="5620" w:type="dxa"/>
            <w:vAlign w:val="bottom"/>
          </w:tcPr>
          <w:p>
            <w:pPr>
              <w:ind w:left="540"/>
              <w:spacing w:after="0" w:line="202" w:lineRule="exact"/>
              <w:rPr>
                <w:sz w:val="20"/>
                <w:szCs w:val="20"/>
                <w:color w:val="auto"/>
              </w:rPr>
            </w:pPr>
            <w:r>
              <w:rPr>
                <w:rFonts w:ascii="Arial" w:cs="Arial" w:eastAsia="Arial" w:hAnsi="Arial"/>
                <w:sz w:val="18"/>
                <w:szCs w:val="18"/>
                <w:color w:val="auto"/>
              </w:rPr>
              <w:t>Buildings and building improvements</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2,946</w:t>
            </w:r>
          </w:p>
        </w:tc>
        <w:tc>
          <w:tcPr>
            <w:tcW w:w="34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2,801</w:t>
            </w:r>
          </w:p>
        </w:tc>
      </w:tr>
      <w:tr>
        <w:trPr>
          <w:trHeight w:val="203"/>
        </w:trPr>
        <w:tc>
          <w:tcPr>
            <w:tcW w:w="5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Machinery and equipment</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10,920</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10,302</w:t>
            </w:r>
          </w:p>
        </w:tc>
      </w:tr>
      <w:tr>
        <w:trPr>
          <w:trHeight w:val="203"/>
        </w:trPr>
        <w:tc>
          <w:tcPr>
            <w:tcW w:w="5620" w:type="dxa"/>
            <w:vAlign w:val="bottom"/>
          </w:tcPr>
          <w:p>
            <w:pPr>
              <w:ind w:left="540"/>
              <w:spacing w:after="0" w:line="202" w:lineRule="exact"/>
              <w:rPr>
                <w:sz w:val="20"/>
                <w:szCs w:val="20"/>
                <w:color w:val="auto"/>
              </w:rPr>
            </w:pPr>
            <w:r>
              <w:rPr>
                <w:rFonts w:ascii="Arial" w:cs="Arial" w:eastAsia="Arial" w:hAnsi="Arial"/>
                <w:sz w:val="18"/>
                <w:szCs w:val="18"/>
                <w:color w:val="auto"/>
              </w:rPr>
              <w:t>Construction in progress</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1,027</w:t>
            </w:r>
          </w:p>
        </w:tc>
        <w:tc>
          <w:tcPr>
            <w:tcW w:w="34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1,113</w:t>
            </w:r>
          </w:p>
        </w:tc>
      </w:tr>
      <w:tr>
        <w:trPr>
          <w:trHeight w:val="27"/>
        </w:trPr>
        <w:tc>
          <w:tcPr>
            <w:tcW w:w="5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6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15,377</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14,687</w:t>
            </w:r>
          </w:p>
        </w:tc>
      </w:tr>
      <w:tr>
        <w:trPr>
          <w:trHeight w:val="203"/>
        </w:trPr>
        <w:tc>
          <w:tcPr>
            <w:tcW w:w="5620" w:type="dxa"/>
            <w:vAlign w:val="bottom"/>
          </w:tcPr>
          <w:p>
            <w:pPr>
              <w:ind w:left="540"/>
              <w:spacing w:after="0" w:line="202" w:lineRule="exact"/>
              <w:rPr>
                <w:sz w:val="20"/>
                <w:szCs w:val="20"/>
                <w:color w:val="auto"/>
              </w:rPr>
            </w:pPr>
            <w:r>
              <w:rPr>
                <w:rFonts w:ascii="Arial" w:cs="Arial" w:eastAsia="Arial" w:hAnsi="Arial"/>
                <w:sz w:val="18"/>
                <w:szCs w:val="18"/>
                <w:color w:val="auto"/>
              </w:rPr>
              <w:t>Accumulated depreciation</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(6,933)</w:t>
            </w:r>
          </w:p>
        </w:tc>
        <w:tc>
          <w:tcPr>
            <w:tcW w:w="34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(6,458)</w:t>
            </w:r>
          </w:p>
        </w:tc>
      </w:tr>
      <w:tr>
        <w:trPr>
          <w:trHeight w:val="27"/>
        </w:trPr>
        <w:tc>
          <w:tcPr>
            <w:tcW w:w="56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6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Property, plant and equipment, net</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8,444</w:t>
            </w:r>
          </w:p>
        </w:tc>
        <w:tc>
          <w:tcPr>
            <w:tcW w:w="34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120" w:type="dxa"/>
            <w:vAlign w:val="bottom"/>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six months ended June 30, 2017, capital expenditures of $ 488 million excluded $ 190 million of accrued capital expenditures remaining unpaid at June 30, 2017 and included payment for a portion of the $343 million of capital expenditures that were accrued and unpaid at December 31, 2016. For the six months ended June 30, 2016, capital expenditures of $ 604 million excluded $222 million of accrued capital expenditures remaining unpaid at June 30, 2016 and included payment for $322 million of capital expenditures that were accrued and unpaid at December 31, 2015.</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In connection with our restructuring program, we recorded non-cash asset write-downs (including accelerated depreciation and asset impairments) of $47 million in the three months and $118 million in the six months ended June 30, 2017 and $61 million in the three months and $113 million in the six months ended June 30, 2016 (see Note 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These charges were recorded in the condensed consolidated statements of earnings within asset impairment and exit costs and in the segment results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108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June 30,</w:t>
            </w:r>
          </w:p>
        </w:tc>
        <w:tc>
          <w:tcPr>
            <w:tcW w:w="1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r>
      <w:tr>
        <w:trPr>
          <w:trHeight w:val="184"/>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3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3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1260" w:type="dxa"/>
            <w:vAlign w:val="bottom"/>
            <w:gridSpan w:val="2"/>
            <w:shd w:val="clear" w:color="auto" w:fill="CCEEFF"/>
          </w:tcPr>
          <w:p>
            <w:pPr>
              <w:jc w:val="right"/>
              <w:ind w:right="1088"/>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52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w:t>
            </w:r>
          </w:p>
        </w:tc>
      </w:tr>
      <w:tr>
        <w:trPr>
          <w:trHeight w:val="203"/>
        </w:trPr>
        <w:tc>
          <w:tcPr>
            <w:tcW w:w="368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42</w:t>
            </w:r>
          </w:p>
        </w:tc>
        <w:tc>
          <w:tcPr>
            <w:tcW w:w="4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3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03"/>
        </w:trPr>
        <w:tc>
          <w:tcPr>
            <w:tcW w:w="368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22</w:t>
            </w:r>
          </w:p>
        </w:tc>
        <w:tc>
          <w:tcPr>
            <w:tcW w:w="400" w:type="dxa"/>
            <w:vAlign w:val="bottom"/>
          </w:tcPr>
          <w:p>
            <w:pPr>
              <w:spacing w:after="0"/>
              <w:rPr>
                <w:sz w:val="17"/>
                <w:szCs w:val="17"/>
                <w:color w:val="auto"/>
              </w:rPr>
            </w:pPr>
          </w:p>
        </w:tc>
        <w:tc>
          <w:tcPr>
            <w:tcW w:w="1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r>
      <w:tr>
        <w:trPr>
          <w:trHeight w:val="203"/>
        </w:trPr>
        <w:tc>
          <w:tcPr>
            <w:tcW w:w="3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80" w:type="dxa"/>
            <w:vAlign w:val="bottom"/>
          </w:tcPr>
          <w:p>
            <w:pPr>
              <w:ind w:left="540"/>
              <w:spacing w:after="0"/>
              <w:rPr>
                <w:sz w:val="20"/>
                <w:szCs w:val="20"/>
                <w:color w:val="auto"/>
              </w:rPr>
            </w:pPr>
            <w:r>
              <w:rPr>
                <w:rFonts w:ascii="Arial" w:cs="Arial" w:eastAsia="Arial" w:hAnsi="Arial"/>
                <w:sz w:val="18"/>
                <w:szCs w:val="18"/>
                <w:color w:val="auto"/>
              </w:rPr>
              <w:t>Total non-cash asset write-downs</w:t>
            </w:r>
          </w:p>
        </w:tc>
        <w:tc>
          <w:tcPr>
            <w:tcW w:w="1260" w:type="dxa"/>
            <w:vAlign w:val="bottom"/>
            <w:gridSpan w:val="2"/>
          </w:tcPr>
          <w:p>
            <w:pPr>
              <w:jc w:val="right"/>
              <w:ind w:right="108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152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reflects our current segment structure for both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20" w:type="dxa"/>
            <w:vAlign w:val="bottom"/>
            <w:gridSpan w:val="4"/>
          </w:tcPr>
          <w:p>
            <w:pPr>
              <w:ind w:left="120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3660" w:type="dxa"/>
            <w:vAlign w:val="bottom"/>
          </w:tcPr>
          <w:p>
            <w:pPr>
              <w:spacing w:after="0"/>
              <w:rPr>
                <w:sz w:val="6"/>
                <w:szCs w:val="6"/>
                <w:color w:val="auto"/>
              </w:rPr>
            </w:pPr>
          </w:p>
        </w:tc>
        <w:tc>
          <w:tcPr>
            <w:tcW w:w="4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Latin America</w:t>
            </w:r>
          </w:p>
        </w:tc>
        <w:tc>
          <w:tcPr>
            <w:tcW w:w="42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3660" w:type="dxa"/>
            <w:vAlign w:val="bottom"/>
          </w:tcPr>
          <w:p>
            <w:pPr>
              <w:ind w:left="540"/>
              <w:spacing w:after="0" w:line="202" w:lineRule="exact"/>
              <w:rPr>
                <w:sz w:val="20"/>
                <w:szCs w:val="20"/>
                <w:color w:val="auto"/>
              </w:rPr>
            </w:pPr>
            <w:r>
              <w:rPr>
                <w:rFonts w:ascii="Arial" w:cs="Arial" w:eastAsia="Arial" w:hAnsi="Arial"/>
                <w:sz w:val="18"/>
                <w:szCs w:val="18"/>
                <w:color w:val="auto"/>
              </w:rPr>
              <w:t>AMEA</w:t>
            </w:r>
          </w:p>
        </w:tc>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3,413</w:t>
            </w:r>
          </w:p>
        </w:tc>
        <w:tc>
          <w:tcPr>
            <w:tcW w:w="10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Europe</w:t>
            </w:r>
          </w:p>
        </w:tc>
        <w:tc>
          <w:tcPr>
            <w:tcW w:w="4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7,667</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7,170</w:t>
            </w:r>
          </w:p>
        </w:tc>
        <w:tc>
          <w:tcPr>
            <w:tcW w:w="0" w:type="dxa"/>
            <w:vAlign w:val="bottom"/>
          </w:tcPr>
          <w:p>
            <w:pPr>
              <w:spacing w:after="0"/>
              <w:rPr>
                <w:sz w:val="1"/>
                <w:szCs w:val="1"/>
                <w:color w:val="auto"/>
              </w:rPr>
            </w:pPr>
          </w:p>
        </w:tc>
      </w:tr>
      <w:tr>
        <w:trPr>
          <w:trHeight w:val="203"/>
        </w:trPr>
        <w:tc>
          <w:tcPr>
            <w:tcW w:w="3660" w:type="dxa"/>
            <w:vAlign w:val="bottom"/>
          </w:tcPr>
          <w:p>
            <w:pPr>
              <w:ind w:left="540"/>
              <w:spacing w:after="0" w:line="202" w:lineRule="exact"/>
              <w:rPr>
                <w:sz w:val="20"/>
                <w:szCs w:val="20"/>
                <w:color w:val="auto"/>
              </w:rPr>
            </w:pPr>
            <w:r>
              <w:rPr>
                <w:rFonts w:ascii="Arial" w:cs="Arial" w:eastAsia="Arial" w:hAnsi="Arial"/>
                <w:sz w:val="18"/>
                <w:szCs w:val="18"/>
                <w:color w:val="auto"/>
              </w:rPr>
              <w:t>North America</w:t>
            </w:r>
          </w:p>
        </w:tc>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8,910</w:t>
            </w:r>
          </w:p>
        </w:tc>
        <w:tc>
          <w:tcPr>
            <w:tcW w:w="100" w:type="dxa"/>
            <w:vAlign w:val="bottom"/>
          </w:tcPr>
          <w:p>
            <w:pPr>
              <w:spacing w:after="0"/>
              <w:rPr>
                <w:sz w:val="17"/>
                <w:szCs w:val="17"/>
                <w:color w:val="auto"/>
              </w:rPr>
            </w:pPr>
          </w:p>
        </w:tc>
        <w:tc>
          <w:tcPr>
            <w:tcW w:w="1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Goodwill</w:t>
            </w:r>
          </w:p>
        </w:tc>
        <w:tc>
          <w:tcPr>
            <w:tcW w:w="40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20,915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20,276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040" w:type="dxa"/>
            <w:vAlign w:val="bottom"/>
            <w:vMerge w:val="restart"/>
          </w:tcPr>
          <w:p>
            <w:pPr>
              <w:jc w:val="right"/>
              <w:ind w:right="179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 June 30,</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5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r>
      <w:tr>
        <w:trPr>
          <w:trHeight w:val="184"/>
        </w:trPr>
        <w:tc>
          <w:tcPr>
            <w:tcW w:w="5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2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2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Non-amortizable intangible assets</w:t>
            </w:r>
          </w:p>
        </w:tc>
        <w:tc>
          <w:tcPr>
            <w:tcW w:w="21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17,465</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17,004</w:t>
            </w:r>
          </w:p>
        </w:tc>
      </w:tr>
      <w:tr>
        <w:trPr>
          <w:trHeight w:val="203"/>
        </w:trPr>
        <w:tc>
          <w:tcPr>
            <w:tcW w:w="5220" w:type="dxa"/>
            <w:vAlign w:val="bottom"/>
          </w:tcPr>
          <w:p>
            <w:pPr>
              <w:ind w:left="540"/>
              <w:spacing w:after="0" w:line="202" w:lineRule="exact"/>
              <w:rPr>
                <w:sz w:val="20"/>
                <w:szCs w:val="20"/>
                <w:color w:val="auto"/>
              </w:rPr>
            </w:pPr>
            <w:r>
              <w:rPr>
                <w:rFonts w:ascii="Arial" w:cs="Arial" w:eastAsia="Arial" w:hAnsi="Arial"/>
                <w:sz w:val="18"/>
                <w:szCs w:val="18"/>
                <w:color w:val="auto"/>
              </w:rPr>
              <w:t>Amortizable intangible assets</w:t>
            </w: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2,389</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2,315</w:t>
            </w:r>
          </w:p>
        </w:tc>
      </w:tr>
      <w:tr>
        <w:trPr>
          <w:trHeight w:val="27"/>
        </w:trPr>
        <w:tc>
          <w:tcPr>
            <w:tcW w:w="5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19,854</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19,319</w:t>
            </w:r>
          </w:p>
        </w:tc>
      </w:tr>
      <w:tr>
        <w:trPr>
          <w:trHeight w:val="203"/>
        </w:trPr>
        <w:tc>
          <w:tcPr>
            <w:tcW w:w="5220" w:type="dxa"/>
            <w:vAlign w:val="bottom"/>
          </w:tcPr>
          <w:p>
            <w:pPr>
              <w:ind w:left="540"/>
              <w:spacing w:after="0" w:line="202" w:lineRule="exact"/>
              <w:rPr>
                <w:sz w:val="20"/>
                <w:szCs w:val="20"/>
                <w:color w:val="auto"/>
              </w:rPr>
            </w:pPr>
            <w:r>
              <w:rPr>
                <w:rFonts w:ascii="Arial" w:cs="Arial" w:eastAsia="Arial" w:hAnsi="Arial"/>
                <w:sz w:val="18"/>
                <w:szCs w:val="18"/>
                <w:color w:val="auto"/>
              </w:rPr>
              <w:t>Accumulated amortization</w:t>
            </w: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6"/>
              <w:spacing w:after="0" w:line="202" w:lineRule="exact"/>
              <w:rPr>
                <w:sz w:val="20"/>
                <w:szCs w:val="20"/>
                <w:color w:val="auto"/>
              </w:rPr>
            </w:pPr>
            <w:r>
              <w:rPr>
                <w:rFonts w:ascii="Arial" w:cs="Arial" w:eastAsia="Arial" w:hAnsi="Arial"/>
                <w:sz w:val="18"/>
                <w:szCs w:val="18"/>
                <w:color w:val="auto"/>
              </w:rPr>
              <w:t>(1,340)</w:t>
            </w:r>
          </w:p>
        </w:tc>
        <w:tc>
          <w:tcPr>
            <w:tcW w:w="120" w:type="dxa"/>
            <w:vAlign w:val="bottom"/>
          </w:tcPr>
          <w:p>
            <w:pPr>
              <w:spacing w:after="0"/>
              <w:rPr>
                <w:sz w:val="17"/>
                <w:szCs w:val="17"/>
                <w:color w:val="auto"/>
              </w:rPr>
            </w:pP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(1,218)</w:t>
            </w:r>
          </w:p>
        </w:tc>
      </w:tr>
      <w:tr>
        <w:trPr>
          <w:trHeight w:val="27"/>
        </w:trPr>
        <w:tc>
          <w:tcPr>
            <w:tcW w:w="5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2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Intangible assets, net</w:t>
            </w:r>
          </w:p>
        </w:tc>
        <w:tc>
          <w:tcPr>
            <w:tcW w:w="19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18,514</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18,101</w:t>
            </w:r>
          </w:p>
        </w:tc>
      </w:tr>
      <w:tr>
        <w:trPr>
          <w:trHeight w:val="20"/>
        </w:trPr>
        <w:tc>
          <w:tcPr>
            <w:tcW w:w="5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trademarks, customer-related intangibles, process technology, licenses and non-compete agreements. At June 30, 2017, the weighted-average life of our amortizable intangible assets was 13.6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intangible assets was $44 million in each of the three months and $88 million in each of the six months ended</w:t>
      </w:r>
    </w:p>
    <w:p>
      <w:pPr>
        <w:ind w:right="60"/>
        <w:spacing w:after="0" w:line="246" w:lineRule="auto"/>
        <w:rPr>
          <w:sz w:val="20"/>
          <w:szCs w:val="20"/>
          <w:color w:val="auto"/>
        </w:rPr>
      </w:pPr>
      <w:r>
        <w:rPr>
          <w:rFonts w:ascii="Arial" w:cs="Arial" w:eastAsia="Arial" w:hAnsi="Arial"/>
          <w:sz w:val="18"/>
          <w:szCs w:val="18"/>
          <w:color w:val="auto"/>
        </w:rPr>
        <w:t>June 30, 2017 and June 30, 2016. For the next five years, we currently estimate annual amortization expense of approximately $175 million for the next four years and approximately $85 million in year five, reflecting June 30, 2017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Intangible</w:t>
            </w:r>
          </w:p>
        </w:tc>
      </w:tr>
      <w:tr>
        <w:trPr>
          <w:trHeight w:val="175"/>
        </w:trPr>
        <w:tc>
          <w:tcPr>
            <w:tcW w:w="7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gridSpan w:val="2"/>
          </w:tcPr>
          <w:p>
            <w:pPr>
              <w:jc w:val="right"/>
              <w:ind w:right="1308"/>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Assets, at cost</w:t>
            </w:r>
          </w:p>
        </w:tc>
      </w:tr>
      <w:tr>
        <w:trPr>
          <w:trHeight w:val="184"/>
        </w:trPr>
        <w:tc>
          <w:tcPr>
            <w:tcW w:w="7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218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20,276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19,319</w:t>
            </w:r>
          </w:p>
        </w:tc>
      </w:tr>
      <w:tr>
        <w:trPr>
          <w:trHeight w:val="203"/>
        </w:trPr>
        <w:tc>
          <w:tcPr>
            <w:tcW w:w="7160" w:type="dxa"/>
            <w:vAlign w:val="bottom"/>
          </w:tcPr>
          <w:p>
            <w:pPr>
              <w:ind w:left="540"/>
              <w:spacing w:after="0" w:line="202" w:lineRule="exact"/>
              <w:rPr>
                <w:sz w:val="20"/>
                <w:szCs w:val="20"/>
                <w:color w:val="auto"/>
              </w:rPr>
            </w:pPr>
            <w:r>
              <w:rPr>
                <w:rFonts w:ascii="Arial" w:cs="Arial" w:eastAsia="Arial" w:hAnsi="Arial"/>
                <w:sz w:val="18"/>
                <w:szCs w:val="18"/>
                <w:color w:val="auto"/>
              </w:rPr>
              <w:t>Currency</w:t>
            </w:r>
          </w:p>
        </w:tc>
        <w:tc>
          <w:tcPr>
            <w:tcW w:w="3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651</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120" w:type="dxa"/>
            <w:vAlign w:val="bottom"/>
          </w:tcPr>
          <w:p>
            <w:pPr>
              <w:spacing w:after="0"/>
              <w:rPr>
                <w:sz w:val="17"/>
                <w:szCs w:val="17"/>
                <w:color w:val="auto"/>
              </w:rPr>
            </w:pP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Divestiture</w:t>
            </w:r>
          </w:p>
        </w:tc>
        <w:tc>
          <w:tcPr>
            <w:tcW w:w="3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688"/>
              <w:spacing w:after="0" w:line="202" w:lineRule="exact"/>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w:t>
            </w:r>
          </w:p>
        </w:tc>
      </w:tr>
      <w:tr>
        <w:trPr>
          <w:trHeight w:val="203"/>
        </w:trPr>
        <w:tc>
          <w:tcPr>
            <w:tcW w:w="7160" w:type="dxa"/>
            <w:vAlign w:val="bottom"/>
          </w:tcPr>
          <w:p>
            <w:pPr>
              <w:ind w:left="540"/>
              <w:spacing w:after="0" w:line="202" w:lineRule="exact"/>
              <w:rPr>
                <w:sz w:val="20"/>
                <w:szCs w:val="20"/>
                <w:color w:val="auto"/>
              </w:rPr>
            </w:pPr>
            <w:r>
              <w:rPr>
                <w:rFonts w:ascii="Arial" w:cs="Arial" w:eastAsia="Arial" w:hAnsi="Arial"/>
                <w:sz w:val="18"/>
                <w:szCs w:val="18"/>
                <w:color w:val="auto"/>
              </w:rPr>
              <w:t>Acquisition</w:t>
            </w:r>
          </w:p>
        </w:tc>
        <w:tc>
          <w:tcPr>
            <w:tcW w:w="300" w:type="dxa"/>
            <w:vAlign w:val="bottom"/>
          </w:tcPr>
          <w:p>
            <w:pPr>
              <w:spacing w:after="0"/>
              <w:rPr>
                <w:sz w:val="17"/>
                <w:szCs w:val="17"/>
                <w:color w:val="auto"/>
              </w:rPr>
            </w:pPr>
          </w:p>
        </w:tc>
        <w:tc>
          <w:tcPr>
            <w:tcW w:w="2180" w:type="dxa"/>
            <w:vAlign w:val="bottom"/>
            <w:gridSpan w:val="2"/>
          </w:tcPr>
          <w:p>
            <w:pPr>
              <w:jc w:val="right"/>
              <w:ind w:right="748"/>
              <w:spacing w:after="0" w:line="202" w:lineRule="exact"/>
              <w:rPr>
                <w:sz w:val="20"/>
                <w:szCs w:val="20"/>
                <w:color w:val="auto"/>
              </w:rPr>
            </w:pPr>
            <w:r>
              <w:rPr>
                <w:rFonts w:ascii="Arial" w:cs="Arial" w:eastAsia="Arial" w:hAnsi="Arial"/>
                <w:sz w:val="18"/>
                <w:szCs w:val="18"/>
                <w:color w:val="auto"/>
              </w:rPr>
              <w:t>12</w:t>
            </w:r>
          </w:p>
        </w:tc>
        <w:tc>
          <w:tcPr>
            <w:tcW w:w="200" w:type="dxa"/>
            <w:vAlign w:val="bottom"/>
          </w:tcPr>
          <w:p>
            <w:pPr>
              <w:spacing w:after="0"/>
              <w:rPr>
                <w:sz w:val="17"/>
                <w:szCs w:val="17"/>
                <w:color w:val="auto"/>
              </w:rPr>
            </w:pPr>
          </w:p>
        </w:tc>
        <w:tc>
          <w:tcPr>
            <w:tcW w:w="1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Asset impairment</w:t>
            </w:r>
          </w:p>
        </w:tc>
        <w:tc>
          <w:tcPr>
            <w:tcW w:w="300" w:type="dxa"/>
            <w:vAlign w:val="bottom"/>
            <w:shd w:val="clear" w:color="auto" w:fill="CCEEFF"/>
          </w:tcPr>
          <w:p>
            <w:pPr>
              <w:spacing w:after="0"/>
              <w:rPr>
                <w:sz w:val="17"/>
                <w:szCs w:val="17"/>
                <w:color w:val="auto"/>
              </w:rPr>
            </w:pPr>
          </w:p>
        </w:tc>
        <w:tc>
          <w:tcPr>
            <w:tcW w:w="2180" w:type="dxa"/>
            <w:vAlign w:val="bottom"/>
            <w:gridSpan w:val="2"/>
            <w:shd w:val="clear" w:color="auto" w:fill="CCEEFF"/>
          </w:tcPr>
          <w:p>
            <w:pPr>
              <w:jc w:val="right"/>
              <w:ind w:right="74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7160" w:type="dxa"/>
            <w:vAlign w:val="bottom"/>
          </w:tcPr>
          <w:p>
            <w:pPr>
              <w:ind w:left="54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180" w:type="dxa"/>
            <w:vAlign w:val="bottom"/>
            <w:gridSpan w:val="2"/>
          </w:tcPr>
          <w:p>
            <w:pPr>
              <w:jc w:val="right"/>
              <w:ind w:right="688"/>
              <w:spacing w:after="0" w:line="202"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2017</w:t>
            </w:r>
          </w:p>
        </w:tc>
        <w:tc>
          <w:tcPr>
            <w:tcW w:w="300" w:type="dxa"/>
            <w:vAlign w:val="bottom"/>
            <w:tcBorders>
              <w:top w:val="single" w:sz="8" w:color="auto"/>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20,915</w:t>
            </w:r>
          </w:p>
        </w:tc>
        <w:tc>
          <w:tcPr>
            <w:tcW w:w="82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19,854</w:t>
            </w:r>
          </w:p>
        </w:tc>
        <w:tc>
          <w:tcPr>
            <w:tcW w:w="120" w:type="dxa"/>
            <w:vAlign w:val="bottom"/>
            <w:shd w:val="clear" w:color="auto" w:fill="CCEEFF"/>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ind w:left="900" w:right="22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Divestiture – During the second quarter of 2017, we divested several manufacturing facilities primarily in France and as a result of the divestiture, $23 million of goodwill and $62 million of amortizable and non-amortizable intangible assets.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900" w:right="20" w:hanging="325"/>
        <w:spacing w:after="0" w:line="23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Acquisition – During the second quarter of 2017, we recorded a $12 million adjustment to goodwill in connection with our preliminary purchase price allocation for the Burton’s Biscuit Company purchase completed in the fourth quarter of 2016.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2" w:lineRule="exact"/>
        <w:rPr>
          <w:rFonts w:ascii="Arial" w:cs="Arial" w:eastAsia="Arial" w:hAnsi="Arial"/>
          <w:sz w:val="18"/>
          <w:szCs w:val="18"/>
          <w:color w:val="auto"/>
        </w:rPr>
      </w:pPr>
    </w:p>
    <w:p>
      <w:pPr>
        <w:ind w:left="900" w:right="60" w:hanging="325"/>
        <w:spacing w:after="0" w:line="24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impairment – During the second quarter of 2017, we recorded a $38 million intangible asset impairment charge resulting from a category decline and lower than expected product growth related to a gum trademark in our North America segment.</w:t>
      </w:r>
    </w:p>
    <w:p>
      <w:pPr>
        <w:spacing w:after="0" w:line="197"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During our 2016 annual testing of non-amortizable intangible assets, we recorded $98 million of impairment charges in the fourth quarter of 2016 related to five trademarks recorded across all regions. We also noted nine brands, including the five impaired trademarks, with</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$630 million of aggregate book value as of December 31, 2016 that each had a fair value in excess of book value of 10% or less. We believe our current plans for each of these brands will allow them to continue to not be impaired, but if the product line expectations are not met or specific valuation factors outside of our control, such as discount rates, change significantly, then a brand or brands could become impaired in the future.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2014-2018 Restructuring Program</w:t>
      </w:r>
    </w:p>
    <w:p>
      <w:pPr>
        <w:spacing w:after="0" w:line="23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On May 6, 2014, our Board of Directors approved a $3.5 billion restructuring program and up to $2.2 billion of capital expenditures. On August 31, 2016, our Board of Directors approved a $600 million reallocation between restructuring program cash costs and capital expenditures so that now the $5.7 billion program consists of approximately $4.1 billion of restructuring program costs ($3.1 billion cash costs and $1 billion non-cash costs) and up to $1.6 billion of capital expenditures. The primary objective of the 2014-2018 Restructuring Program is to reduce our operating cost structure in both our supply chain and overhead costs. The program is intended primarily to cover severance as well as asset disposals and other manufacturing-related one-time costs. Since inception, we have incurred total restructuring and related implementation charges of $2.9 billion related to the 2014-2018 Restructuring Program. We expect to incur the full $4.1 billion of program charges by year-end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recorded restructuring charges of $148 million in the three months and $305 million in the six months ended June 30, 2017 and</w:t>
      </w:r>
    </w:p>
    <w:p>
      <w:pPr>
        <w:spacing w:after="0" w:line="234" w:lineRule="auto"/>
        <w:rPr>
          <w:sz w:val="20"/>
          <w:szCs w:val="20"/>
          <w:color w:val="auto"/>
        </w:rPr>
      </w:pPr>
      <w:r>
        <w:rPr>
          <w:rFonts w:ascii="Arial" w:cs="Arial" w:eastAsia="Arial" w:hAnsi="Arial"/>
          <w:sz w:val="18"/>
          <w:szCs w:val="18"/>
          <w:color w:val="auto"/>
        </w:rPr>
        <w:t>$154 million in the three months and $293 million in the six months ended June 30, 2016 within asset impairment and exit costs. The 2014-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2018 Restructuring Program liability activity for the six months ended June 30, 2017 was: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and related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Asset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Write-downs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4"/>
        </w:trPr>
        <w:tc>
          <w:tcPr>
            <w:tcW w:w="7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7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7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Liability balance, January 1, 2017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3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7"/>
                <w:szCs w:val="17"/>
                <w:color w:val="auto"/>
              </w:rPr>
            </w:pPr>
          </w:p>
        </w:tc>
      </w:tr>
      <w:tr>
        <w:trPr>
          <w:trHeight w:val="203"/>
        </w:trPr>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r>
      <w:tr>
        <w:trPr>
          <w:trHeight w:val="203"/>
        </w:trPr>
        <w:tc>
          <w:tcPr>
            <w:tcW w:w="7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Cash spent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w:t>
            </w:r>
          </w:p>
        </w:tc>
      </w:tr>
      <w:tr>
        <w:trPr>
          <w:trHeight w:val="203"/>
        </w:trPr>
        <w:tc>
          <w:tcPr>
            <w:tcW w:w="7140" w:type="dxa"/>
            <w:vAlign w:val="bottom"/>
          </w:tcPr>
          <w:p>
            <w:pPr>
              <w:ind w:left="720"/>
              <w:spacing w:after="0" w:line="202" w:lineRule="exact"/>
              <w:rPr>
                <w:sz w:val="20"/>
                <w:szCs w:val="20"/>
                <w:color w:val="auto"/>
              </w:rPr>
            </w:pPr>
            <w:r>
              <w:rPr>
                <w:rFonts w:ascii="Arial" w:cs="Arial" w:eastAsia="Arial" w:hAnsi="Arial"/>
                <w:sz w:val="18"/>
                <w:szCs w:val="18"/>
                <w:color w:val="auto"/>
              </w:rPr>
              <w:t>Non-cash settlements/adjustments</w:t>
            </w:r>
          </w:p>
        </w:tc>
        <w:tc>
          <w:tcPr>
            <w:tcW w:w="120" w:type="dxa"/>
            <w:vAlign w:val="bottom"/>
          </w:tcPr>
          <w:p>
            <w:pPr>
              <w:spacing w:after="0"/>
              <w:rPr>
                <w:sz w:val="17"/>
                <w:szCs w:val="17"/>
                <w:color w:val="auto"/>
              </w:rPr>
            </w:pP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(126)</w:t>
            </w:r>
          </w:p>
        </w:tc>
      </w:tr>
      <w:tr>
        <w:trPr>
          <w:trHeight w:val="203"/>
        </w:trPr>
        <w:tc>
          <w:tcPr>
            <w:tcW w:w="71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Currency</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r>
      <w:tr>
        <w:trPr>
          <w:trHeight w:val="210"/>
        </w:trPr>
        <w:tc>
          <w:tcPr>
            <w:tcW w:w="7140" w:type="dxa"/>
            <w:vAlign w:val="bottom"/>
          </w:tcPr>
          <w:p>
            <w:pPr>
              <w:ind w:left="540"/>
              <w:spacing w:after="0"/>
              <w:rPr>
                <w:sz w:val="20"/>
                <w:szCs w:val="20"/>
                <w:color w:val="auto"/>
              </w:rPr>
            </w:pPr>
            <w:r>
              <w:rPr>
                <w:rFonts w:ascii="Arial" w:cs="Arial" w:eastAsia="Arial" w:hAnsi="Arial"/>
                <w:sz w:val="18"/>
                <w:szCs w:val="18"/>
                <w:color w:val="auto"/>
              </w:rPr>
              <w:t>Liability balance, June 30,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 xml:space="preserve">We spent $78 million in the three months and $162 million in the six months ended June 30, 2017 and $86 million in the three months and $160 million in the six months ended June 30, 2016 in cash severance and related costs. We also recognized non-cash pension settlement losses (See Note 9,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totaling $54 million in the three months and $126 million in the six months ended June 30, 2017 and $72 million in the three months and $124 million in the six months ended June 30, 2016. At June 30, 2017, $ 435 million of our net restructuring liability was recorded within other current liabilities and $65 million was recorded within other long-term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1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2014-2018 Restructuring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$63 million in the three months and $117 million in the six months ended June 30, 2017 and $74 million in the three months and $172 million in the six months ended June 30, 2016. We recorded these costs within cost of sales and general corporate expense within selling, general and administrative expenses.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 in Operating Income:</w:t>
      </w:r>
    </w:p>
    <w:p>
      <w:pPr>
        <w:spacing w:after="0" w:line="1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During the three and six months ended June 30, 2017 and June 30, 2016, and since inception of the 2014-2018 Restructuring Program, we recorded restructuring and implementation costs within operating income by segment (as revised to reflect our current segment structure)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North</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9"/>
        </w:trPr>
        <w:tc>
          <w:tcPr>
            <w:tcW w:w="4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60"/>
              <w:spacing w:after="0" w:line="179" w:lineRule="exact"/>
              <w:rPr>
                <w:sz w:val="20"/>
                <w:szCs w:val="20"/>
                <w:color w:val="auto"/>
              </w:rPr>
            </w:pPr>
            <w:r>
              <w:rPr>
                <w:rFonts w:ascii="Arial" w:cs="Arial" w:eastAsia="Arial" w:hAnsi="Arial"/>
                <w:sz w:val="12"/>
                <w:szCs w:val="12"/>
                <w:b w:val="1"/>
                <w:bCs w:val="1"/>
                <w:color w:val="auto"/>
              </w:rPr>
              <w:t xml:space="preserve">America </w:t>
            </w:r>
            <w:r>
              <w:rPr>
                <w:rFonts w:ascii="Arial" w:cs="Arial" w:eastAsia="Arial" w:hAnsi="Arial"/>
                <w:sz w:val="20"/>
                <w:szCs w:val="20"/>
                <w:b w:val="1"/>
                <w:bCs w:val="1"/>
                <w:color w:val="auto"/>
                <w:vertAlign w:val="superscript"/>
              </w:rPr>
              <w:t>(1)</w:t>
            </w:r>
          </w:p>
        </w:tc>
        <w:tc>
          <w:tcPr>
            <w:tcW w:w="1120" w:type="dxa"/>
            <w:vAlign w:val="bottom"/>
            <w:gridSpan w:val="3"/>
          </w:tcPr>
          <w:p>
            <w:pPr>
              <w:jc w:val="right"/>
              <w:ind w:right="180"/>
              <w:spacing w:after="0" w:line="179" w:lineRule="exact"/>
              <w:rPr>
                <w:sz w:val="20"/>
                <w:szCs w:val="20"/>
                <w:color w:val="auto"/>
              </w:rPr>
            </w:pPr>
            <w:r>
              <w:rPr>
                <w:rFonts w:ascii="Arial" w:cs="Arial" w:eastAsia="Arial" w:hAnsi="Arial"/>
                <w:sz w:val="12"/>
                <w:szCs w:val="12"/>
                <w:b w:val="1"/>
                <w:bCs w:val="1"/>
                <w:color w:val="auto"/>
              </w:rPr>
              <w:t xml:space="preserve">Corporate </w:t>
            </w:r>
            <w:r>
              <w:rPr>
                <w:rFonts w:ascii="Arial" w:cs="Arial" w:eastAsia="Arial" w:hAnsi="Arial"/>
                <w:sz w:val="20"/>
                <w:szCs w:val="20"/>
                <w:b w:val="1"/>
                <w:bCs w:val="1"/>
                <w:color w:val="auto"/>
                <w:vertAlign w:val="superscript"/>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84"/>
        </w:trPr>
        <w:tc>
          <w:tcPr>
            <w:tcW w:w="4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gridSpan w:val="6"/>
          </w:tcPr>
          <w:p>
            <w:pPr>
              <w:jc w:val="right"/>
              <w:ind w:right="9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9"/>
        </w:trPr>
        <w:tc>
          <w:tcPr>
            <w:tcW w:w="4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0"/>
        </w:trPr>
        <w:tc>
          <w:tcPr>
            <w:tcW w:w="41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1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33</w:t>
            </w:r>
          </w:p>
        </w:tc>
        <w:tc>
          <w:tcPr>
            <w:tcW w:w="40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w:t>
            </w: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4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0"/>
        </w:trPr>
        <w:tc>
          <w:tcPr>
            <w:tcW w:w="41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Six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2017</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1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40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w:t>
            </w: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4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0"/>
        </w:trPr>
        <w:tc>
          <w:tcPr>
            <w:tcW w:w="41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Three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1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w:t>
            </w:r>
          </w:p>
        </w:tc>
        <w:tc>
          <w:tcPr>
            <w:tcW w:w="40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154</w:t>
            </w: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w:t>
            </w: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228</w:t>
            </w: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4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180"/>
        </w:trPr>
        <w:tc>
          <w:tcPr>
            <w:tcW w:w="414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For the Six Months Ended</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1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June 30, 2016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1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68</w:t>
            </w:r>
          </w:p>
        </w:tc>
        <w:tc>
          <w:tcPr>
            <w:tcW w:w="40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293</w:t>
            </w: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
        </w:trPr>
        <w:tc>
          <w:tcPr>
            <w:tcW w:w="4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Project 2014-2017 </w:t>
            </w:r>
            <w:r>
              <w:rPr>
                <w:rFonts w:ascii="Arial" w:cs="Arial" w:eastAsia="Arial" w:hAnsi="Arial"/>
                <w:sz w:val="15"/>
                <w:szCs w:val="15"/>
                <w:color w:val="auto"/>
              </w:rPr>
              <w:t>(3)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140" w:type="dxa"/>
            <w:vAlign w:val="bottom"/>
          </w:tcPr>
          <w:p>
            <w:pPr>
              <w:ind w:left="540"/>
              <w:spacing w:after="0" w:line="202" w:lineRule="exact"/>
              <w:rPr>
                <w:sz w:val="20"/>
                <w:szCs w:val="20"/>
                <w:color w:val="auto"/>
              </w:rPr>
            </w:pPr>
            <w:r>
              <w:rPr>
                <w:rFonts w:ascii="Arial" w:cs="Arial" w:eastAsia="Arial" w:hAnsi="Arial"/>
                <w:sz w:val="18"/>
                <w:szCs w:val="18"/>
                <w:color w:val="auto"/>
              </w:rPr>
              <w:t>Restructuring Costs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369</w:t>
            </w:r>
          </w:p>
        </w:tc>
        <w:tc>
          <w:tcPr>
            <w:tcW w:w="22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382</w:t>
            </w:r>
          </w:p>
        </w:tc>
        <w:tc>
          <w:tcPr>
            <w:tcW w:w="120" w:type="dxa"/>
            <w:vAlign w:val="bottom"/>
          </w:tcPr>
          <w:p>
            <w:pPr>
              <w:spacing w:after="0"/>
              <w:rPr>
                <w:sz w:val="17"/>
                <w:szCs w:val="17"/>
                <w:color w:val="auto"/>
              </w:rPr>
            </w:pP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768</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425</w:t>
            </w:r>
          </w:p>
        </w:tc>
        <w:tc>
          <w:tcPr>
            <w:tcW w:w="400" w:type="dxa"/>
            <w:vAlign w:val="bottom"/>
          </w:tcPr>
          <w:p>
            <w:pPr>
              <w:jc w:val="right"/>
              <w:ind w:right="213"/>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2,004</w:t>
            </w:r>
          </w:p>
        </w:tc>
      </w:tr>
      <w:tr>
        <w:trPr>
          <w:trHeight w:val="203"/>
        </w:trPr>
        <w:tc>
          <w:tcPr>
            <w:tcW w:w="414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Implementation Costs</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221</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887</w:t>
            </w:r>
          </w:p>
        </w:tc>
      </w:tr>
      <w:tr>
        <w:trPr>
          <w:trHeight w:val="20"/>
        </w:trPr>
        <w:tc>
          <w:tcPr>
            <w:tcW w:w="4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140" w:type="dxa"/>
            <w:vAlign w:val="bottom"/>
          </w:tcPr>
          <w:p>
            <w:pPr>
              <w:ind w:left="5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646</w:t>
            </w:r>
          </w:p>
        </w:tc>
        <w:tc>
          <w:tcPr>
            <w:tcW w:w="400" w:type="dxa"/>
            <w:vAlign w:val="bottom"/>
          </w:tcPr>
          <w:p>
            <w:pPr>
              <w:jc w:val="right"/>
              <w:ind w:right="21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2,891</w:t>
            </w:r>
          </w:p>
        </w:tc>
      </w:tr>
      <w:tr>
        <w:trPr>
          <w:trHeight w:val="20"/>
        </w:trPr>
        <w:tc>
          <w:tcPr>
            <w:tcW w:w="4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9" w:lineRule="exact"/>
        <w:rPr>
          <w:sz w:val="20"/>
          <w:szCs w:val="20"/>
          <w:color w:val="auto"/>
        </w:rPr>
      </w:pPr>
    </w:p>
    <w:p>
      <w:pPr>
        <w:ind w:left="1140" w:right="60" w:hanging="335"/>
        <w:spacing w:after="0" w:line="241"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2017 and 2016, our North America region implementation costs included incremental costs that we incurred related to re-negotiating collective bargaining agreements that expired at the end of February 2016 for eight U.S. facilities and related to executing business continuity plans for the North America business.</w:t>
      </w: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adjustment for rounding.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June 30,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and Borrowing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4"/>
          </w:tcPr>
          <w:p>
            <w:pPr>
              <w:ind w:left="500"/>
              <w:spacing w:after="0"/>
              <w:rPr>
                <w:sz w:val="20"/>
                <w:szCs w:val="20"/>
                <w:color w:val="auto"/>
              </w:rPr>
            </w:pPr>
            <w:r>
              <w:rPr>
                <w:rFonts w:ascii="Arial" w:cs="Arial" w:eastAsia="Arial" w:hAnsi="Arial"/>
                <w:sz w:val="14"/>
                <w:szCs w:val="14"/>
                <w:b w:val="1"/>
                <w:bCs w:val="1"/>
                <w:color w:val="auto"/>
              </w:rPr>
              <w:t>As of June 30, 2017</w:t>
            </w:r>
          </w:p>
        </w:tc>
        <w:tc>
          <w:tcPr>
            <w:tcW w:w="100" w:type="dxa"/>
            <w:vAlign w:val="bottom"/>
          </w:tcPr>
          <w:p>
            <w:pPr>
              <w:spacing w:after="0"/>
              <w:rPr>
                <w:sz w:val="15"/>
                <w:szCs w:val="15"/>
                <w:color w:val="auto"/>
              </w:rPr>
            </w:pPr>
          </w:p>
        </w:tc>
        <w:tc>
          <w:tcPr>
            <w:tcW w:w="25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As of December 31, 2016</w:t>
            </w:r>
          </w:p>
        </w:tc>
      </w:tr>
      <w:tr>
        <w:trPr>
          <w:trHeight w:val="142"/>
        </w:trPr>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center"/>
              <w:ind w:right="660"/>
              <w:spacing w:after="0" w:line="143" w:lineRule="exact"/>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ind w:right="39"/>
              <w:spacing w:after="0" w:line="143"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r>
      <w:tr>
        <w:trPr>
          <w:trHeight w:val="175"/>
        </w:trPr>
        <w:tc>
          <w:tcPr>
            <w:tcW w:w="5720" w:type="dxa"/>
            <w:vAlign w:val="bottom"/>
          </w:tcPr>
          <w:p>
            <w:pPr>
              <w:spacing w:after="0"/>
              <w:rPr>
                <w:sz w:val="15"/>
                <w:szCs w:val="15"/>
                <w:color w:val="auto"/>
              </w:rPr>
            </w:pP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Outstanding</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 Rate</w:t>
            </w:r>
          </w:p>
        </w:tc>
        <w:tc>
          <w:tcPr>
            <w:tcW w:w="15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Outstanding</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Average Rate</w:t>
            </w:r>
          </w:p>
        </w:tc>
      </w:tr>
      <w:tr>
        <w:trPr>
          <w:trHeight w:val="184"/>
        </w:trPr>
        <w:tc>
          <w:tcPr>
            <w:tcW w:w="5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5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4,219</w:t>
            </w:r>
          </w:p>
        </w:tc>
        <w:tc>
          <w:tcPr>
            <w:tcW w:w="15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2,371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10"/>
        </w:trPr>
        <w:tc>
          <w:tcPr>
            <w:tcW w:w="5720" w:type="dxa"/>
            <w:vAlign w:val="bottom"/>
          </w:tcPr>
          <w:p>
            <w:pPr>
              <w:ind w:left="540"/>
              <w:spacing w:after="0" w:line="202" w:lineRule="exact"/>
              <w:rPr>
                <w:sz w:val="20"/>
                <w:szCs w:val="20"/>
                <w:color w:val="auto"/>
              </w:rPr>
            </w:pPr>
            <w:r>
              <w:rPr>
                <w:rFonts w:ascii="Arial" w:cs="Arial" w:eastAsia="Arial" w:hAnsi="Arial"/>
                <w:sz w:val="18"/>
                <w:szCs w:val="18"/>
                <w:color w:val="auto"/>
              </w:rPr>
              <w:t>Bank loans</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594</w:t>
            </w:r>
          </w:p>
        </w:tc>
        <w:tc>
          <w:tcPr>
            <w:tcW w:w="560" w:type="dxa"/>
            <w:vAlign w:val="bottom"/>
          </w:tcPr>
          <w:p>
            <w:pPr>
              <w:spacing w:after="0"/>
              <w:rPr>
                <w:sz w:val="18"/>
                <w:szCs w:val="18"/>
                <w:color w:val="auto"/>
              </w:rPr>
            </w:pPr>
          </w:p>
        </w:tc>
        <w:tc>
          <w:tcPr>
            <w:tcW w:w="15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560" w:type="dxa"/>
            <w:vAlign w:val="bottom"/>
          </w:tcPr>
          <w:p>
            <w:pPr>
              <w:spacing w:after="0"/>
              <w:rPr>
                <w:sz w:val="18"/>
                <w:szCs w:val="18"/>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short-term borrowings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4,813</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2,531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of June 30, 2017, commercial paper issued and outstanding had between 3 and 89 days remaining to maturity. Commercial paper borrowings increased since year-end primarily as a result of issuances to finance the payment of long-term debt maturities, dividend payments and share repurchases during the quarter.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$2.2 billion at June 30, 2017 and $1.8 billion at December 31, 2016. Borrowings on these lines were $594 million at June 30, 2017 and $160 million at December 31, 2016. Short-term bank loans and cash and cash equivalents increased at the end of the second quarter as scheduled cash sweeps, which normally transfer cash between accounts to fund obligations, did not occur. As a result, temporary bank overdrafts resulted in the accounts scheduled to be funded and were recorded within short-term bank loans and funded in early July.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March 1, 2017, to supplement our commercial paper program, we entered into a $1.5 billion revolving credit agreement for a 364-day senior unsecured credit facility that is scheduled to expire on February 28, 2018. The agreement includes the same terms and conditions as our existing $4.5 billion multi-year credit facility discussed below. As of June 30, 2017, no amounts were drawn on the facility.</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also maintain a $4.5 billion multi-year senior unsecured revolving credit facility for general corporate purposes, including working capital needs, and to support our commercial paper program. On October 14, 2016, the revolving credit agreement, which was scheduled to expire on October 11, 2018, was extended through October 11, 2021. The revolving credit agreement includes a covenant that we maintain a minimum shareholders’ equity of at least $24.6 billion, excluding accumulated other comprehensive earnings/(losses) and the cumulative effects of any changes in accounting principles. At June 30, 2017, we complied with this covenant as our shareholders’ equity, as defined by the covenant, was $35.9 billion. The revolving credit facility agreement also contains customary representations, covenants and events of default. There are no credit rating triggers, provisions or other financial covenants that could require us to post collateral as security. As of June 30, 2017, no amounts were drawn on the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On April 12, 2017, we discharged $488 million of our 6.500% U.S. dollar-denominated debt. We paid $504 million, representing principal as well as past and future interest accruals from February 2017 through the August 2017 maturity date. We recorded an $11 million loss on debt extinguishment within interest expense and a $5 million reduction in accrued interest.</w:t>
      </w:r>
    </w:p>
    <w:p>
      <w:pPr>
        <w:spacing w:after="0" w:line="18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On March 30, 2017, </w:t>
      </w:r>
      <w:r>
        <w:rPr>
          <w:rFonts w:ascii="Arial" w:cs="Arial" w:eastAsia="Arial" w:hAnsi="Arial"/>
          <w:sz w:val="18"/>
          <w:szCs w:val="18"/>
          <w:i w:val="1"/>
          <w:iCs w:val="1"/>
          <w:color w:val="auto"/>
        </w:rPr>
        <w:t>fr.</w:t>
      </w:r>
      <w:r>
        <w:rPr>
          <w:rFonts w:ascii="Arial" w:cs="Arial" w:eastAsia="Arial" w:hAnsi="Arial"/>
          <w:sz w:val="18"/>
          <w:szCs w:val="18"/>
          <w:color w:val="auto"/>
        </w:rPr>
        <w:t xml:space="preserve">175 million of our 0.000% Swiss franc-denominated notes matured. The notes and accrued interest to date were paid with net proceeds from the </w:t>
      </w:r>
      <w:r>
        <w:rPr>
          <w:rFonts w:ascii="Arial" w:cs="Arial" w:eastAsia="Arial" w:hAnsi="Arial"/>
          <w:sz w:val="18"/>
          <w:szCs w:val="18"/>
          <w:i w:val="1"/>
          <w:iCs w:val="1"/>
          <w:color w:val="auto"/>
        </w:rPr>
        <w:t>fr</w:t>
      </w:r>
      <w:r>
        <w:rPr>
          <w:rFonts w:ascii="Arial" w:cs="Arial" w:eastAsia="Arial" w:hAnsi="Arial"/>
          <w:sz w:val="18"/>
          <w:szCs w:val="18"/>
          <w:color w:val="auto"/>
        </w:rPr>
        <w:t>.350 million Swiss franc-denominated notes issued on March 13, 2017.</w:t>
      </w:r>
    </w:p>
    <w:p>
      <w:pPr>
        <w:spacing w:after="0" w:line="16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 xml:space="preserve">On March 13, 2017, we launched an offering of </w:t>
      </w:r>
      <w:r>
        <w:rPr>
          <w:rFonts w:ascii="Arial" w:cs="Arial" w:eastAsia="Arial" w:hAnsi="Arial"/>
          <w:sz w:val="18"/>
          <w:szCs w:val="18"/>
          <w:i w:val="1"/>
          <w:iCs w:val="1"/>
          <w:color w:val="auto"/>
        </w:rPr>
        <w:t>fr</w:t>
      </w:r>
      <w:r>
        <w:rPr>
          <w:rFonts w:ascii="Arial" w:cs="Arial" w:eastAsia="Arial" w:hAnsi="Arial"/>
          <w:sz w:val="18"/>
          <w:szCs w:val="18"/>
          <w:color w:val="auto"/>
        </w:rPr>
        <w:t>.350 million of Swiss franc-denominated notes, or $349 million in U.S. dollars as of March 31, 2017, consisting of:</w:t>
      </w:r>
    </w:p>
    <w:p>
      <w:pPr>
        <w:ind w:left="900" w:hanging="325"/>
        <w:spacing w:after="0" w:line="23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.225 million (or $224 million) of 0.050% fixed rate notes that mature on March 30, 2020</w:t>
      </w:r>
    </w:p>
    <w:p>
      <w:pPr>
        <w:ind w:left="900" w:hanging="325"/>
        <w:spacing w:after="0" w:line="23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fr</w:t>
      </w:r>
      <w:r>
        <w:rPr>
          <w:rFonts w:ascii="Arial" w:cs="Arial" w:eastAsia="Arial" w:hAnsi="Arial"/>
          <w:sz w:val="18"/>
          <w:szCs w:val="18"/>
          <w:color w:val="auto"/>
        </w:rPr>
        <w:t>.125 million (or $125 million) of 0.617% fixed rate notes that mature on September 30,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March 30, 2017, we received net proceeds of </w:t>
      </w:r>
      <w:r>
        <w:rPr>
          <w:rFonts w:ascii="Arial" w:cs="Arial" w:eastAsia="Arial" w:hAnsi="Arial"/>
          <w:sz w:val="18"/>
          <w:szCs w:val="18"/>
          <w:i w:val="1"/>
          <w:iCs w:val="1"/>
          <w:color w:val="auto"/>
        </w:rPr>
        <w:t>fr.</w:t>
      </w:r>
      <w:r>
        <w:rPr>
          <w:rFonts w:ascii="Arial" w:cs="Arial" w:eastAsia="Arial" w:hAnsi="Arial"/>
          <w:sz w:val="18"/>
          <w:szCs w:val="18"/>
          <w:color w:val="auto"/>
        </w:rPr>
        <w:t>349 million (or $349 million) that were used for general corporate purposes.</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January 26, 2017, €750 million of our 1.125% euro-denominated notes matured. The notes and accrued interest to date were paid with the issuance of commercial paper and cash on hand.</w:t>
      </w:r>
    </w:p>
    <w:p>
      <w:pPr>
        <w:spacing w:after="0" w:line="17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Our weighted-average interest rate on our total debt was 2.1% as of June 30, 2017 and 2.2% as of December 31, 2016, down from 3.7% as of December 31, 2015.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fair value of our short-term borrowings at June 30, 2017 and December 31, 2016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June 30, 2017, the aggregate fair value of our total debt was $19,477 million and its carrying value was $18,781 million. At December 31, 2016, the aggregate fair value of our total debt was $17,882 million and its carrying value was $17,199 million.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within our results of continuing operations consisted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For the Six Months Ended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w w:val="99"/>
              </w:rPr>
              <w:t>June 30,</w:t>
            </w:r>
          </w:p>
        </w:tc>
        <w:tc>
          <w:tcPr>
            <w:tcW w:w="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4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4"/>
        </w:trPr>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4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4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expense, debt</w:t>
            </w:r>
          </w:p>
        </w:tc>
        <w:tc>
          <w:tcPr>
            <w:tcW w:w="180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103</w:t>
            </w:r>
          </w:p>
        </w:tc>
        <w:tc>
          <w:tcPr>
            <w:tcW w:w="13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9"/>
              </w:rPr>
              <w:t>135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271</w:t>
            </w:r>
          </w:p>
        </w:tc>
      </w:tr>
      <w:tr>
        <w:trPr>
          <w:trHeight w:val="203"/>
        </w:trPr>
        <w:tc>
          <w:tcPr>
            <w:tcW w:w="4420" w:type="dxa"/>
            <w:vAlign w:val="bottom"/>
          </w:tcPr>
          <w:p>
            <w:pPr>
              <w:ind w:left="540"/>
              <w:spacing w:after="0" w:line="202" w:lineRule="exact"/>
              <w:rPr>
                <w:sz w:val="20"/>
                <w:szCs w:val="20"/>
                <w:color w:val="auto"/>
              </w:rPr>
            </w:pPr>
            <w:r>
              <w:rPr>
                <w:rFonts w:ascii="Arial" w:cs="Arial" w:eastAsia="Arial" w:hAnsi="Arial"/>
                <w:sz w:val="18"/>
                <w:szCs w:val="18"/>
                <w:color w:val="auto"/>
              </w:rPr>
              <w:t>Loss on debt extinguishment</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Loss related to interest rate swaps</w:t>
            </w: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4420" w:type="dxa"/>
            <w:vAlign w:val="bottom"/>
          </w:tcPr>
          <w:p>
            <w:pPr>
              <w:ind w:left="540"/>
              <w:spacing w:after="0" w:line="202" w:lineRule="exact"/>
              <w:rPr>
                <w:sz w:val="20"/>
                <w:szCs w:val="20"/>
                <w:color w:val="auto"/>
              </w:rPr>
            </w:pPr>
            <w:r>
              <w:rPr>
                <w:rFonts w:ascii="Arial" w:cs="Arial" w:eastAsia="Arial" w:hAnsi="Arial"/>
                <w:sz w:val="18"/>
                <w:szCs w:val="18"/>
                <w:color w:val="auto"/>
              </w:rPr>
              <w:t>Other expense, net</w:t>
            </w: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7"/>
        </w:trPr>
        <w:tc>
          <w:tcPr>
            <w:tcW w:w="4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and other expense, net</w:t>
            </w:r>
          </w:p>
        </w:tc>
        <w:tc>
          <w:tcPr>
            <w:tcW w:w="180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124</w:t>
            </w:r>
          </w:p>
        </w:tc>
        <w:tc>
          <w:tcPr>
            <w:tcW w:w="13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9"/>
              </w:rPr>
              <w:t>151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12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395</w:t>
            </w:r>
          </w:p>
        </w:tc>
      </w:tr>
      <w:tr>
        <w:trPr>
          <w:trHeight w:val="20"/>
        </w:trPr>
        <w:tc>
          <w:tcPr>
            <w:tcW w:w="4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color w:val="auto"/>
        </w:rPr>
        <w:t xml:space="preserve">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information on the loss related to U.S. dollar interest rate swaps no longer designated as accounting cash flow hedges during the first quarter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 June 30, 2017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 2016</w:t>
            </w:r>
          </w:p>
        </w:tc>
      </w:tr>
      <w:tr>
        <w:trPr>
          <w:trHeight w:val="142"/>
        </w:trPr>
        <w:tc>
          <w:tcPr>
            <w:tcW w:w="4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Asset</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54"/>
              <w:spacing w:after="0" w:line="143" w:lineRule="exact"/>
              <w:rPr>
                <w:sz w:val="20"/>
                <w:szCs w:val="20"/>
                <w:color w:val="auto"/>
              </w:rPr>
            </w:pPr>
            <w:r>
              <w:rPr>
                <w:rFonts w:ascii="Arial" w:cs="Arial" w:eastAsia="Arial" w:hAnsi="Arial"/>
                <w:sz w:val="14"/>
                <w:szCs w:val="14"/>
                <w:b w:val="1"/>
                <w:bCs w:val="1"/>
                <w:color w:val="auto"/>
              </w:rPr>
              <w:t>Liability</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9"/>
              </w:rPr>
              <w:t>Asset</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2"/>
                <w:szCs w:val="12"/>
                <w:color w:val="auto"/>
              </w:rPr>
            </w:pPr>
          </w:p>
        </w:tc>
      </w:tr>
      <w:tr>
        <w:trPr>
          <w:trHeight w:val="175"/>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Derivatives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Derivatives</w:t>
            </w:r>
          </w:p>
        </w:tc>
      </w:tr>
      <w:tr>
        <w:trPr>
          <w:trHeight w:val="184"/>
        </w:trPr>
        <w:tc>
          <w:tcPr>
            <w:tcW w:w="4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9"/>
        </w:trPr>
        <w:tc>
          <w:tcPr>
            <w:tcW w:w="44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80"/>
        </w:trPr>
        <w:tc>
          <w:tcPr>
            <w:tcW w:w="4460" w:type="dxa"/>
            <w:vAlign w:val="bottom"/>
            <w:shd w:val="clear" w:color="auto" w:fill="CCEEFF"/>
          </w:tcPr>
          <w:p>
            <w:pPr>
              <w:ind w:left="540"/>
              <w:spacing w:after="0" w:line="180" w:lineRule="exact"/>
              <w:rPr>
                <w:sz w:val="20"/>
                <w:szCs w:val="20"/>
                <w:color w:val="auto"/>
              </w:rPr>
            </w:pPr>
            <w:r>
              <w:rPr>
                <w:rFonts w:ascii="Arial" w:cs="Arial" w:eastAsia="Arial" w:hAnsi="Arial"/>
                <w:sz w:val="18"/>
                <w:szCs w:val="18"/>
                <w:b w:val="1"/>
                <w:bCs w:val="1"/>
                <w:color w:val="auto"/>
              </w:rPr>
              <w:t>Derivatives designated as</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5"/>
        </w:trPr>
        <w:tc>
          <w:tcPr>
            <w:tcW w:w="44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w:t>
            </w: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7"/>
        </w:trPr>
        <w:tc>
          <w:tcPr>
            <w:tcW w:w="4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256</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w:t>
            </w:r>
          </w:p>
        </w:tc>
      </w:tr>
      <w:tr>
        <w:trPr>
          <w:trHeight w:val="254"/>
        </w:trPr>
        <w:tc>
          <w:tcPr>
            <w:tcW w:w="4460" w:type="dxa"/>
            <w:vAlign w:val="bottom"/>
          </w:tcPr>
          <w:p>
            <w:pPr>
              <w:ind w:left="540"/>
              <w:spacing w:after="0"/>
              <w:rPr>
                <w:sz w:val="20"/>
                <w:szCs w:val="20"/>
                <w:color w:val="auto"/>
              </w:rPr>
            </w:pPr>
            <w:r>
              <w:rPr>
                <w:rFonts w:ascii="Arial" w:cs="Arial" w:eastAsia="Arial" w:hAnsi="Arial"/>
                <w:sz w:val="18"/>
                <w:szCs w:val="18"/>
                <w:b w:val="1"/>
                <w:bCs w:val="1"/>
                <w:color w:val="auto"/>
              </w:rPr>
              <w:t>Derivatives not designated as</w:t>
            </w:r>
          </w:p>
        </w:tc>
        <w:tc>
          <w:tcPr>
            <w:tcW w:w="13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5"/>
        </w:trPr>
        <w:tc>
          <w:tcPr>
            <w:tcW w:w="4460" w:type="dxa"/>
            <w:vAlign w:val="bottom"/>
          </w:tcPr>
          <w:p>
            <w:pPr>
              <w:ind w:left="720"/>
              <w:spacing w:after="0"/>
              <w:rPr>
                <w:sz w:val="20"/>
                <w:szCs w:val="20"/>
                <w:color w:val="auto"/>
              </w:rPr>
            </w:pPr>
            <w:r>
              <w:rPr>
                <w:rFonts w:ascii="Arial" w:cs="Arial" w:eastAsia="Arial" w:hAnsi="Arial"/>
                <w:sz w:val="18"/>
                <w:szCs w:val="18"/>
                <w:b w:val="1"/>
                <w:bCs w:val="1"/>
                <w:color w:val="auto"/>
              </w:rPr>
              <w:t>accounting hedges: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03"/>
        </w:trPr>
        <w:tc>
          <w:tcPr>
            <w:tcW w:w="44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w:t>
            </w: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w:t>
            </w: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6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298</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r>
      <w:tr>
        <w:trPr>
          <w:trHeight w:val="27"/>
        </w:trPr>
        <w:tc>
          <w:tcPr>
            <w:tcW w:w="4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4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fair value</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155</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554</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312</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278</w:t>
            </w:r>
          </w:p>
        </w:tc>
      </w:tr>
      <w:tr>
        <w:trPr>
          <w:trHeight w:val="20"/>
        </w:trPr>
        <w:tc>
          <w:tcPr>
            <w:tcW w:w="4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Derivatives designated as accounting hedges include cash flow and fair value hedges and derivatives not designated as accounting hedges include economic hedges. Non-U.S. dollar denominated debt, designated as a hedge of our net investments in non-U.S. operations, is not reflected in the table above, but is included in long-term debt summarized in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4"/>
                <w:szCs w:val="14"/>
                <w:b w:val="1"/>
                <w:bCs w:val="1"/>
                <w:color w:val="auto"/>
              </w:rPr>
              <w:t>As of June 30, 2017</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Active Markets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for Identical</w:t>
            </w:r>
          </w:p>
        </w:tc>
        <w:tc>
          <w:tcPr>
            <w:tcW w:w="3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66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Asset/(Liability)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6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center"/>
              <w:ind w:left="7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4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66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(399)</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(224)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rPr>
              <w:t>Quoted Prices in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Active Markets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for Identical</w:t>
            </w:r>
          </w:p>
        </w:tc>
        <w:tc>
          <w:tcPr>
            <w:tcW w:w="32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Observable</w:t>
            </w:r>
          </w:p>
        </w:tc>
        <w:tc>
          <w:tcPr>
            <w:tcW w:w="34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of Net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Assets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Inputs</w:t>
            </w:r>
          </w:p>
        </w:tc>
      </w:tr>
      <w:tr>
        <w:trPr>
          <w:trHeight w:val="175"/>
        </w:trPr>
        <w:tc>
          <w:tcPr>
            <w:tcW w:w="466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Asset/(Liability)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46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gridSpan w:val="4"/>
          </w:tcPr>
          <w:p>
            <w:pPr>
              <w:jc w:val="center"/>
              <w:ind w:left="7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4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60" w:type="dxa"/>
            <w:vAlign w:val="bottom"/>
          </w:tcPr>
          <w:p>
            <w:pPr>
              <w:spacing w:after="0"/>
              <w:rPr>
                <w:sz w:val="17"/>
                <w:szCs w:val="17"/>
                <w:color w:val="auto"/>
              </w:rPr>
            </w:pPr>
          </w:p>
        </w:tc>
        <w:tc>
          <w:tcPr>
            <w:tcW w:w="12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660" w:type="dxa"/>
            <w:vAlign w:val="bottom"/>
          </w:tcPr>
          <w:p>
            <w:pPr>
              <w:ind w:left="540"/>
              <w:spacing w:after="0"/>
              <w:rPr>
                <w:sz w:val="20"/>
                <w:szCs w:val="20"/>
                <w:color w:val="auto"/>
              </w:rPr>
            </w:pPr>
            <w:r>
              <w:rPr>
                <w:rFonts w:ascii="Arial" w:cs="Arial" w:eastAsia="Arial" w:hAnsi="Arial"/>
                <w:sz w:val="18"/>
                <w:szCs w:val="18"/>
                <w:color w:val="auto"/>
              </w:rPr>
              <w:t>Total derivatives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18"/>
                <w:szCs w:val="18"/>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 Our exchange-traded derivatives are generally subject to master netting arrangements that permit net settlement of transactions with the same counterparty when certain criteria are met, such as in the event of default. We also are required to maintain cash margin accounts in connection with funding the settlement of our open positions, and the margin requirements generally fluctuate daily based on market conditions. We have recorded margin deposits related to our exchange-traded derivatives of $270 million as of June 30, 2017 and $133 million as of December 31, 2016 within other current assets. Based on our net asset or liability positions with individual counterparties, in the event of default and immediate net settlement of all of our open positions, for derivatives we have in a net asset position, our counterparties would owe us a total of $95 million as of June 30, 2017 and $48 million as of December 31, 2016. As of June 30, 2017, we have no derivatives in a net liability position, and as of December 31, 2016 we would have owed $2 million for derivatives we have in a net liability position.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commodity and currency exchange OTC derivatives do not have a legal right of set-off. In connection with our OTC derivatives that could be net-settled in the event of default, assuming all parties were to fail to comply with the terms of the agreements, for derivatives we have in a net liability position, we would owe $257 million as of June 30, 2017 and $40 million as of December 31, 2016, and for derivatives we have in a net asset position, our counterparties would owe us a total of $30 million as of June 30, 2017 and $162 million as of December 31, 2016.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values of our derivative instruments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rPr>
              <w:t>Notional Amount</w:t>
            </w:r>
          </w:p>
        </w:tc>
      </w:tr>
      <w:tr>
        <w:trPr>
          <w:trHeight w:val="142"/>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475"/>
              <w:spacing w:after="0" w:line="143"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2"/>
                <w:szCs w:val="12"/>
                <w:color w:val="auto"/>
              </w:rPr>
            </w:pPr>
          </w:p>
        </w:tc>
      </w:tr>
      <w:tr>
        <w:trPr>
          <w:trHeight w:val="162"/>
        </w:trPr>
        <w:tc>
          <w:tcPr>
            <w:tcW w:w="6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As of June 30,</w:t>
            </w:r>
          </w:p>
        </w:tc>
        <w:tc>
          <w:tcPr>
            <w:tcW w:w="9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of December 31,</w:t>
            </w:r>
          </w:p>
        </w:tc>
      </w:tr>
      <w:tr>
        <w:trPr>
          <w:trHeight w:val="190"/>
        </w:trPr>
        <w:tc>
          <w:tcPr>
            <w:tcW w:w="6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2017</w:t>
            </w:r>
          </w:p>
        </w:tc>
        <w:tc>
          <w:tcPr>
            <w:tcW w:w="960" w:type="dxa"/>
            <w:vAlign w:val="bottom"/>
          </w:tcPr>
          <w:p>
            <w:pPr>
              <w:spacing w:after="0"/>
              <w:rPr>
                <w:sz w:val="16"/>
                <w:szCs w:val="16"/>
                <w:color w:val="auto"/>
              </w:rPr>
            </w:pPr>
          </w:p>
        </w:tc>
        <w:tc>
          <w:tcPr>
            <w:tcW w:w="1220" w:type="dxa"/>
            <w:vAlign w:val="bottom"/>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r>
      <w:tr>
        <w:trPr>
          <w:trHeight w:val="147"/>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84"/>
        </w:trPr>
        <w:tc>
          <w:tcPr>
            <w:tcW w:w="6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64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6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420" w:type="dxa"/>
            <w:vAlign w:val="bottom"/>
          </w:tcPr>
          <w:p>
            <w:pPr>
              <w:ind w:left="720"/>
              <w:spacing w:after="0" w:line="202" w:lineRule="exact"/>
              <w:rPr>
                <w:sz w:val="20"/>
                <w:szCs w:val="20"/>
                <w:color w:val="auto"/>
              </w:rPr>
            </w:pPr>
            <w:r>
              <w:rPr>
                <w:rFonts w:ascii="Arial" w:cs="Arial" w:eastAsia="Arial" w:hAnsi="Arial"/>
                <w:sz w:val="18"/>
                <w:szCs w:val="18"/>
                <w:color w:val="auto"/>
              </w:rPr>
              <w:t>Intercompany loans and forecasted interest payments</w:t>
            </w:r>
          </w:p>
        </w:tc>
        <w:tc>
          <w:tcPr>
            <w:tcW w:w="1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2,992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3,343</w:t>
            </w:r>
          </w:p>
        </w:tc>
      </w:tr>
      <w:tr>
        <w:trPr>
          <w:trHeight w:val="203"/>
        </w:trPr>
        <w:tc>
          <w:tcPr>
            <w:tcW w:w="64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w:t>
            </w:r>
          </w:p>
        </w:tc>
        <w:tc>
          <w:tcPr>
            <w:tcW w:w="9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1,452</w:t>
            </w:r>
          </w:p>
        </w:tc>
      </w:tr>
      <w:tr>
        <w:trPr>
          <w:trHeight w:val="203"/>
        </w:trPr>
        <w:tc>
          <w:tcPr>
            <w:tcW w:w="642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1,174</w:t>
            </w:r>
          </w:p>
        </w:tc>
        <w:tc>
          <w:tcPr>
            <w:tcW w:w="9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837</w:t>
            </w:r>
          </w:p>
        </w:tc>
      </w:tr>
      <w:tr>
        <w:trPr>
          <w:trHeight w:val="203"/>
        </w:trPr>
        <w:tc>
          <w:tcPr>
            <w:tcW w:w="6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6,480</w:t>
            </w:r>
          </w:p>
        </w:tc>
        <w:tc>
          <w:tcPr>
            <w:tcW w:w="9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6,365</w:t>
            </w:r>
          </w:p>
        </w:tc>
      </w:tr>
      <w:tr>
        <w:trPr>
          <w:trHeight w:val="203"/>
        </w:trPr>
        <w:tc>
          <w:tcPr>
            <w:tcW w:w="6420" w:type="dxa"/>
            <w:vAlign w:val="bottom"/>
          </w:tcPr>
          <w:p>
            <w:pPr>
              <w:ind w:left="540"/>
              <w:spacing w:after="0" w:line="202" w:lineRule="exact"/>
              <w:rPr>
                <w:sz w:val="20"/>
                <w:szCs w:val="20"/>
                <w:color w:val="auto"/>
              </w:rPr>
            </w:pPr>
            <w:r>
              <w:rPr>
                <w:rFonts w:ascii="Arial" w:cs="Arial" w:eastAsia="Arial" w:hAnsi="Arial"/>
                <w:sz w:val="18"/>
                <w:szCs w:val="18"/>
                <w:color w:val="auto"/>
              </w:rPr>
              <w:t>Net investment hedge – euro notes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3,844</w:t>
            </w:r>
          </w:p>
        </w:tc>
        <w:tc>
          <w:tcPr>
            <w:tcW w:w="96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4,012</w:t>
            </w:r>
          </w:p>
        </w:tc>
      </w:tr>
      <w:tr>
        <w:trPr>
          <w:trHeight w:val="203"/>
        </w:trPr>
        <w:tc>
          <w:tcPr>
            <w:tcW w:w="64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investment hedge – pound sterling notes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442</w:t>
            </w:r>
          </w:p>
        </w:tc>
        <w:tc>
          <w:tcPr>
            <w:tcW w:w="9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w:t>
            </w:r>
          </w:p>
        </w:tc>
      </w:tr>
      <w:tr>
        <w:trPr>
          <w:trHeight w:val="217"/>
        </w:trPr>
        <w:tc>
          <w:tcPr>
            <w:tcW w:w="6420" w:type="dxa"/>
            <w:vAlign w:val="bottom"/>
          </w:tcPr>
          <w:p>
            <w:pPr>
              <w:ind w:left="540"/>
              <w:spacing w:after="0"/>
              <w:rPr>
                <w:sz w:val="20"/>
                <w:szCs w:val="20"/>
                <w:color w:val="auto"/>
              </w:rPr>
            </w:pPr>
            <w:r>
              <w:rPr>
                <w:rFonts w:ascii="Arial" w:cs="Arial" w:eastAsia="Arial" w:hAnsi="Arial"/>
                <w:sz w:val="18"/>
                <w:szCs w:val="18"/>
                <w:color w:val="auto"/>
              </w:rPr>
              <w:t>Net investment hedge – Swiss franc notes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1,723</w:t>
            </w:r>
          </w:p>
        </w:tc>
        <w:tc>
          <w:tcPr>
            <w:tcW w:w="9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1,447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Accumulated (loss)/gain at January 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88"/>
              <w:spacing w:after="0" w:line="202" w:lineRule="exact"/>
              <w:rPr>
                <w:sz w:val="20"/>
                <w:szCs w:val="20"/>
                <w:color w:val="auto"/>
              </w:rPr>
            </w:pPr>
            <w:r>
              <w:rPr>
                <w:rFonts w:ascii="Arial" w:cs="Arial" w:eastAsia="Arial" w:hAnsi="Arial"/>
                <w:sz w:val="18"/>
                <w:szCs w:val="18"/>
                <w:color w:val="auto"/>
              </w:rPr>
              <w:t>(103)</w:t>
            </w:r>
          </w:p>
        </w:tc>
        <w:tc>
          <w:tcPr>
            <w:tcW w:w="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w:t>
            </w:r>
          </w:p>
        </w:tc>
      </w:tr>
      <w:tr>
        <w:trPr>
          <w:trHeight w:val="202"/>
        </w:trPr>
        <w:tc>
          <w:tcPr>
            <w:tcW w:w="5300" w:type="dxa"/>
            <w:vAlign w:val="bottom"/>
          </w:tcPr>
          <w:p>
            <w:pPr>
              <w:ind w:left="540"/>
              <w:spacing w:after="0" w:line="201" w:lineRule="exact"/>
              <w:rPr>
                <w:sz w:val="20"/>
                <w:szCs w:val="20"/>
                <w:color w:val="auto"/>
              </w:rPr>
            </w:pPr>
            <w:r>
              <w:rPr>
                <w:rFonts w:ascii="Arial" w:cs="Arial" w:eastAsia="Arial" w:hAnsi="Arial"/>
                <w:sz w:val="18"/>
                <w:szCs w:val="18"/>
                <w:color w:val="auto"/>
              </w:rPr>
              <w:t>Transfer of realized (gains)/losses in fair value to</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00" w:type="dxa"/>
            <w:vAlign w:val="bottom"/>
          </w:tcPr>
          <w:p>
            <w:pPr>
              <w:ind w:left="720"/>
              <w:spacing w:after="0" w:line="203" w:lineRule="exact"/>
              <w:rPr>
                <w:sz w:val="20"/>
                <w:szCs w:val="20"/>
                <w:color w:val="auto"/>
              </w:rPr>
            </w:pPr>
            <w:r>
              <w:rPr>
                <w:rFonts w:ascii="Arial" w:cs="Arial" w:eastAsia="Arial" w:hAnsi="Arial"/>
                <w:sz w:val="18"/>
                <w:szCs w:val="18"/>
                <w:color w:val="auto"/>
              </w:rPr>
              <w:t>earnings</w:t>
            </w:r>
          </w:p>
        </w:tc>
        <w:tc>
          <w:tcPr>
            <w:tcW w:w="220" w:type="dxa"/>
            <w:vAlign w:val="bottom"/>
          </w:tcPr>
          <w:p>
            <w:pPr>
              <w:spacing w:after="0"/>
              <w:rPr>
                <w:sz w:val="17"/>
                <w:szCs w:val="17"/>
                <w:color w:val="auto"/>
              </w:rPr>
            </w:pPr>
          </w:p>
        </w:tc>
        <w:tc>
          <w:tcPr>
            <w:tcW w:w="1420" w:type="dxa"/>
            <w:vAlign w:val="bottom"/>
            <w:gridSpan w:val="2"/>
          </w:tcPr>
          <w:p>
            <w:pPr>
              <w:jc w:val="right"/>
              <w:ind w:right="488"/>
              <w:spacing w:after="0" w:line="203"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440" w:type="dxa"/>
            <w:vAlign w:val="bottom"/>
            <w:gridSpan w:val="2"/>
          </w:tcPr>
          <w:p>
            <w:pPr>
              <w:jc w:val="right"/>
              <w:ind w:right="568"/>
              <w:spacing w:after="0" w:line="203"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66</w:t>
            </w:r>
          </w:p>
        </w:tc>
      </w:tr>
      <w:tr>
        <w:trPr>
          <w:trHeight w:val="203"/>
        </w:trPr>
        <w:tc>
          <w:tcPr>
            <w:tcW w:w="5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Unrealized gain/(loss) in fair value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w:t>
            </w:r>
          </w:p>
        </w:tc>
      </w:tr>
      <w:tr>
        <w:trPr>
          <w:trHeight w:val="20"/>
        </w:trPr>
        <w:tc>
          <w:tcPr>
            <w:tcW w:w="5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00" w:type="dxa"/>
            <w:vAlign w:val="bottom"/>
          </w:tcPr>
          <w:p>
            <w:pPr>
              <w:ind w:left="540"/>
              <w:spacing w:after="0"/>
              <w:rPr>
                <w:sz w:val="20"/>
                <w:szCs w:val="20"/>
                <w:color w:val="auto"/>
              </w:rPr>
            </w:pPr>
            <w:r>
              <w:rPr>
                <w:rFonts w:ascii="Arial" w:cs="Arial" w:eastAsia="Arial" w:hAnsi="Arial"/>
                <w:sz w:val="18"/>
                <w:szCs w:val="18"/>
                <w:color w:val="auto"/>
              </w:rPr>
              <w:t>Accumulated (loss)/gain at June 30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88"/>
              <w:spacing w:after="0"/>
              <w:rPr>
                <w:sz w:val="20"/>
                <w:szCs w:val="20"/>
                <w:color w:val="auto"/>
              </w:rPr>
            </w:pPr>
            <w:r>
              <w:rPr>
                <w:rFonts w:ascii="Arial" w:cs="Arial" w:eastAsia="Arial" w:hAnsi="Arial"/>
                <w:sz w:val="18"/>
                <w:szCs w:val="18"/>
                <w:color w:val="auto"/>
              </w:rPr>
              <w:t>(91)</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8"/>
              <w:spacing w:after="0"/>
              <w:rPr>
                <w:sz w:val="20"/>
                <w:szCs w:val="20"/>
                <w:color w:val="auto"/>
              </w:rPr>
            </w:pPr>
            <w:r>
              <w:rPr>
                <w:rFonts w:ascii="Arial" w:cs="Arial" w:eastAsia="Arial" w:hAnsi="Arial"/>
                <w:sz w:val="18"/>
                <w:szCs w:val="18"/>
                <w:color w:val="auto"/>
              </w:rPr>
              <w:t>(91)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2"/>
        </w:trPr>
        <w:tc>
          <w:tcPr>
            <w:tcW w:w="5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Currency exchange contracts – forecasted</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transactions</w:t>
            </w:r>
          </w:p>
        </w:tc>
        <w:tc>
          <w:tcPr>
            <w:tcW w:w="800" w:type="dxa"/>
            <w:vAlign w:val="bottom"/>
            <w:gridSpan w:val="2"/>
            <w:shd w:val="clear" w:color="auto" w:fill="CCEEFF"/>
          </w:tcPr>
          <w:p>
            <w:pPr>
              <w:jc w:val="right"/>
              <w:ind w:right="628"/>
              <w:spacing w:after="0" w:line="203"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68"/>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r>
      <w:tr>
        <w:trPr>
          <w:trHeight w:val="203"/>
        </w:trPr>
        <w:tc>
          <w:tcPr>
            <w:tcW w:w="53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1440" w:type="dxa"/>
            <w:vAlign w:val="bottom"/>
            <w:gridSpan w:val="2"/>
          </w:tcPr>
          <w:p>
            <w:pPr>
              <w:jc w:val="right"/>
              <w:ind w:right="508"/>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03"/>
        </w:trPr>
        <w:tc>
          <w:tcPr>
            <w:tcW w:w="5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00" w:type="dxa"/>
            <w:vAlign w:val="bottom"/>
          </w:tcPr>
          <w:p>
            <w:pPr>
              <w:ind w:left="54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ind w:right="628"/>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08"/>
              <w:spacing w:after="0"/>
              <w:rPr>
                <w:sz w:val="20"/>
                <w:szCs w:val="20"/>
                <w:color w:val="auto"/>
              </w:rPr>
            </w:pPr>
            <w:r>
              <w:rPr>
                <w:rFonts w:ascii="Arial" w:cs="Arial" w:eastAsia="Arial" w:hAnsi="Arial"/>
                <w:sz w:val="18"/>
                <w:szCs w:val="18"/>
                <w:color w:val="auto"/>
              </w:rPr>
              <w:t>(3)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30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2"/>
        </w:trPr>
        <w:tc>
          <w:tcPr>
            <w:tcW w:w="530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Currency exchange contracts – forecasted</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0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transactions</w:t>
            </w:r>
          </w:p>
        </w:tc>
        <w:tc>
          <w:tcPr>
            <w:tcW w:w="720" w:type="dxa"/>
            <w:vAlign w:val="bottom"/>
            <w:gridSpan w:val="2"/>
            <w:shd w:val="clear" w:color="auto" w:fill="CCEEFF"/>
          </w:tcPr>
          <w:p>
            <w:pPr>
              <w:jc w:val="right"/>
              <w:ind w:right="548"/>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88"/>
              <w:spacing w:after="0" w:line="203" w:lineRule="exact"/>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08"/>
              <w:spacing w:after="0" w:line="203" w:lineRule="exact"/>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r>
      <w:tr>
        <w:trPr>
          <w:trHeight w:val="203"/>
        </w:trPr>
        <w:tc>
          <w:tcPr>
            <w:tcW w:w="53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7"/>
                <w:szCs w:val="17"/>
                <w:color w:val="auto"/>
              </w:rPr>
            </w:pPr>
          </w:p>
        </w:tc>
        <w:tc>
          <w:tcPr>
            <w:tcW w:w="1440" w:type="dxa"/>
            <w:vAlign w:val="bottom"/>
            <w:gridSpan w:val="2"/>
          </w:tcPr>
          <w:p>
            <w:pPr>
              <w:jc w:val="right"/>
              <w:ind w:right="568"/>
              <w:spacing w:after="0" w:line="202"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r>
      <w:tr>
        <w:trPr>
          <w:trHeight w:val="203"/>
        </w:trPr>
        <w:tc>
          <w:tcPr>
            <w:tcW w:w="5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Interest rate contracts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68"/>
              <w:spacing w:after="0" w:line="202" w:lineRule="exact"/>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w:t>
            </w: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00" w:type="dxa"/>
            <w:vAlign w:val="bottom"/>
          </w:tcPr>
          <w:p>
            <w:pPr>
              <w:ind w:left="540"/>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7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568"/>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ineffectiveness was not material for all periods presented.</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Within interest and other expense, net, we recorded pre-tax losses of $97 million in the first quarter of 2016 related to amounts excluded from effectiveness testing. This amount relates to interest rate swaps no longer designated as cash flow hedges due to changes in financing plans. Due to lower overall costs and our decision to hedge a greater portion of our net investments in operations that use currencies other than the U.S. dollar as their functional currencies, we changed our plans to issue U.S. dollar-denominated debt and instead issued euro and Swiss franc-denominated notes in the first quarter of 2016. Amounts excluded from effectiveness testing were not material for all periods presented.</w:t>
      </w:r>
    </w:p>
    <w:p>
      <w:pPr>
        <w:spacing w:after="0" w:line="13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We record pre-tax and after-tax (i) gains or losses reclassified from accumulated other comprehensive earnings/(losses) into earnings, (ii) gains or losses on ineffectiveness and (iii) gains or losses on amounts excluded from effectiveness testing in:</w:t>
      </w:r>
    </w:p>
    <w:p>
      <w:pPr>
        <w:ind w:left="900" w:hanging="325"/>
        <w:spacing w:after="0" w:line="23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sales for commodity contracts;</w:t>
      </w:r>
    </w:p>
    <w:p>
      <w:pPr>
        <w:ind w:left="900" w:hanging="325"/>
        <w:spacing w:after="0" w:line="23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 and</w:t>
      </w: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14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Based on current market conditions, we would expect to transfer losses of $20 million (net of taxes) for commodity cash flow hedges, unrealized gains of $1 million (net of taxes) for currency cash flow hedges and unrealized losses of $1 million (net of taxes) for interest rate cash flow hedges to earnings during the next 12 months.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we hedged transactions forecasted to impact cash flows over the following periods: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commodity transactions for periods not exceeding the next 6 months;</w:t>
      </w:r>
    </w:p>
    <w:p>
      <w:pPr>
        <w:ind w:left="900" w:hanging="325"/>
        <w:spacing w:after="0" w:line="23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 transactions for periods not exceeding the next 6 years and 4 months; and</w:t>
      </w: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transactions for periods not exceeding the next 6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Pre-tax gains/(losses) due to changes in fair value of our interest rate swaps and related hedged long-term debt were recorded in interest and other expense, net: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80" w:type="dxa"/>
            <w:vAlign w:val="bottom"/>
            <w:gridSpan w:val="3"/>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28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r>
      <w:tr>
        <w:trPr>
          <w:trHeight w:val="156"/>
        </w:trPr>
        <w:tc>
          <w:tcPr>
            <w:tcW w:w="2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4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28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Derivatives</w:t>
            </w:r>
          </w:p>
        </w:tc>
        <w:tc>
          <w:tcPr>
            <w:tcW w:w="2120" w:type="dxa"/>
            <w:vAlign w:val="bottom"/>
            <w:gridSpan w:val="2"/>
            <w:shd w:val="clear" w:color="auto" w:fill="CCEEFF"/>
          </w:tcPr>
          <w:p>
            <w:pPr>
              <w:jc w:val="right"/>
              <w:ind w:right="588"/>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496"/>
              <w:spacing w:after="0" w:line="202" w:lineRule="exact"/>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599"/>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w:t>
            </w:r>
          </w:p>
        </w:tc>
      </w:tr>
      <w:tr>
        <w:trPr>
          <w:trHeight w:val="217"/>
        </w:trPr>
        <w:tc>
          <w:tcPr>
            <w:tcW w:w="2800" w:type="dxa"/>
            <w:vAlign w:val="bottom"/>
          </w:tcPr>
          <w:p>
            <w:pPr>
              <w:ind w:left="540"/>
              <w:spacing w:after="0"/>
              <w:rPr>
                <w:sz w:val="20"/>
                <w:szCs w:val="20"/>
                <w:color w:val="auto"/>
              </w:rPr>
            </w:pPr>
            <w:r>
              <w:rPr>
                <w:rFonts w:ascii="Arial" w:cs="Arial" w:eastAsia="Arial" w:hAnsi="Arial"/>
                <w:sz w:val="18"/>
                <w:szCs w:val="18"/>
                <w:color w:val="auto"/>
              </w:rPr>
              <w:t>Borrowings</w:t>
            </w: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jc w:val="right"/>
              <w:ind w:right="436"/>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(9)</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Fair value hedge ineffectiveness and amounts excluded from effectiveness testing were not material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Hedges: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20" w:type="dxa"/>
            <w:vAlign w:val="bottom"/>
            <w:gridSpan w:val="5"/>
            <w:vMerge w:val="restart"/>
          </w:tcPr>
          <w:p>
            <w:pPr>
              <w:jc w:val="center"/>
              <w:ind w:left="188"/>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Location of</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2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Gain/(Loss)</w:t>
            </w:r>
          </w:p>
        </w:tc>
        <w:tc>
          <w:tcPr>
            <w:tcW w:w="0" w:type="dxa"/>
            <w:vAlign w:val="bottom"/>
          </w:tcPr>
          <w:p>
            <w:pPr>
              <w:spacing w:after="0"/>
              <w:rPr>
                <w:sz w:val="1"/>
                <w:szCs w:val="1"/>
                <w:color w:val="auto"/>
              </w:rPr>
            </w:pPr>
          </w:p>
        </w:tc>
      </w:tr>
      <w:tr>
        <w:trPr>
          <w:trHeight w:val="68"/>
        </w:trPr>
        <w:tc>
          <w:tcPr>
            <w:tcW w:w="3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520" w:type="dxa"/>
            <w:vAlign w:val="bottom"/>
            <w:gridSpan w:val="4"/>
            <w:vMerge w:val="restart"/>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940" w:type="dxa"/>
            <w:vAlign w:val="bottom"/>
            <w:gridSpan w:val="3"/>
            <w:vMerge w:val="restart"/>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34"/>
        </w:trPr>
        <w:tc>
          <w:tcPr>
            <w:tcW w:w="3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in Earnings</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exchange contracts:</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720"/>
              <w:spacing w:after="0"/>
              <w:rPr>
                <w:sz w:val="20"/>
                <w:szCs w:val="20"/>
                <w:color w:val="auto"/>
              </w:rPr>
            </w:pPr>
            <w:r>
              <w:rPr>
                <w:rFonts w:ascii="Arial" w:cs="Arial" w:eastAsia="Arial" w:hAnsi="Arial"/>
                <w:sz w:val="18"/>
                <w:szCs w:val="18"/>
                <w:color w:val="auto"/>
              </w:rPr>
              <w:t>Intercompany loans and</w:t>
            </w:r>
          </w:p>
        </w:tc>
        <w:tc>
          <w:tcPr>
            <w:tcW w:w="1200" w:type="dxa"/>
            <w:vAlign w:val="bottom"/>
            <w:gridSpan w:val="2"/>
            <w:vMerge w:val="restart"/>
          </w:tcPr>
          <w:p>
            <w:pPr>
              <w:jc w:val="right"/>
              <w:ind w:right="528"/>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w:t>
            </w: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99"/>
              </w:rPr>
              <w:t>$</w:t>
            </w: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w:t>
            </w: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5</w:t>
            </w:r>
          </w:p>
        </w:tc>
        <w:tc>
          <w:tcPr>
            <w:tcW w:w="700" w:type="dxa"/>
            <w:vAlign w:val="bottom"/>
            <w:vMerge w:val="restart"/>
          </w:tcPr>
          <w:p>
            <w:pPr>
              <w:jc w:val="right"/>
              <w:ind w:right="516"/>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11</w:t>
            </w:r>
          </w:p>
        </w:tc>
        <w:tc>
          <w:tcPr>
            <w:tcW w:w="128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89"/>
        </w:trPr>
        <w:tc>
          <w:tcPr>
            <w:tcW w:w="3700" w:type="dxa"/>
            <w:vAlign w:val="bottom"/>
          </w:tcPr>
          <w:p>
            <w:pPr>
              <w:ind w:left="900"/>
              <w:spacing w:after="0" w:line="189" w:lineRule="exact"/>
              <w:rPr>
                <w:sz w:val="20"/>
                <w:szCs w:val="20"/>
                <w:color w:val="auto"/>
              </w:rPr>
            </w:pPr>
            <w:r>
              <w:rPr>
                <w:rFonts w:ascii="Arial" w:cs="Arial" w:eastAsia="Arial" w:hAnsi="Arial"/>
                <w:sz w:val="18"/>
                <w:szCs w:val="18"/>
                <w:color w:val="auto"/>
              </w:rPr>
              <w:t>forecasted interest payments</w:t>
            </w:r>
          </w:p>
        </w:tc>
        <w:tc>
          <w:tcPr>
            <w:tcW w:w="120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Forecasted transactions</w:t>
            </w: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9"/>
              </w:rPr>
              <w:t>(46)</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(77)</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67"/>
        </w:trPr>
        <w:tc>
          <w:tcPr>
            <w:tcW w:w="3700" w:type="dxa"/>
            <w:vAlign w:val="bottom"/>
            <w:vMerge w:val="restart"/>
          </w:tcPr>
          <w:p>
            <w:pPr>
              <w:ind w:left="720"/>
              <w:spacing w:after="0"/>
              <w:rPr>
                <w:sz w:val="20"/>
                <w:szCs w:val="20"/>
                <w:color w:val="auto"/>
              </w:rPr>
            </w:pPr>
            <w:r>
              <w:rPr>
                <w:rFonts w:ascii="Arial" w:cs="Arial" w:eastAsia="Arial" w:hAnsi="Arial"/>
                <w:sz w:val="18"/>
                <w:szCs w:val="18"/>
                <w:color w:val="auto"/>
              </w:rPr>
              <w:t>Forecasted transactions</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4"/>
                <w:szCs w:val="14"/>
                <w:color w:val="auto"/>
              </w:rPr>
            </w:pPr>
          </w:p>
        </w:tc>
        <w:tc>
          <w:tcPr>
            <w:tcW w:w="7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8</w:t>
            </w:r>
          </w:p>
        </w:tc>
        <w:tc>
          <w:tcPr>
            <w:tcW w:w="1280" w:type="dxa"/>
            <w:vAlign w:val="bottom"/>
          </w:tcPr>
          <w:p>
            <w:pPr>
              <w:jc w:val="center"/>
              <w:spacing w:after="0"/>
              <w:rPr>
                <w:sz w:val="20"/>
                <w:szCs w:val="20"/>
                <w:color w:val="auto"/>
              </w:rPr>
            </w:pPr>
            <w:r>
              <w:rPr>
                <w:rFonts w:ascii="Arial" w:cs="Arial" w:eastAsia="Arial" w:hAnsi="Arial"/>
                <w:sz w:val="14"/>
                <w:szCs w:val="14"/>
                <w:color w:val="auto"/>
              </w:rPr>
              <w:t>Interest and other</w:t>
            </w:r>
          </w:p>
        </w:tc>
        <w:tc>
          <w:tcPr>
            <w:tcW w:w="0" w:type="dxa"/>
            <w:vAlign w:val="bottom"/>
          </w:tcPr>
          <w:p>
            <w:pPr>
              <w:spacing w:after="0"/>
              <w:rPr>
                <w:sz w:val="1"/>
                <w:szCs w:val="1"/>
                <w:color w:val="auto"/>
              </w:rPr>
            </w:pPr>
          </w:p>
        </w:tc>
      </w:tr>
      <w:tr>
        <w:trPr>
          <w:trHeight w:val="157"/>
        </w:trPr>
        <w:tc>
          <w:tcPr>
            <w:tcW w:w="37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color w:val="auto"/>
              </w:rPr>
              <w:t>expense, net</w:t>
            </w:r>
          </w:p>
        </w:tc>
        <w:tc>
          <w:tcPr>
            <w:tcW w:w="0" w:type="dxa"/>
            <w:vAlign w:val="bottom"/>
          </w:tcPr>
          <w:p>
            <w:pPr>
              <w:spacing w:after="0"/>
              <w:rPr>
                <w:sz w:val="1"/>
                <w:szCs w:val="1"/>
                <w:color w:val="auto"/>
              </w:rPr>
            </w:pPr>
          </w:p>
        </w:tc>
      </w:tr>
      <w:tr>
        <w:trPr>
          <w:trHeight w:val="167"/>
        </w:trPr>
        <w:tc>
          <w:tcPr>
            <w:tcW w:w="37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62"/>
        </w:trPr>
        <w:tc>
          <w:tcPr>
            <w:tcW w:w="370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Forecasted transactions</w:t>
            </w:r>
          </w:p>
        </w:tc>
        <w:tc>
          <w:tcPr>
            <w:tcW w:w="5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7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w:t>
            </w:r>
          </w:p>
        </w:tc>
        <w:tc>
          <w:tcPr>
            <w:tcW w:w="0" w:type="dxa"/>
            <w:vAlign w:val="bottom"/>
          </w:tcPr>
          <w:p>
            <w:pPr>
              <w:spacing w:after="0"/>
              <w:rPr>
                <w:sz w:val="1"/>
                <w:szCs w:val="1"/>
                <w:color w:val="auto"/>
              </w:rPr>
            </w:pPr>
          </w:p>
        </w:tc>
      </w:tr>
      <w:tr>
        <w:trPr>
          <w:trHeight w:val="157"/>
        </w:trPr>
        <w:tc>
          <w:tcPr>
            <w:tcW w:w="370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2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expenses</w:t>
            </w:r>
          </w:p>
        </w:tc>
        <w:tc>
          <w:tcPr>
            <w:tcW w:w="0" w:type="dxa"/>
            <w:vAlign w:val="bottom"/>
          </w:tcPr>
          <w:p>
            <w:pPr>
              <w:spacing w:after="0"/>
              <w:rPr>
                <w:sz w:val="1"/>
                <w:szCs w:val="1"/>
                <w:color w:val="auto"/>
              </w:rPr>
            </w:pPr>
          </w:p>
        </w:tc>
      </w:tr>
      <w:tr>
        <w:trPr>
          <w:trHeight w:val="203"/>
        </w:trPr>
        <w:tc>
          <w:tcPr>
            <w:tcW w:w="3700" w:type="dxa"/>
            <w:vAlign w:val="bottom"/>
          </w:tcPr>
          <w:p>
            <w:pPr>
              <w:ind w:left="540"/>
              <w:spacing w:after="0" w:line="202" w:lineRule="exact"/>
              <w:rPr>
                <w:sz w:val="20"/>
                <w:szCs w:val="20"/>
                <w:color w:val="auto"/>
              </w:rPr>
            </w:pPr>
            <w:r>
              <w:rPr>
                <w:rFonts w:ascii="Arial" w:cs="Arial" w:eastAsia="Arial" w:hAnsi="Arial"/>
                <w:sz w:val="18"/>
                <w:szCs w:val="18"/>
                <w:color w:val="auto"/>
              </w:rPr>
              <w:t>Commodity contracts</w:t>
            </w: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(160)</w:t>
            </w:r>
          </w:p>
        </w:tc>
        <w:tc>
          <w:tcPr>
            <w:tcW w:w="700" w:type="dxa"/>
            <w:vAlign w:val="bottom"/>
          </w:tcPr>
          <w:p>
            <w:pPr>
              <w:spacing w:after="0"/>
              <w:rPr>
                <w:sz w:val="17"/>
                <w:szCs w:val="17"/>
                <w:color w:val="auto"/>
              </w:rPr>
            </w:pPr>
          </w:p>
        </w:tc>
        <w:tc>
          <w:tcPr>
            <w:tcW w:w="7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(13)</w:t>
            </w:r>
          </w:p>
        </w:tc>
        <w:tc>
          <w:tcPr>
            <w:tcW w:w="128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w:t>
            </w:r>
          </w:p>
        </w:tc>
        <w:tc>
          <w:tcPr>
            <w:tcW w:w="980" w:type="dxa"/>
            <w:vAlign w:val="bottom"/>
            <w:gridSpan w:val="2"/>
            <w:shd w:val="clear" w:color="auto" w:fill="CCEEFF"/>
          </w:tcPr>
          <w:p>
            <w:pPr>
              <w:jc w:val="center"/>
              <w:ind w:right="40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(153)</w:t>
            </w:r>
          </w:p>
        </w:tc>
        <w:tc>
          <w:tcPr>
            <w:tcW w:w="700" w:type="dxa"/>
            <w:vAlign w:val="bottom"/>
            <w:shd w:val="clear" w:color="auto" w:fill="CCEEFF"/>
          </w:tcPr>
          <w:p>
            <w:pPr>
              <w:jc w:val="right"/>
              <w:ind w:right="51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(59)</w:t>
            </w: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Hedges of Net Investments in International Operations:</w:t>
      </w:r>
    </w:p>
    <w:p>
      <w:pPr>
        <w:spacing w:after="0" w:line="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pound sterling and Swiss franc-denominated debt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Six Months Ended</w:t>
            </w:r>
          </w:p>
        </w:tc>
        <w:tc>
          <w:tcPr>
            <w:tcW w:w="24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Location of</w:t>
            </w: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359"/>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Gain/(Loss)</w:t>
            </w: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rPr>
              <w:t>Recognized in AOCI</w:t>
            </w: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6"/>
          </w:tcPr>
          <w:p>
            <w:pPr>
              <w:jc w:val="right"/>
              <w:ind w:right="160"/>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Euro notes</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w:t>
            </w:r>
          </w:p>
        </w:tc>
        <w:tc>
          <w:tcPr>
            <w:tcW w:w="76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740" w:type="dxa"/>
            <w:vAlign w:val="bottom"/>
            <w:gridSpan w:val="2"/>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Currency</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Pound sterling notes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59"/>
              <w:spacing w:after="0" w:line="202"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7"/>
                <w:szCs w:val="17"/>
                <w:color w:val="auto"/>
              </w:rPr>
            </w:pPr>
          </w:p>
        </w:tc>
        <w:tc>
          <w:tcPr>
            <w:tcW w:w="72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63</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24"/>
              <w:spacing w:after="0" w:line="202" w:lineRule="exact"/>
              <w:rPr>
                <w:sz w:val="20"/>
                <w:szCs w:val="20"/>
                <w:color w:val="auto"/>
              </w:rPr>
            </w:pPr>
            <w:r>
              <w:rPr>
                <w:rFonts w:ascii="Arial" w:cs="Arial" w:eastAsia="Arial" w:hAnsi="Arial"/>
                <w:sz w:val="18"/>
                <w:szCs w:val="18"/>
                <w:color w:val="auto"/>
              </w:rPr>
              <w:t>86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left="8"/>
              <w:spacing w:after="0"/>
              <w:rPr>
                <w:sz w:val="20"/>
                <w:szCs w:val="20"/>
                <w:color w:val="auto"/>
              </w:rPr>
            </w:pPr>
            <w:r>
              <w:rPr>
                <w:rFonts w:ascii="Arial" w:cs="Arial" w:eastAsia="Arial" w:hAnsi="Arial"/>
                <w:sz w:val="14"/>
                <w:szCs w:val="14"/>
                <w:color w:val="auto"/>
              </w:rPr>
              <w:t>Translation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Swiss franc notes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(49)</w:t>
            </w:r>
          </w:p>
        </w:tc>
        <w:tc>
          <w:tcPr>
            <w:tcW w:w="5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Adjustment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rPr>
              <w:t>Note 9. Benefit Plans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9"/>
        </w:trPr>
        <w:tc>
          <w:tcPr>
            <w:tcW w:w="3820" w:type="dxa"/>
            <w:vAlign w:val="bottom"/>
          </w:tcPr>
          <w:p>
            <w:pPr>
              <w:spacing w:after="0"/>
              <w:rPr>
                <w:sz w:val="20"/>
                <w:szCs w:val="20"/>
                <w:color w:val="auto"/>
              </w:rPr>
            </w:pPr>
            <w:r>
              <w:rPr>
                <w:rFonts w:ascii="Arial" w:cs="Arial" w:eastAsia="Arial" w:hAnsi="Arial"/>
                <w:sz w:val="18"/>
                <w:szCs w:val="18"/>
                <w:b w:val="1"/>
                <w:bCs w:val="1"/>
                <w:color w:val="auto"/>
              </w:rPr>
              <w:t>Pension Plans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4"/>
        </w:trPr>
        <w:tc>
          <w:tcPr>
            <w:tcW w:w="3820" w:type="dxa"/>
            <w:vAlign w:val="bottom"/>
          </w:tcPr>
          <w:p>
            <w:pPr>
              <w:spacing w:after="0"/>
              <w:rPr>
                <w:sz w:val="20"/>
                <w:szCs w:val="20"/>
                <w:color w:val="auto"/>
              </w:rPr>
            </w:pPr>
            <w:r>
              <w:rPr>
                <w:rFonts w:ascii="Arial" w:cs="Arial" w:eastAsia="Arial" w:hAnsi="Arial"/>
                <w:sz w:val="18"/>
                <w:szCs w:val="18"/>
                <w:i w:val="1"/>
                <w:iCs w:val="1"/>
                <w:color w:val="auto"/>
              </w:rPr>
              <w:t>Components of Net Periodic Pension Cost: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7"/>
        </w:trPr>
        <w:tc>
          <w:tcPr>
            <w:tcW w:w="4240" w:type="dxa"/>
            <w:vAlign w:val="bottom"/>
            <w:gridSpan w:val="3"/>
          </w:tcPr>
          <w:p>
            <w:pPr>
              <w:spacing w:after="0"/>
              <w:rPr>
                <w:sz w:val="20"/>
                <w:szCs w:val="20"/>
                <w:color w:val="auto"/>
              </w:rPr>
            </w:pPr>
            <w:r>
              <w:rPr>
                <w:rFonts w:ascii="Arial" w:cs="Arial" w:eastAsia="Arial" w:hAnsi="Arial"/>
                <w:sz w:val="18"/>
                <w:szCs w:val="18"/>
                <w:color w:val="auto"/>
              </w:rPr>
              <w:t>Net periodic pension cost consisted of the following:</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357"/>
              <w:spacing w:after="0"/>
              <w:rPr>
                <w:sz w:val="20"/>
                <w:szCs w:val="20"/>
                <w:color w:val="auto"/>
              </w:rPr>
            </w:pPr>
            <w:r>
              <w:rPr>
                <w:rFonts w:ascii="Arial" w:cs="Arial" w:eastAsia="Arial" w:hAnsi="Arial"/>
                <w:sz w:val="14"/>
                <w:szCs w:val="14"/>
                <w:b w:val="1"/>
                <w:bCs w:val="1"/>
                <w:color w:val="auto"/>
              </w:rPr>
              <w:t>U.S. Plans</w:t>
            </w:r>
          </w:p>
        </w:tc>
        <w:tc>
          <w:tcPr>
            <w:tcW w:w="2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448"/>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7"/>
          </w:tcPr>
          <w:p>
            <w:pPr>
              <w:jc w:val="center"/>
              <w:ind w:left="168"/>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357"/>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448"/>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w:t>
            </w:r>
          </w:p>
        </w:tc>
        <w:tc>
          <w:tcPr>
            <w:tcW w:w="106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39</w:t>
            </w: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89"/>
              </w:rPr>
              <w:t>62</w:t>
            </w: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3"/>
              </w:rPr>
              <w:t>(24)</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(108)</w:t>
            </w:r>
          </w:p>
        </w:tc>
        <w:tc>
          <w:tcPr>
            <w:tcW w:w="13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w:t>
            </w: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31</w:t>
            </w:r>
          </w:p>
        </w:tc>
      </w:tr>
      <w:tr>
        <w:trPr>
          <w:trHeight w:val="203"/>
        </w:trPr>
        <w:tc>
          <w:tcPr>
            <w:tcW w:w="382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cost/(credit)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c>
          <w:tcPr>
            <w:tcW w:w="7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3"/>
        </w:trPr>
        <w:tc>
          <w:tcPr>
            <w:tcW w:w="424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losses/(gains) and other expenses</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2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528"/>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27</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jc w:val="center"/>
              <w:ind w:right="357"/>
              <w:spacing w:after="0"/>
              <w:rPr>
                <w:sz w:val="20"/>
                <w:szCs w:val="20"/>
                <w:color w:val="auto"/>
              </w:rPr>
            </w:pPr>
            <w:r>
              <w:rPr>
                <w:rFonts w:ascii="Arial" w:cs="Arial" w:eastAsia="Arial" w:hAnsi="Arial"/>
                <w:sz w:val="14"/>
                <w:szCs w:val="14"/>
                <w:b w:val="1"/>
                <w:bCs w:val="1"/>
                <w:color w:val="auto"/>
              </w:rPr>
              <w:t>U.S. Plans</w:t>
            </w:r>
          </w:p>
        </w:tc>
        <w:tc>
          <w:tcPr>
            <w:tcW w:w="2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448"/>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7"/>
          </w:tcPr>
          <w:p>
            <w:pPr>
              <w:jc w:val="center"/>
              <w:ind w:left="188"/>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For the Six Months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center"/>
              <w:ind w:right="357"/>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center"/>
              <w:ind w:right="448"/>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6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528"/>
              <w:spacing w:after="0" w:line="202"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77</w:t>
            </w: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7"/>
                <w:szCs w:val="17"/>
                <w:color w:val="auto"/>
              </w:rPr>
            </w:pP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1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122</w:t>
            </w:r>
          </w:p>
        </w:tc>
        <w:tc>
          <w:tcPr>
            <w:tcW w:w="120" w:type="dxa"/>
            <w:vAlign w:val="bottom"/>
          </w:tcPr>
          <w:p>
            <w:pPr>
              <w:spacing w:after="0"/>
              <w:rPr>
                <w:sz w:val="17"/>
                <w:szCs w:val="17"/>
                <w:color w:val="auto"/>
              </w:rPr>
            </w:pPr>
          </w:p>
        </w:tc>
      </w:tr>
      <w:tr>
        <w:trPr>
          <w:trHeight w:val="203"/>
        </w:trPr>
        <w:tc>
          <w:tcPr>
            <w:tcW w:w="38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3"/>
              </w:rPr>
              <w:t>(48)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(212)</w:t>
            </w:r>
          </w:p>
        </w:tc>
        <w:tc>
          <w:tcPr>
            <w:tcW w:w="13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(221)</w:t>
            </w:r>
          </w:p>
        </w:tc>
      </w:tr>
      <w:tr>
        <w:trPr>
          <w:trHeight w:val="203"/>
        </w:trPr>
        <w:tc>
          <w:tcPr>
            <w:tcW w:w="382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89"/>
              </w:rPr>
              <w:t>62</w:t>
            </w:r>
          </w:p>
        </w:tc>
      </w:tr>
      <w:tr>
        <w:trPr>
          <w:trHeight w:val="203"/>
        </w:trPr>
        <w:tc>
          <w:tcPr>
            <w:tcW w:w="3820" w:type="dxa"/>
            <w:vAlign w:val="bottom"/>
          </w:tcPr>
          <w:p>
            <w:pPr>
              <w:ind w:left="720"/>
              <w:spacing w:after="0" w:line="202" w:lineRule="exact"/>
              <w:rPr>
                <w:sz w:val="20"/>
                <w:szCs w:val="20"/>
                <w:color w:val="auto"/>
              </w:rPr>
            </w:pPr>
            <w:r>
              <w:rPr>
                <w:rFonts w:ascii="Arial" w:cs="Arial" w:eastAsia="Arial" w:hAnsi="Arial"/>
                <w:sz w:val="18"/>
                <w:szCs w:val="18"/>
                <w:color w:val="auto"/>
              </w:rPr>
              <w:t>Prior service cost/(credit)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0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r>
      <w:tr>
        <w:trPr>
          <w:trHeight w:val="203"/>
        </w:trPr>
        <w:tc>
          <w:tcPr>
            <w:tcW w:w="4240" w:type="dxa"/>
            <w:vAlign w:val="bottom"/>
            <w:gridSpan w:val="3"/>
            <w:shd w:val="clear" w:color="auto" w:fill="CCEEFF"/>
          </w:tcPr>
          <w:p>
            <w:pPr>
              <w:ind w:left="540"/>
              <w:spacing w:after="0" w:line="202" w:lineRule="exact"/>
              <w:rPr>
                <w:sz w:val="20"/>
                <w:szCs w:val="20"/>
                <w:color w:val="auto"/>
              </w:rPr>
            </w:pPr>
            <w:r>
              <w:rPr>
                <w:rFonts w:ascii="Arial" w:cs="Arial" w:eastAsia="Arial" w:hAnsi="Arial"/>
                <w:sz w:val="18"/>
                <w:szCs w:val="18"/>
                <w:color w:val="auto"/>
              </w:rPr>
              <w:t>Settlement losses/(gains) and other expenses</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820" w:type="dxa"/>
            <w:vAlign w:val="bottom"/>
          </w:tcPr>
          <w:p>
            <w:pPr>
              <w:ind w:left="540"/>
              <w:spacing w:after="0"/>
              <w:rPr>
                <w:sz w:val="20"/>
                <w:szCs w:val="20"/>
                <w:color w:val="auto"/>
              </w:rPr>
            </w:pPr>
            <w:r>
              <w:rPr>
                <w:rFonts w:ascii="Arial" w:cs="Arial" w:eastAsia="Arial" w:hAnsi="Arial"/>
                <w:sz w:val="18"/>
                <w:szCs w:val="18"/>
                <w:color w:val="auto"/>
              </w:rPr>
              <w:t>Net periodic pension cost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528"/>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10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37</w:t>
            </w: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Within settlement losses/(gains) and other expenses are losses of $11 million for the three and six months ended June 30, 2017 and $9 million for the three and six months ended June 30, 2016, that are related to our 2014-2018 Restructuring Program and are recorded within asset impairment and exit costs on our condensed consolidated statements of earnings.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the six months ended June 30, 2017, we contributed $9 million to our U.S. pension plans and $369 million to our non-U.S. pension plans. The non-U.S. amount included a non-recurring $250 million contribution made in connection with a new funding agreement for a Company plan in the U.K.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of June 30, 2017, we plan to make further contributions of approximately $4 million to our U.S. plans and approximately $86 million to our non-U.S. plans during the remainder of 2017. Our actual contributions may be different due to many factors, including changes in tax and other benefit laws, significant differences between expected and actual pension asset performance or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costs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56"/>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right"/>
              <w:ind w:right="10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CEEFF"/>
          </w:tcPr>
          <w:p>
            <w:pPr>
              <w:jc w:val="right"/>
              <w:ind w:right="548"/>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jc w:val="right"/>
              <w:ind w:right="596"/>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r>
      <w:tr>
        <w:trPr>
          <w:trHeight w:val="203"/>
        </w:trPr>
        <w:tc>
          <w:tcPr>
            <w:tcW w:w="570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w:t>
            </w:r>
          </w:p>
        </w:tc>
        <w:tc>
          <w:tcPr>
            <w:tcW w:w="7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57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700" w:type="dxa"/>
            <w:vAlign w:val="bottom"/>
          </w:tcPr>
          <w:p>
            <w:pPr>
              <w:ind w:left="720"/>
              <w:spacing w:after="0" w:line="202" w:lineRule="exact"/>
              <w:rPr>
                <w:sz w:val="20"/>
                <w:szCs w:val="20"/>
                <w:color w:val="auto"/>
              </w:rPr>
            </w:pPr>
            <w:r>
              <w:rPr>
                <w:rFonts w:ascii="Arial" w:cs="Arial" w:eastAsia="Arial" w:hAnsi="Arial"/>
                <w:sz w:val="18"/>
                <w:szCs w:val="18"/>
                <w:color w:val="auto"/>
              </w:rPr>
              <w:t>Net loss from experience differences</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4</w:t>
            </w:r>
          </w:p>
        </w:tc>
        <w:tc>
          <w:tcPr>
            <w:tcW w:w="780" w:type="dxa"/>
            <w:vAlign w:val="bottom"/>
          </w:tcPr>
          <w:p>
            <w:pPr>
              <w:spacing w:after="0"/>
              <w:rPr>
                <w:sz w:val="17"/>
                <w:szCs w:val="17"/>
                <w:color w:val="auto"/>
              </w:rPr>
            </w:pP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r>
      <w:tr>
        <w:trPr>
          <w:trHeight w:val="203"/>
        </w:trPr>
        <w:tc>
          <w:tcPr>
            <w:tcW w:w="57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Prior service credit </w:t>
            </w:r>
            <w:r>
              <w:rPr>
                <w:rFonts w:ascii="Arial" w:cs="Arial" w:eastAsia="Arial" w:hAnsi="Arial"/>
                <w:sz w:val="15"/>
                <w:szCs w:val="15"/>
                <w:color w:val="auto"/>
              </w:rPr>
              <w:t>(1)</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ind w:left="540"/>
              <w:spacing w:after="0"/>
              <w:rPr>
                <w:sz w:val="20"/>
                <w:szCs w:val="20"/>
                <w:color w:val="auto"/>
              </w:rPr>
            </w:pPr>
            <w:r>
              <w:rPr>
                <w:rFonts w:ascii="Arial" w:cs="Arial" w:eastAsia="Arial" w:hAnsi="Arial"/>
                <w:sz w:val="18"/>
                <w:szCs w:val="18"/>
                <w:color w:val="auto"/>
              </w:rPr>
              <w:t>Net periodic postretirement health care costs</w:t>
            </w:r>
          </w:p>
        </w:tc>
        <w:tc>
          <w:tcPr>
            <w:tcW w:w="720" w:type="dxa"/>
            <w:vAlign w:val="bottom"/>
            <w:gridSpan w:val="2"/>
          </w:tcPr>
          <w:p>
            <w:pPr>
              <w:jc w:val="right"/>
              <w:ind w:right="548"/>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9" w:lineRule="exact"/>
        <w:rPr>
          <w:sz w:val="20"/>
          <w:szCs w:val="20"/>
          <w:color w:val="auto"/>
        </w:rPr>
      </w:pPr>
    </w:p>
    <w:p>
      <w:pPr>
        <w:ind w:left="1140" w:right="480" w:hanging="335"/>
        <w:spacing w:after="0" w:line="258" w:lineRule="auto"/>
        <w:tabs>
          <w:tab w:leader="none" w:pos="11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and six months ended June 30, 2017, amortization of prior service credit includes an $8 million and $16 million gain respectively, related to a change in the eligibility requirement and a change in benefits to Medicare-eligible participants.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Benefit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postemployment costs consisted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0"/>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7"/>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720" w:type="dxa"/>
            <w:vAlign w:val="bottom"/>
          </w:tcPr>
          <w:p>
            <w:pPr>
              <w:ind w:left="540"/>
              <w:spacing w:after="0" w:line="202" w:lineRule="exact"/>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Amortization of net gains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tcPr>
          <w:p>
            <w:pPr>
              <w:ind w:left="540"/>
              <w:spacing w:after="0"/>
              <w:rPr>
                <w:sz w:val="20"/>
                <w:szCs w:val="20"/>
                <w:color w:val="auto"/>
              </w:rPr>
            </w:pPr>
            <w:r>
              <w:rPr>
                <w:rFonts w:ascii="Arial" w:cs="Arial" w:eastAsia="Arial" w:hAnsi="Arial"/>
                <w:sz w:val="18"/>
                <w:szCs w:val="18"/>
                <w:color w:val="auto"/>
              </w:rPr>
              <w:t>Net periodic postemployment costs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Note 10. Stock Plans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720" w:type="dxa"/>
            <w:vAlign w:val="bottom"/>
          </w:tcPr>
          <w:p>
            <w:pPr>
              <w:spacing w:after="0"/>
              <w:rPr>
                <w:sz w:val="20"/>
                <w:szCs w:val="20"/>
                <w:color w:val="auto"/>
              </w:rPr>
            </w:pPr>
            <w:r>
              <w:rPr>
                <w:rFonts w:ascii="Arial" w:cs="Arial" w:eastAsia="Arial" w:hAnsi="Arial"/>
                <w:sz w:val="18"/>
                <w:szCs w:val="18"/>
                <w:i w:val="1"/>
                <w:iCs w:val="1"/>
                <w:color w:val="auto"/>
              </w:rPr>
              <w:t>Stock Options: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720" w:type="dxa"/>
            <w:vAlign w:val="bottom"/>
          </w:tcPr>
          <w:p>
            <w:pPr>
              <w:spacing w:after="0"/>
              <w:rPr>
                <w:sz w:val="20"/>
                <w:szCs w:val="20"/>
                <w:color w:val="auto"/>
              </w:rPr>
            </w:pPr>
            <w:r>
              <w:rPr>
                <w:rFonts w:ascii="Arial" w:cs="Arial" w:eastAsia="Arial" w:hAnsi="Arial"/>
                <w:sz w:val="18"/>
                <w:szCs w:val="18"/>
                <w:color w:val="auto"/>
              </w:rPr>
              <w:t>Stock option activity is reflected below:</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Exercise 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Shares Subject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Grant Price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to Option</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88"/>
        </w:trPr>
        <w:tc>
          <w:tcPr>
            <w:tcW w:w="5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26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53,601,612</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28.02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6 years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874 million</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tcPr>
          <w:p>
            <w:pPr>
              <w:ind w:left="720"/>
              <w:spacing w:after="0" w:line="196" w:lineRule="exact"/>
              <w:rPr>
                <w:sz w:val="20"/>
                <w:szCs w:val="20"/>
                <w:color w:val="auto"/>
              </w:rPr>
            </w:pPr>
            <w:r>
              <w:rPr>
                <w:rFonts w:ascii="Arial" w:cs="Arial" w:eastAsia="Arial" w:hAnsi="Arial"/>
                <w:sz w:val="18"/>
                <w:szCs w:val="18"/>
                <w:color w:val="auto"/>
              </w:rPr>
              <w:t>Annual grant to eligible employees</w:t>
            </w:r>
          </w:p>
        </w:tc>
        <w:tc>
          <w:tcPr>
            <w:tcW w:w="260" w:type="dxa"/>
            <w:vAlign w:val="bottom"/>
          </w:tcPr>
          <w:p>
            <w:pPr>
              <w:spacing w:after="0"/>
              <w:rPr>
                <w:sz w:val="17"/>
                <w:szCs w:val="17"/>
                <w:color w:val="auto"/>
              </w:rPr>
            </w:pPr>
          </w:p>
        </w:tc>
        <w:tc>
          <w:tcPr>
            <w:tcW w:w="130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6,012,140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43.20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Additional options issued</w:t>
            </w:r>
          </w:p>
        </w:tc>
        <w:tc>
          <w:tcPr>
            <w:tcW w:w="26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26,600</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900"/>
              <w:spacing w:after="0"/>
              <w:rPr>
                <w:sz w:val="20"/>
                <w:szCs w:val="20"/>
                <w:color w:val="auto"/>
              </w:rPr>
            </w:pPr>
            <w:r>
              <w:rPr>
                <w:rFonts w:ascii="Arial" w:cs="Arial" w:eastAsia="Arial" w:hAnsi="Arial"/>
                <w:sz w:val="18"/>
                <w:szCs w:val="18"/>
                <w:color w:val="auto"/>
              </w:rPr>
              <w:t>Total options granted</w:t>
            </w:r>
          </w:p>
        </w:tc>
        <w:tc>
          <w:tcPr>
            <w:tcW w:w="2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6,038,740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15"/>
                <w:szCs w:val="15"/>
                <w:color w:val="auto"/>
              </w:rPr>
              <w:t>(1)</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(6,099,149)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109 million</w:t>
            </w:r>
          </w:p>
        </w:tc>
        <w:tc>
          <w:tcPr>
            <w:tcW w:w="0" w:type="dxa"/>
            <w:vAlign w:val="bottom"/>
          </w:tcPr>
          <w:p>
            <w:pPr>
              <w:spacing w:after="0"/>
              <w:rPr>
                <w:sz w:val="1"/>
                <w:szCs w:val="1"/>
                <w:color w:val="auto"/>
              </w:rPr>
            </w:pPr>
          </w:p>
        </w:tc>
      </w:tr>
      <w:tr>
        <w:trPr>
          <w:trHeight w:val="210"/>
        </w:trPr>
        <w:tc>
          <w:tcPr>
            <w:tcW w:w="5720" w:type="dxa"/>
            <w:vAlign w:val="bottom"/>
          </w:tcPr>
          <w:p>
            <w:pPr>
              <w:ind w:left="720"/>
              <w:spacing w:after="0" w:line="202" w:lineRule="exact"/>
              <w:rPr>
                <w:sz w:val="20"/>
                <w:szCs w:val="20"/>
                <w:color w:val="auto"/>
              </w:rPr>
            </w:pPr>
            <w:r>
              <w:rPr>
                <w:rFonts w:ascii="Arial" w:cs="Arial" w:eastAsia="Arial" w:hAnsi="Arial"/>
                <w:sz w:val="18"/>
                <w:szCs w:val="18"/>
                <w:color w:val="auto"/>
              </w:rPr>
              <w:t>Options cancelled</w:t>
            </w:r>
          </w:p>
        </w:tc>
        <w:tc>
          <w:tcPr>
            <w:tcW w:w="260" w:type="dxa"/>
            <w:vAlign w:val="bottom"/>
          </w:tcPr>
          <w:p>
            <w:pPr>
              <w:spacing w:after="0"/>
              <w:rPr>
                <w:sz w:val="18"/>
                <w:szCs w:val="18"/>
                <w:color w:val="auto"/>
              </w:rPr>
            </w:pPr>
          </w:p>
        </w:tc>
        <w:tc>
          <w:tcPr>
            <w:tcW w:w="13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(1,270,978)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2017</w:t>
            </w:r>
          </w:p>
        </w:tc>
        <w:tc>
          <w:tcPr>
            <w:tcW w:w="26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52,270,225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rPr>
              <w:t>6 years</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711 million</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1140" w:right="80" w:hanging="335"/>
        <w:spacing w:after="0" w:line="250" w:lineRule="auto"/>
        <w:tabs>
          <w:tab w:leader="none" w:pos="11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Cash received from options exercised was $113 million in the three months and $170 million in the six months ended June 30, 2017. The actual tax benefit realized and recorded in the provision for income taxes for the tax deductions from the option exercises totaled $10 million in the three months and $18 million in the six months ended June 30, 2017.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Weighted-Average   Weighted-Average</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5"/>
        </w:trPr>
        <w:tc>
          <w:tcPr>
            <w:tcW w:w="596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of Shares</w:t>
            </w:r>
          </w:p>
        </w:tc>
        <w:tc>
          <w:tcPr>
            <w:tcW w:w="1600" w:type="dxa"/>
            <w:vAlign w:val="bottom"/>
            <w:gridSpan w:val="3"/>
          </w:tcPr>
          <w:p>
            <w:pPr>
              <w:jc w:val="right"/>
              <w:ind w:right="568"/>
              <w:spacing w:after="0"/>
              <w:rPr>
                <w:sz w:val="20"/>
                <w:szCs w:val="20"/>
                <w:color w:val="auto"/>
              </w:rPr>
            </w:pPr>
            <w:r>
              <w:rPr>
                <w:rFonts w:ascii="Arial" w:cs="Arial" w:eastAsia="Arial" w:hAnsi="Arial"/>
                <w:sz w:val="14"/>
                <w:szCs w:val="14"/>
                <w:b w:val="1"/>
                <w:bCs w:val="1"/>
                <w:color w:val="auto"/>
              </w:rPr>
              <w:t>Grant Date</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88"/>
        </w:trPr>
        <w:tc>
          <w:tcPr>
            <w:tcW w:w="59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January 1, 2017</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7,593,627</w:t>
            </w:r>
          </w:p>
        </w:tc>
        <w:tc>
          <w:tcPr>
            <w:tcW w:w="160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24.29</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720"/>
              <w:spacing w:after="0"/>
              <w:rPr>
                <w:sz w:val="20"/>
                <w:szCs w:val="20"/>
                <w:color w:val="auto"/>
              </w:rPr>
            </w:pPr>
            <w:r>
              <w:rPr>
                <w:rFonts w:ascii="Arial" w:cs="Arial" w:eastAsia="Arial" w:hAnsi="Arial"/>
                <w:sz w:val="18"/>
                <w:szCs w:val="18"/>
                <w:color w:val="auto"/>
              </w:rPr>
              <w:t>Annual grant to eligible employees: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gridSpan w:val="3"/>
            <w:vMerge w:val="restart"/>
          </w:tcPr>
          <w:p>
            <w:pPr>
              <w:jc w:val="center"/>
              <w:ind w:right="308"/>
              <w:spacing w:after="0"/>
              <w:rPr>
                <w:sz w:val="20"/>
                <w:szCs w:val="20"/>
                <w:color w:val="auto"/>
              </w:rPr>
            </w:pPr>
            <w:r>
              <w:rPr>
                <w:rFonts w:ascii="Arial" w:cs="Arial" w:eastAsia="Arial" w:hAnsi="Arial"/>
                <w:sz w:val="18"/>
                <w:szCs w:val="18"/>
                <w:color w:val="auto"/>
                <w:w w:val="98"/>
              </w:rPr>
              <w:t>Feb. 16, 2017</w:t>
            </w: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vMerge w:val="continue"/>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Performance share units</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1,087,010</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43.20</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ind w:left="900"/>
              <w:spacing w:after="0" w:line="202" w:lineRule="exact"/>
              <w:rPr>
                <w:sz w:val="20"/>
                <w:szCs w:val="20"/>
                <w:color w:val="auto"/>
              </w:rPr>
            </w:pPr>
            <w:r>
              <w:rPr>
                <w:rFonts w:ascii="Arial" w:cs="Arial" w:eastAsia="Arial" w:hAnsi="Arial"/>
                <w:sz w:val="18"/>
                <w:szCs w:val="18"/>
                <w:color w:val="auto"/>
              </w:rPr>
              <w:t>Deferred stock units</w:t>
            </w:r>
          </w:p>
        </w:tc>
        <w:tc>
          <w:tcPr>
            <w:tcW w:w="12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845,550</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43.20</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15"/>
                <w:szCs w:val="15"/>
                <w:color w:val="auto"/>
              </w:rPr>
              <w:t>(1)</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304,961</w:t>
            </w:r>
          </w:p>
        </w:tc>
        <w:tc>
          <w:tcPr>
            <w:tcW w:w="1600" w:type="dxa"/>
            <w:vAlign w:val="bottom"/>
            <w:gridSpan w:val="3"/>
            <w:shd w:val="clear" w:color="auto" w:fill="CCEEFF"/>
          </w:tcPr>
          <w:p>
            <w:pPr>
              <w:jc w:val="center"/>
              <w:ind w:right="288"/>
              <w:spacing w:after="0" w:line="202" w:lineRule="exact"/>
              <w:rPr>
                <w:sz w:val="20"/>
                <w:szCs w:val="20"/>
                <w:color w:val="auto"/>
              </w:rPr>
            </w:pPr>
            <w:r>
              <w:rPr>
                <w:rFonts w:ascii="Arial" w:cs="Arial" w:eastAsia="Arial" w:hAnsi="Arial"/>
                <w:sz w:val="18"/>
                <w:szCs w:val="18"/>
                <w:color w:val="auto"/>
                <w:w w:val="98"/>
              </w:rPr>
              <w:t>Various</w:t>
            </w: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40.39</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tcPr>
          <w:p>
            <w:pPr>
              <w:ind w:left="900"/>
              <w:spacing w:after="0"/>
              <w:rPr>
                <w:sz w:val="20"/>
                <w:szCs w:val="20"/>
                <w:color w:val="auto"/>
              </w:rPr>
            </w:pPr>
            <w:r>
              <w:rPr>
                <w:rFonts w:ascii="Arial" w:cs="Arial" w:eastAsia="Arial" w:hAnsi="Arial"/>
                <w:sz w:val="18"/>
                <w:szCs w:val="18"/>
                <w:color w:val="auto"/>
              </w:rPr>
              <w:t>Total shares granted</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2,237,521</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42.82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 million</w:t>
            </w:r>
          </w:p>
        </w:tc>
        <w:tc>
          <w:tcPr>
            <w:tcW w:w="0" w:type="dxa"/>
            <w:vAlign w:val="bottom"/>
          </w:tcPr>
          <w:p>
            <w:pPr>
              <w:spacing w:after="0"/>
              <w:rPr>
                <w:sz w:val="1"/>
                <w:szCs w:val="1"/>
                <w:color w:val="auto"/>
              </w:rPr>
            </w:pPr>
          </w:p>
        </w:tc>
      </w:tr>
      <w:tr>
        <w:trPr>
          <w:trHeight w:val="203"/>
        </w:trPr>
        <w:tc>
          <w:tcPr>
            <w:tcW w:w="59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15"/>
                <w:szCs w:val="15"/>
                <w:color w:val="auto"/>
              </w:rPr>
              <w:t>(2)</w:t>
            </w:r>
          </w:p>
        </w:tc>
        <w:tc>
          <w:tcPr>
            <w:tcW w:w="12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(2,443,709)</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43.01</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 million</w:t>
            </w:r>
          </w:p>
        </w:tc>
        <w:tc>
          <w:tcPr>
            <w:tcW w:w="0" w:type="dxa"/>
            <w:vAlign w:val="bottom"/>
          </w:tcPr>
          <w:p>
            <w:pPr>
              <w:spacing w:after="0"/>
              <w:rPr>
                <w:sz w:val="1"/>
                <w:szCs w:val="1"/>
                <w:color w:val="auto"/>
              </w:rPr>
            </w:pPr>
          </w:p>
        </w:tc>
      </w:tr>
      <w:tr>
        <w:trPr>
          <w:trHeight w:val="203"/>
        </w:trPr>
        <w:tc>
          <w:tcPr>
            <w:tcW w:w="596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15"/>
                <w:szCs w:val="15"/>
                <w:color w:val="auto"/>
              </w:rPr>
              <w:t>(2)</w:t>
            </w:r>
          </w:p>
        </w:tc>
        <w:tc>
          <w:tcPr>
            <w:tcW w:w="12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(569,922)</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39.59</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June 30, 2017</w:t>
            </w:r>
          </w:p>
        </w:tc>
        <w:tc>
          <w:tcPr>
            <w:tcW w:w="12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6,817,517</w:t>
            </w: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22.38</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140" w:hanging="335"/>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ind w:left="1140" w:right="180" w:hanging="335"/>
        <w:spacing w:after="0" w:line="258" w:lineRule="auto"/>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 realized and recorded in the provision for income taxes for the tax deductions from the shares vested totaled $1 million in the three months and $7 million for six months ended June 30,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2013, our Board of Directors authorized the repurchase of $7.7 billion of our Common Stock through December 31, 2016. On July 29,</w:t>
      </w:r>
    </w:p>
    <w:p>
      <w:pPr>
        <w:spacing w:after="0" w:line="234" w:lineRule="auto"/>
        <w:rPr>
          <w:sz w:val="20"/>
          <w:szCs w:val="20"/>
          <w:color w:val="auto"/>
        </w:rPr>
      </w:pPr>
      <w:r>
        <w:rPr>
          <w:rFonts w:ascii="Arial" w:cs="Arial" w:eastAsia="Arial" w:hAnsi="Arial"/>
          <w:sz w:val="18"/>
          <w:szCs w:val="18"/>
          <w:color w:val="auto"/>
        </w:rPr>
        <w:t>2015, our Finance Committee, with authorization delegated from our Board of Directors, approved an increase of $6.0 billion in the share</w:t>
      </w:r>
    </w:p>
    <w:p>
      <w:pPr>
        <w:spacing w:after="0" w:line="235" w:lineRule="auto"/>
        <w:rPr>
          <w:sz w:val="20"/>
          <w:szCs w:val="20"/>
          <w:color w:val="auto"/>
        </w:rPr>
      </w:pPr>
      <w:r>
        <w:rPr>
          <w:rFonts w:ascii="Arial" w:cs="Arial" w:eastAsia="Arial" w:hAnsi="Arial"/>
          <w:sz w:val="18"/>
          <w:szCs w:val="18"/>
          <w:color w:val="auto"/>
        </w:rPr>
        <w:t>repurchase program, raising the authorization to $13.7 billion of Common Stock repurchases, and extended the program through</w:t>
      </w:r>
    </w:p>
    <w:p>
      <w:pPr>
        <w:spacing w:after="0" w:line="235" w:lineRule="auto"/>
        <w:rPr>
          <w:sz w:val="20"/>
          <w:szCs w:val="20"/>
          <w:color w:val="auto"/>
        </w:rPr>
      </w:pPr>
      <w:r>
        <w:rPr>
          <w:rFonts w:ascii="Arial" w:cs="Arial" w:eastAsia="Arial" w:hAnsi="Arial"/>
          <w:sz w:val="18"/>
          <w:szCs w:val="18"/>
          <w:color w:val="auto"/>
        </w:rPr>
        <w:t>December 31, 2018. Repurchases under the program are determined by management and are wholly discretionary. Prior to January 1, 2017,</w:t>
      </w:r>
    </w:p>
    <w:p>
      <w:pPr>
        <w:spacing w:after="0" w:line="235" w:lineRule="auto"/>
        <w:rPr>
          <w:sz w:val="20"/>
          <w:szCs w:val="20"/>
          <w:color w:val="auto"/>
        </w:rPr>
      </w:pPr>
      <w:r>
        <w:rPr>
          <w:rFonts w:ascii="Arial" w:cs="Arial" w:eastAsia="Arial" w:hAnsi="Arial"/>
          <w:sz w:val="18"/>
          <w:szCs w:val="18"/>
          <w:color w:val="auto"/>
        </w:rPr>
        <w:t>we had repurchased $10.8 billion of Common Stock pursuant to this authorization. During the six months ended June 30, 2017, we</w:t>
      </w:r>
    </w:p>
    <w:p>
      <w:pPr>
        <w:spacing w:after="0" w:line="235" w:lineRule="auto"/>
        <w:rPr>
          <w:sz w:val="20"/>
          <w:szCs w:val="20"/>
          <w:color w:val="auto"/>
        </w:rPr>
      </w:pPr>
      <w:r>
        <w:rPr>
          <w:rFonts w:ascii="Arial" w:cs="Arial" w:eastAsia="Arial" w:hAnsi="Arial"/>
          <w:sz w:val="18"/>
          <w:szCs w:val="18"/>
          <w:color w:val="auto"/>
        </w:rPr>
        <w:t>repurchased approximately 25 million shares of Common Stock at an average cost of $44.61 per share, or an aggregate cost of approximately</w:t>
      </w:r>
    </w:p>
    <w:p>
      <w:pPr>
        <w:spacing w:after="0" w:line="235" w:lineRule="auto"/>
        <w:rPr>
          <w:sz w:val="20"/>
          <w:szCs w:val="20"/>
          <w:color w:val="auto"/>
        </w:rPr>
      </w:pPr>
      <w:r>
        <w:rPr>
          <w:rFonts w:ascii="Arial" w:cs="Arial" w:eastAsia="Arial" w:hAnsi="Arial"/>
          <w:sz w:val="18"/>
          <w:szCs w:val="18"/>
          <w:color w:val="auto"/>
        </w:rPr>
        <w:t>$1,109 million, all of which was paid during the period except for approximately $40 million settled in July 2017. All share repurchases were</w:t>
      </w:r>
    </w:p>
    <w:p>
      <w:pPr>
        <w:spacing w:after="0" w:line="235" w:lineRule="auto"/>
        <w:rPr>
          <w:sz w:val="20"/>
          <w:szCs w:val="20"/>
          <w:color w:val="auto"/>
        </w:rPr>
      </w:pPr>
      <w:r>
        <w:rPr>
          <w:rFonts w:ascii="Arial" w:cs="Arial" w:eastAsia="Arial" w:hAnsi="Arial"/>
          <w:sz w:val="18"/>
          <w:szCs w:val="18"/>
          <w:color w:val="auto"/>
        </w:rPr>
        <w:t>funded through available cash and commercial paper issuances. As of June 30, 2017, we have $1.7 billion in remaining share repurchase</w:t>
      </w:r>
    </w:p>
    <w:p>
      <w:pPr>
        <w:spacing w:after="0"/>
        <w:rPr>
          <w:sz w:val="20"/>
          <w:szCs w:val="20"/>
          <w:color w:val="auto"/>
        </w:rPr>
      </w:pPr>
      <w:r>
        <w:rPr>
          <w:rFonts w:ascii="Arial" w:cs="Arial" w:eastAsia="Arial" w:hAnsi="Arial"/>
          <w:sz w:val="18"/>
          <w:szCs w:val="18"/>
          <w:color w:val="auto"/>
        </w:rPr>
        <w:t>capacity.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2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($58 million as of June 30, 2017)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issued an order denying the excise exemption that we claimed for the Indian facility and confirming the Excise Authority’s demands for total taxes and penalties in the amount of 5.8 billion Indian rupees ($90 million as of June 30, 2017). We have appealed this order. In addition, the Excise Authority issued additional show cause notices in February 2015 and December 2015 on the same issue but covering the periods January to October 2014 and November 2014 to September 2015, respectively. These notices added a total of 2.4 billion Indian rupees</w:t>
      </w:r>
    </w:p>
    <w:p>
      <w:pPr>
        <w:spacing w:after="0" w:line="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($37 million as of June 30, 2017) of unpaid excise taxes as well as penalties to be determined up to an amount equivalent to that claimed by the Excise Authority and interest. We believe that the decision to claim the excise tax benefit is valid and we are continuing to contest the show cause notices through the administrative and judicial process.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April 2013, the staff of the U.S. Commodity Futures Trading Commission (“CFTC”) advised us and Kraft Foods Group that it was investigating activities related to the trading of December 2011 wheat futures contracts that occurred prior to the Spin-Off of Kraft Foods Group. We cooperated with the staff in its investigation. On April 1, 2015, the CFTC filed a complaint against Kraft Foods Group and Mondelēz Global LLC (“Mondelēz Global”) in the U.S. District Court for the Northern District of Illinois, Eastern Division (the “CFTC action”).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In December 2015, the court denied Mondelēz Global and Kraft Foods Group’s motion to dismiss the CFTC’s claims of market manipulation and attempted manipulation, and the parties are now in discovery.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seek class action certification; an unspecified amount for damages, interest and unjust enrichment; costs and fees; and injunctive, declaratory and other unspecified relief. In June 2015, these suits were consolidated in the Northern District of Illinois. In June 2016, the court denied Mondelēz Global and Kraft Foods Group’s motion to dismiss, and the parties are now in discovery. It is not possible to predict the outcome of these matters; however, based on our Separation and Distribution Agreement with Kraft Foods Group dated as of September 27, 2012, we expect to bear any monetary penalties or other payments in connection with the CFTC action.</w:t>
      </w:r>
    </w:p>
    <w:p>
      <w:pPr>
        <w:spacing w:after="0" w:line="21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While we cannot predict with certainty the results of any Legal Matters in which we are currently involved, we do not expect that the ultimate costs to resolve any of these Legal Matters, individually or in the aggregate, will have a material effect on our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1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June 30, 2017, we had no material third-party guarantees recorded on our condensed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part of our 2010 Cadbury acquisition, we became the responsible party for tax matters under a February 2, 2006 dated Deed of Tax Covenant between the Cadbury Schweppes PLC and related entities (“Schweppes”) and Black Lion Beverages and related entities. The tax matters included an ongoing transfer pricing case with the Spanish tax authorities related to the Schweppes businesses Cadbury divested prior to our acquisition of Cadbury. During the first quarter of 2017, the Spanish Supreme Court decided the case in our favor. As a result of the final ruling, during the first quarter of 2017, we recorded a favorable earnings impact of $46 million in selling, general and administrative expenses and $12 million in interest and other expense, net, for a total pre-tax impact of $58 million due to the non-cash reversal of Cadbury-related accrued liabilities related to this matter.</w:t>
      </w:r>
    </w:p>
    <w:p>
      <w:pPr>
        <w:spacing w:after="0" w:line="20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During the first quarter of 2017, the Brazilian Supreme Court (the “Court”) ruled against the Brazilian tax authorities in a case related to the computation of certain social taxes. The Court ruled that the social tax base should not include a value-added tax known as ICMS. By removing the ICMS from the tax base, the Court effectively eliminated a “tax on a tax.” Our Brazilian subsidiary received an injunction against making payments for the “tax on a tax” in 2008 and since that time until December 2016, we have accrued for the ICMS tax each quarter in the event that the ICMS tax was reaffirmed by the Brazilian courts. The decision of the Court has not yet been published and we are awaiting further instructions from the Court and tax authorities related to amounts previously paid and accrued for the ICMS tax. We cannot reasonably estimate the amount and timing of the impact at this time.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Reclassifications from Accumulated Other Comprehensive Income</w:t>
      </w:r>
    </w:p>
    <w:p>
      <w:pPr>
        <w:spacing w:after="0" w:line="2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$67 million in the three months and $110 million in the six months ended June 30, 2017 and $38 million in the three months and $178 million in the six months ended June 30, 2016.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6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Currency Translation Adjustments: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(8,375)</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(7,388)</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(8,914)</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Currency translation adjustments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764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Reclassification to earnings related to:</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Equity method investment exchange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Tax benefit/(expense)</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159</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Less: (gain)/loss attributable to noncontrolling interests</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(7,902)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(8,007)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0"/>
        </w:trPr>
        <w:tc>
          <w:tcPr>
            <w:tcW w:w="6320" w:type="dxa"/>
            <w:vAlign w:val="bottom"/>
          </w:tcPr>
          <w:p>
            <w:pPr>
              <w:ind w:left="360"/>
              <w:spacing w:after="0"/>
              <w:rPr>
                <w:sz w:val="20"/>
                <w:szCs w:val="20"/>
                <w:color w:val="auto"/>
              </w:rPr>
            </w:pPr>
            <w:r>
              <w:rPr>
                <w:rFonts w:ascii="Arial" w:cs="Arial" w:eastAsia="Arial" w:hAnsi="Arial"/>
                <w:sz w:val="18"/>
                <w:szCs w:val="18"/>
                <w:b w:val="1"/>
                <w:bCs w:val="1"/>
                <w:color w:val="auto"/>
              </w:rPr>
              <w:t>Pension and Other Benefit Plans: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(2,086)</w:t>
            </w:r>
          </w:p>
        </w:tc>
        <w:tc>
          <w:tcPr>
            <w:tcW w:w="3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(1,940)</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(2,087)</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Net actuarial (loss)/gain arising during period</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Tax benefit/(expense) on net actuarial loss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Losses/(gains) reclassified into net earnings:</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Amortization of experience losses and prior service costs </w:t>
            </w:r>
            <w:r>
              <w:rPr>
                <w:rFonts w:ascii="Arial" w:cs="Arial" w:eastAsia="Arial" w:hAnsi="Arial"/>
                <w:sz w:val="15"/>
                <w:szCs w:val="15"/>
                <w:color w:val="auto"/>
              </w:rPr>
              <w:t>(1)</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63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15"/>
                <w:szCs w:val="15"/>
                <w:color w:val="auto"/>
              </w:rPr>
              <w:t>(1)</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Currency impact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(losses)/earnings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(2,119)</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b w:val="1"/>
                <w:bCs w:val="1"/>
                <w:color w:val="auto"/>
              </w:rPr>
              <w:t>Derivative Cash Flow Hedges: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(53)</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derivative gains/(losses)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3"/>
        </w:trPr>
        <w:tc>
          <w:tcPr>
            <w:tcW w:w="6320" w:type="dxa"/>
            <w:vAlign w:val="bottom"/>
          </w:tcPr>
          <w:p>
            <w:pPr>
              <w:ind w:left="720"/>
              <w:spacing w:after="0" w:line="202" w:lineRule="exact"/>
              <w:rPr>
                <w:sz w:val="20"/>
                <w:szCs w:val="20"/>
                <w:color w:val="auto"/>
              </w:rPr>
            </w:pPr>
            <w:r>
              <w:rPr>
                <w:rFonts w:ascii="Arial" w:cs="Arial" w:eastAsia="Arial" w:hAnsi="Arial"/>
                <w:sz w:val="18"/>
                <w:szCs w:val="18"/>
                <w:color w:val="auto"/>
              </w:rPr>
              <w:t>Tax benefit on net derivative gain/(loss)</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Losses/(gains) reclassified into net earnings: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Currency exchange contracts – forecasted transactions </w:t>
            </w:r>
            <w:r>
              <w:rPr>
                <w:rFonts w:ascii="Arial" w:cs="Arial" w:eastAsia="Arial" w:hAnsi="Arial"/>
                <w:sz w:val="15"/>
                <w:szCs w:val="15"/>
                <w:color w:val="auto"/>
              </w:rPr>
              <w:t>(3)</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15"/>
                <w:szCs w:val="15"/>
                <w:color w:val="auto"/>
              </w:rPr>
              <w:t>(3)</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632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Interest rate contracts </w:t>
            </w:r>
            <w:r>
              <w:rPr>
                <w:rFonts w:ascii="Arial" w:cs="Arial" w:eastAsia="Arial" w:hAnsi="Arial"/>
                <w:sz w:val="15"/>
                <w:szCs w:val="15"/>
                <w:color w:val="auto"/>
              </w:rPr>
              <w:t>(4)</w:t>
            </w:r>
          </w:p>
        </w:tc>
        <w:tc>
          <w:tcPr>
            <w:tcW w:w="14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Tax benefit on reclassifications </w:t>
            </w: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Currency impact</w:t>
            </w: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Other comprehensive earnings/(losses)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0"/>
        </w:trPr>
        <w:tc>
          <w:tcPr>
            <w:tcW w:w="632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b w:val="1"/>
                <w:bCs w:val="1"/>
                <w:color w:val="auto"/>
              </w:rPr>
              <w:t>Accumulated other comprehensive income attributable to</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Mondelēz International:</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(10,564)</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(9,381)</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(11,122)</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Total other comprehensive earnings/(losses)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921</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540"/>
              <w:spacing w:after="0" w:line="202" w:lineRule="exact"/>
              <w:rPr>
                <w:sz w:val="20"/>
                <w:szCs w:val="20"/>
                <w:color w:val="auto"/>
              </w:rPr>
            </w:pPr>
            <w:r>
              <w:rPr>
                <w:rFonts w:ascii="Arial" w:cs="Arial" w:eastAsia="Arial" w:hAnsi="Arial"/>
                <w:sz w:val="18"/>
                <w:szCs w:val="18"/>
                <w:color w:val="auto"/>
              </w:rPr>
              <w:t>Less: loss/(gain) attributable to noncontrolling interests</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Other comprehensive earnings/(losses) attributable to Mondelēz</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720"/>
              <w:spacing w:after="0" w:line="203"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905</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tcPr>
          <w:p>
            <w:pPr>
              <w:ind w:left="540"/>
              <w:spacing w:after="0"/>
              <w:rPr>
                <w:sz w:val="20"/>
                <w:szCs w:val="20"/>
                <w:color w:val="auto"/>
              </w:rPr>
            </w:pPr>
            <w:r>
              <w:rPr>
                <w:rFonts w:ascii="Arial" w:cs="Arial" w:eastAsia="Arial" w:hAnsi="Arial"/>
                <w:sz w:val="18"/>
                <w:szCs w:val="18"/>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(10,217)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(9,768)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(10,217)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(9,768)</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562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the components of net periodic benefit costs disclosed in Note 9,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cost of sales.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reclassified losses are recorded within interest and other expense, net.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current tax laws, our estimated annual effective tax rate for 2017 is 25.8%, reflecting favorable impacts from the mix of pre-tax income in various non-U.S. tax jurisdictions, partially offset by an increase in domestic earnings as compared to the prior year. Our 2017 second quarter effective tax rate of 16.2% was favorably impacted by net tax benefits of $47 million from discrete one-time events. The discrete net tax benefits primarily consisted of a $46 million benefit from the release of uncertain tax positions due to expirations of statutes of limitations and audit settlements in several jurisdictions. Our effective tax rate for the six months ended June 30, 2017 of 19.2% was favorably impacted by net tax benefits of $83 million from discrete one-time events. The discrete net tax benefits primarily consisted of a $62 million benefit from the release of uncertain tax positions due to expirations of statutes of limitations and audit settlements in various jurisdictions and a $16 million benefit related to the U.S. domestic production activities deduction.</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of the end of the second quarter of 2016, our estimated annual effective tax rate for 2016 was 22.5%, reflecting favorable impacts from the mix of pre-tax income in various non-U.S. tax jurisdictions. Our 2016 second quarter effective tax rate of 24.2% included net expense from discrete one-time events of $ 6 million, mainly due to interest accruals on uncertain tax positions. Our effective tax rate for the six months ended June 30, 2016 of 17.3% was favorably impacted by net tax benefits of $ 49 million from discrete one-time events. The discrete net tax benefits primarily consisted of a $39 million benefit from the release of uncertain tax positions due to expirations of statutes of limitations in several jurisdictions.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3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0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6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(in millions, except per share data)</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6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69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earnings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1,133</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1,028</w:t>
            </w:r>
          </w:p>
        </w:tc>
      </w:tr>
      <w:tr>
        <w:trPr>
          <w:trHeight w:val="203"/>
        </w:trPr>
        <w:tc>
          <w:tcPr>
            <w:tcW w:w="6920" w:type="dxa"/>
            <w:vAlign w:val="bottom"/>
          </w:tcPr>
          <w:p>
            <w:pPr>
              <w:ind w:left="540"/>
              <w:spacing w:after="0" w:line="202" w:lineRule="exact"/>
              <w:rPr>
                <w:sz w:val="20"/>
                <w:szCs w:val="20"/>
                <w:color w:val="auto"/>
              </w:rPr>
            </w:pPr>
            <w:r>
              <w:rPr>
                <w:rFonts w:ascii="Arial" w:cs="Arial" w:eastAsia="Arial" w:hAnsi="Arial"/>
                <w:sz w:val="18"/>
                <w:szCs w:val="18"/>
                <w:color w:val="auto"/>
              </w:rPr>
              <w:t>Noncontrolling interest (earnings)</w:t>
            </w:r>
          </w:p>
        </w:tc>
        <w:tc>
          <w:tcPr>
            <w:tcW w:w="1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r>
      <w:tr>
        <w:trPr>
          <w:trHeight w:val="27"/>
        </w:trPr>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earnings attributable to Mondelēz International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1,018</w:t>
            </w:r>
          </w:p>
        </w:tc>
      </w:tr>
      <w:tr>
        <w:trPr>
          <w:trHeight w:val="20"/>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tcPr>
          <w:p>
            <w:pPr>
              <w:ind w:left="540"/>
              <w:spacing w:after="0" w:line="196" w:lineRule="exact"/>
              <w:rPr>
                <w:sz w:val="20"/>
                <w:szCs w:val="20"/>
                <w:color w:val="auto"/>
              </w:rPr>
            </w:pPr>
            <w:r>
              <w:rPr>
                <w:rFonts w:ascii="Arial" w:cs="Arial" w:eastAsia="Arial" w:hAnsi="Arial"/>
                <w:sz w:val="18"/>
                <w:szCs w:val="18"/>
                <w:color w:val="auto"/>
              </w:rPr>
              <w:t>Weighted-average shares for basic EPS</w:t>
            </w:r>
          </w:p>
        </w:tc>
        <w:tc>
          <w:tcPr>
            <w:tcW w:w="180" w:type="dxa"/>
            <w:vAlign w:val="bottom"/>
          </w:tcPr>
          <w:p>
            <w:pPr>
              <w:spacing w:after="0"/>
              <w:rPr>
                <w:sz w:val="17"/>
                <w:szCs w:val="17"/>
                <w:color w:val="auto"/>
              </w:rPr>
            </w:pPr>
          </w:p>
        </w:tc>
        <w:tc>
          <w:tcPr>
            <w:tcW w:w="7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1,519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1,557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1,524</w:t>
            </w:r>
          </w:p>
        </w:tc>
        <w:tc>
          <w:tcPr>
            <w:tcW w:w="160" w:type="dxa"/>
            <w:vAlign w:val="bottom"/>
          </w:tcPr>
          <w:p>
            <w:pPr>
              <w:spacing w:after="0"/>
              <w:rPr>
                <w:sz w:val="17"/>
                <w:szCs w:val="17"/>
                <w:color w:val="auto"/>
              </w:rPr>
            </w:pPr>
          </w:p>
        </w:tc>
        <w:tc>
          <w:tcPr>
            <w:tcW w:w="7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1,563</w:t>
            </w:r>
          </w:p>
        </w:tc>
      </w:tr>
      <w:tr>
        <w:trPr>
          <w:trHeight w:val="202"/>
        </w:trPr>
        <w:tc>
          <w:tcPr>
            <w:tcW w:w="692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Plus incremental shares from assumed conversions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7"/>
        </w:trPr>
        <w:tc>
          <w:tcPr>
            <w:tcW w:w="69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 stock options and long-term incentive plan shares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r>
      <w:tr>
        <w:trPr>
          <w:trHeight w:val="20"/>
        </w:trPr>
        <w:tc>
          <w:tcPr>
            <w:tcW w:w="6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920" w:type="dxa"/>
            <w:vAlign w:val="bottom"/>
          </w:tcPr>
          <w:p>
            <w:pPr>
              <w:ind w:left="540"/>
              <w:spacing w:after="0"/>
              <w:rPr>
                <w:sz w:val="20"/>
                <w:szCs w:val="20"/>
                <w:color w:val="auto"/>
              </w:rPr>
            </w:pPr>
            <w:r>
              <w:rPr>
                <w:rFonts w:ascii="Arial" w:cs="Arial" w:eastAsia="Arial" w:hAnsi="Arial"/>
                <w:sz w:val="18"/>
                <w:szCs w:val="18"/>
                <w:color w:val="auto"/>
              </w:rPr>
              <w:t>Weighted-average shares for diluted EPS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1,544</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r>
      <w:tr>
        <w:trPr>
          <w:trHeight w:val="20"/>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Basic earnings per share attributable to Mondelēz International</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tcPr>
          <w:p>
            <w:pPr>
              <w:ind w:left="540"/>
              <w:spacing w:after="0" w:line="196" w:lineRule="exact"/>
              <w:rPr>
                <w:sz w:val="20"/>
                <w:szCs w:val="20"/>
                <w:color w:val="auto"/>
              </w:rPr>
            </w:pPr>
            <w:r>
              <w:rPr>
                <w:rFonts w:ascii="Arial" w:cs="Arial" w:eastAsia="Arial" w:hAnsi="Arial"/>
                <w:sz w:val="18"/>
                <w:szCs w:val="18"/>
                <w:color w:val="auto"/>
              </w:rPr>
              <w:t>Diluted earnings per share attributable to Mondelēz International</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7"/>
                <w:szCs w:val="17"/>
                <w:color w:val="auto"/>
              </w:rPr>
            </w:pPr>
          </w:p>
        </w:tc>
        <w:tc>
          <w:tcPr>
            <w:tcW w:w="4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0.29</w:t>
            </w:r>
          </w:p>
        </w:tc>
        <w:tc>
          <w:tcPr>
            <w:tcW w:w="20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0.73</w:t>
            </w:r>
          </w:p>
        </w:tc>
        <w:tc>
          <w:tcPr>
            <w:tcW w:w="3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0.64</w:t>
            </w:r>
          </w:p>
        </w:tc>
        <w:tc>
          <w:tcPr>
            <w:tcW w:w="120" w:type="dxa"/>
            <w:vAlign w:val="bottom"/>
          </w:tcPr>
          <w:p>
            <w:pPr>
              <w:spacing w:after="0"/>
              <w:rPr>
                <w:sz w:val="17"/>
                <w:szCs w:val="17"/>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8.6 million for the three months and 7.7 million for the six months ended June 30, 2017 and 6.5 million for the three months and 10.2 million for the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manage our global business and report operating results through geographic units.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900" w:hanging="325"/>
        <w:spacing w:after="0" w:line="23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ind w:left="900" w:hanging="325"/>
        <w:spacing w:after="0" w:line="23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ind w:left="900" w:hanging="325"/>
        <w:spacing w:after="0" w:line="234"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18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the AMEA operating segment. We have reflected the segment change as if it had occurred in all periods presented.</w:t>
      </w:r>
    </w:p>
    <w:p>
      <w:pPr>
        <w:spacing w:after="0" w:line="161"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16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and loss on divestiture in all periods presented. We exclude these items from segment operating income in order to provide better transparency of our segment operating results. Furthermore, we centrally manage interest and other expense, net. Accordingly, we do not present these items by segment because they are excluded from the segment profitability measure that management reviews.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were: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r>
      <w:tr>
        <w:trPr>
          <w:trHeight w:val="175"/>
        </w:trPr>
        <w:tc>
          <w:tcPr>
            <w:tcW w:w="5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r>
      <w:tr>
        <w:trPr>
          <w:trHeight w:val="184"/>
        </w:trPr>
        <w:tc>
          <w:tcPr>
            <w:tcW w:w="5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80"/>
        </w:trPr>
        <w:tc>
          <w:tcPr>
            <w:tcW w:w="5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6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848</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843</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1,758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1,660</w:t>
            </w:r>
          </w:p>
        </w:tc>
      </w:tr>
      <w:tr>
        <w:trPr>
          <w:trHeight w:val="203"/>
        </w:trPr>
        <w:tc>
          <w:tcPr>
            <w:tcW w:w="5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2,961</w:t>
            </w:r>
          </w:p>
        </w:tc>
      </w:tr>
      <w:tr>
        <w:trPr>
          <w:trHeight w:val="203"/>
        </w:trPr>
        <w:tc>
          <w:tcPr>
            <w:tcW w:w="536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4,536</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4,741</w:t>
            </w:r>
          </w:p>
        </w:tc>
      </w:tr>
      <w:tr>
        <w:trPr>
          <w:trHeight w:val="203"/>
        </w:trPr>
        <w:tc>
          <w:tcPr>
            <w:tcW w:w="5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3,221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3,395</w:t>
            </w:r>
          </w:p>
        </w:tc>
      </w:tr>
      <w:tr>
        <w:trPr>
          <w:trHeight w:val="20"/>
        </w:trPr>
        <w:tc>
          <w:tcPr>
            <w:tcW w:w="5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36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5,986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6,302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12,757</w:t>
            </w:r>
          </w:p>
        </w:tc>
      </w:tr>
      <w:tr>
        <w:trPr>
          <w:trHeight w:val="20"/>
        </w:trPr>
        <w:tc>
          <w:tcPr>
            <w:tcW w:w="5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36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6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3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w:t>
            </w:r>
          </w:p>
        </w:tc>
      </w:tr>
      <w:tr>
        <w:trPr>
          <w:trHeight w:val="203"/>
        </w:trPr>
        <w:tc>
          <w:tcPr>
            <w:tcW w:w="536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20" w:type="dxa"/>
            <w:vAlign w:val="bottom"/>
          </w:tcPr>
          <w:p>
            <w:pPr>
              <w:spacing w:after="0"/>
              <w:rPr>
                <w:sz w:val="17"/>
                <w:szCs w:val="17"/>
                <w:color w:val="auto"/>
              </w:rPr>
            </w:pPr>
          </w:p>
        </w:tc>
      </w:tr>
      <w:tr>
        <w:trPr>
          <w:trHeight w:val="203"/>
        </w:trPr>
        <w:tc>
          <w:tcPr>
            <w:tcW w:w="53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7"/>
                <w:szCs w:val="17"/>
                <w:color w:val="auto"/>
              </w:rPr>
            </w:pPr>
          </w:p>
        </w:tc>
      </w:tr>
      <w:tr>
        <w:trPr>
          <w:trHeight w:val="203"/>
        </w:trPr>
        <w:tc>
          <w:tcPr>
            <w:tcW w:w="536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506</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120" w:type="dxa"/>
            <w:vAlign w:val="bottom"/>
          </w:tcPr>
          <w:p>
            <w:pPr>
              <w:spacing w:after="0"/>
              <w:rPr>
                <w:sz w:val="17"/>
                <w:szCs w:val="17"/>
                <w:color w:val="auto"/>
              </w:rPr>
            </w:pPr>
          </w:p>
        </w:tc>
      </w:tr>
      <w:tr>
        <w:trPr>
          <w:trHeight w:val="202"/>
        </w:trPr>
        <w:tc>
          <w:tcPr>
            <w:tcW w:w="5360" w:type="dxa"/>
            <w:vAlign w:val="bottom"/>
            <w:shd w:val="clear" w:color="auto" w:fill="CCEEFF"/>
          </w:tcPr>
          <w:p>
            <w:pPr>
              <w:ind w:left="900"/>
              <w:spacing w:after="0" w:line="201" w:lineRule="exact"/>
              <w:rPr>
                <w:sz w:val="20"/>
                <w:szCs w:val="20"/>
                <w:color w:val="auto"/>
              </w:rPr>
            </w:pPr>
            <w:r>
              <w:rPr>
                <w:rFonts w:ascii="Arial" w:cs="Arial" w:eastAsia="Arial" w:hAnsi="Arial"/>
                <w:sz w:val="18"/>
                <w:szCs w:val="18"/>
                <w:color w:val="auto"/>
              </w:rPr>
              <w:t>Unrealized (losses)/gains on hedging activities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360" w:type="dxa"/>
            <w:vAlign w:val="bottom"/>
            <w:shd w:val="clear" w:color="auto" w:fill="CCEEFF"/>
          </w:tcPr>
          <w:p>
            <w:pPr>
              <w:ind w:left="1080"/>
              <w:spacing w:after="0" w:line="203" w:lineRule="exact"/>
              <w:rPr>
                <w:sz w:val="20"/>
                <w:szCs w:val="20"/>
                <w:color w:val="auto"/>
              </w:rPr>
            </w:pPr>
            <w:r>
              <w:rPr>
                <w:rFonts w:ascii="Arial" w:cs="Arial" w:eastAsia="Arial" w:hAnsi="Arial"/>
                <w:sz w:val="18"/>
                <w:szCs w:val="18"/>
                <w:color w:val="auto"/>
              </w:rPr>
              <w:t>(mark-to-market impacts)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w:t>
            </w:r>
          </w:p>
        </w:tc>
      </w:tr>
      <w:tr>
        <w:trPr>
          <w:trHeight w:val="203"/>
        </w:trPr>
        <w:tc>
          <w:tcPr>
            <w:tcW w:w="536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w:t>
            </w:r>
          </w:p>
        </w:tc>
      </w:tr>
      <w:tr>
        <w:trPr>
          <w:trHeight w:val="203"/>
        </w:trPr>
        <w:tc>
          <w:tcPr>
            <w:tcW w:w="53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w:t>
            </w:r>
          </w:p>
        </w:tc>
      </w:tr>
      <w:tr>
        <w:trPr>
          <w:trHeight w:val="203"/>
        </w:trPr>
        <w:tc>
          <w:tcPr>
            <w:tcW w:w="5360" w:type="dxa"/>
            <w:vAlign w:val="bottom"/>
          </w:tcPr>
          <w:p>
            <w:pPr>
              <w:ind w:left="900"/>
              <w:spacing w:after="0" w:line="202" w:lineRule="exact"/>
              <w:rPr>
                <w:sz w:val="20"/>
                <w:szCs w:val="20"/>
                <w:color w:val="auto"/>
              </w:rPr>
            </w:pPr>
            <w:r>
              <w:rPr>
                <w:rFonts w:ascii="Arial" w:cs="Arial" w:eastAsia="Arial" w:hAnsi="Arial"/>
                <w:sz w:val="18"/>
                <w:szCs w:val="18"/>
                <w:color w:val="auto"/>
              </w:rPr>
              <w:t>Loss on divestiture</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1,360</w:t>
            </w:r>
          </w:p>
        </w:tc>
      </w:tr>
      <w:tr>
        <w:trPr>
          <w:trHeight w:val="203"/>
        </w:trPr>
        <w:tc>
          <w:tcPr>
            <w:tcW w:w="536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(395)</w:t>
            </w:r>
          </w:p>
        </w:tc>
      </w:tr>
      <w:tr>
        <w:trPr>
          <w:trHeight w:val="27"/>
        </w:trPr>
        <w:tc>
          <w:tcPr>
            <w:tcW w:w="5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517</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487</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1,238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Note 6,</w:t>
      </w:r>
      <w:r>
        <w:rPr>
          <w:rFonts w:ascii="Arial" w:cs="Arial" w:eastAsia="Arial" w:hAnsi="Arial"/>
          <w:sz w:val="18"/>
          <w:szCs w:val="18"/>
          <w:i w:val="1"/>
          <w:iCs w:val="1"/>
          <w:color w:val="auto"/>
        </w:rPr>
        <w:t xml:space="preserve"> 2014-2018 Restructuring Program </w:t>
      </w:r>
      <w:r>
        <w:rPr>
          <w:rFonts w:ascii="Arial" w:cs="Arial" w:eastAsia="Arial" w:hAnsi="Arial"/>
          <w:sz w:val="18"/>
          <w:szCs w:val="18"/>
          <w:color w:val="auto"/>
        </w:rPr>
        <w:t>and Note 11,</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Also see Note 7,</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8,</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expense, net for each period.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revised to reflect our new segment structure,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rPr>
              <w:t>For the Three Months Ended June 30, 2017</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84"/>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35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200</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718</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1,301</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2,574</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1,615</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905</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342</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2,171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1,573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5,986</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rPr>
              <w:t>For the Three Months Ended June 30, 2016</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56"/>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719</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1,398</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2,669</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981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1,595</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599</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2,293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1,720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6,302</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rPr>
              <w:t>For the Six Months Ended June 30, 2017</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84"/>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3580" w:type="dxa"/>
            <w:vAlign w:val="bottom"/>
          </w:tcPr>
          <w:p>
            <w:pPr>
              <w:spacing w:after="0"/>
              <w:rPr>
                <w:sz w:val="6"/>
                <w:szCs w:val="6"/>
                <w:color w:val="auto"/>
              </w:rPr>
            </w:pPr>
          </w:p>
        </w:tc>
        <w:tc>
          <w:tcPr>
            <w:tcW w:w="170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340" w:type="dxa"/>
            <w:vAlign w:val="bottom"/>
            <w:gridSpan w:val="2"/>
          </w:tcPr>
          <w:p>
            <w:pPr>
              <w:spacing w:after="0"/>
              <w:rPr>
                <w:sz w:val="6"/>
                <w:szCs w:val="6"/>
                <w:color w:val="auto"/>
              </w:rPr>
            </w:pPr>
          </w:p>
        </w:tc>
        <w:tc>
          <w:tcPr>
            <w:tcW w:w="960" w:type="dxa"/>
            <w:vAlign w:val="bottom"/>
            <w:gridSpan w:val="2"/>
          </w:tcPr>
          <w:p>
            <w:pPr>
              <w:spacing w:after="0"/>
              <w:rPr>
                <w:sz w:val="6"/>
                <w:szCs w:val="6"/>
                <w:color w:val="auto"/>
              </w:rPr>
            </w:pPr>
          </w:p>
        </w:tc>
        <w:tc>
          <w:tcPr>
            <w:tcW w:w="260" w:type="dxa"/>
            <w:vAlign w:val="bottom"/>
            <w:gridSpan w:val="2"/>
          </w:tcPr>
          <w:p>
            <w:pPr>
              <w:spacing w:after="0"/>
              <w:rPr>
                <w:sz w:val="6"/>
                <w:szCs w:val="6"/>
                <w:color w:val="auto"/>
              </w:rPr>
            </w:pPr>
          </w:p>
        </w:tc>
        <w:tc>
          <w:tcPr>
            <w:tcW w:w="1060" w:type="dxa"/>
            <w:vAlign w:val="bottom"/>
            <w:gridSpan w:val="2"/>
          </w:tcPr>
          <w:p>
            <w:pPr>
              <w:spacing w:after="0"/>
              <w:rPr>
                <w:sz w:val="6"/>
                <w:szCs w:val="6"/>
                <w:color w:val="auto"/>
              </w:rPr>
            </w:pPr>
          </w:p>
        </w:tc>
        <w:tc>
          <w:tcPr>
            <w:tcW w:w="30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380" w:type="dxa"/>
            <w:vAlign w:val="bottom"/>
            <w:gridSpan w:val="2"/>
          </w:tcPr>
          <w:p>
            <w:pPr>
              <w:spacing w:after="0"/>
              <w:rPr>
                <w:sz w:val="6"/>
                <w:szCs w:val="6"/>
                <w:color w:val="auto"/>
              </w:rPr>
            </w:pPr>
          </w:p>
        </w:tc>
        <w:tc>
          <w:tcPr>
            <w:tcW w:w="840" w:type="dxa"/>
            <w:vAlign w:val="bottom"/>
            <w:gridSpan w:val="2"/>
          </w:tcPr>
          <w:p>
            <w:pPr>
              <w:spacing w:after="0"/>
              <w:rPr>
                <w:sz w:val="6"/>
                <w:szCs w:val="6"/>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370</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1,369</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2,634</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5,127</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2,169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3,682</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1,785</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749</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1,057</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4,536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3,221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12,400</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rPr>
              <w:t>For the Six Months Ended June 30, 2016</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AMEA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Europe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America</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56"/>
        </w:trPr>
        <w:tc>
          <w:tcPr>
            <w:tcW w:w="3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Biscuits</w:t>
            </w:r>
          </w:p>
        </w:tc>
        <w:tc>
          <w:tcPr>
            <w:tcW w:w="1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360</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1,362</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2,759</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5,244</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Chocolate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2,244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3,594</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Gum &amp; Candy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1,990</w:t>
            </w:r>
          </w:p>
        </w:tc>
      </w:tr>
      <w:tr>
        <w:trPr>
          <w:trHeight w:val="203"/>
        </w:trPr>
        <w:tc>
          <w:tcPr>
            <w:tcW w:w="3580" w:type="dxa"/>
            <w:vAlign w:val="bottom"/>
          </w:tcPr>
          <w:p>
            <w:pPr>
              <w:ind w:left="540"/>
              <w:spacing w:after="0" w:line="202" w:lineRule="exact"/>
              <w:rPr>
                <w:sz w:val="20"/>
                <w:szCs w:val="20"/>
                <w:color w:val="auto"/>
              </w:rPr>
            </w:pPr>
            <w:r>
              <w:rPr>
                <w:rFonts w:ascii="Arial" w:cs="Arial" w:eastAsia="Arial" w:hAnsi="Arial"/>
                <w:sz w:val="18"/>
                <w:szCs w:val="18"/>
                <w:color w:val="auto"/>
              </w:rPr>
              <w:t>Beverages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795</w:t>
            </w:r>
          </w:p>
        </w:tc>
      </w:tr>
      <w:tr>
        <w:trPr>
          <w:trHeight w:val="203"/>
        </w:trPr>
        <w:tc>
          <w:tcPr>
            <w:tcW w:w="35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Cheese &amp; Grocery</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1,134</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580" w:type="dxa"/>
            <w:vAlign w:val="bottom"/>
          </w:tcPr>
          <w:p>
            <w:pPr>
              <w:ind w:left="540"/>
              <w:spacing w:after="0"/>
              <w:rPr>
                <w:sz w:val="20"/>
                <w:szCs w:val="20"/>
                <w:color w:val="auto"/>
              </w:rPr>
            </w:pPr>
            <w:r>
              <w:rPr>
                <w:rFonts w:ascii="Arial" w:cs="Arial" w:eastAsia="Arial" w:hAnsi="Arial"/>
                <w:sz w:val="18"/>
                <w:szCs w:val="18"/>
                <w:color w:val="auto"/>
              </w:rPr>
              <w:t>Total net revenues</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1,660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2,961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4,741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3,395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12,757</w:t>
            </w:r>
          </w:p>
        </w:tc>
      </w:tr>
      <w:tr>
        <w:trPr>
          <w:trHeight w:val="20"/>
        </w:trPr>
        <w:tc>
          <w:tcPr>
            <w:tcW w:w="3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4"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 We have operations in more than 80 countries and sell our products in approximately 165 countries.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aim to deliver strong, profitable long-term growth by accelerating our core snacks business and expanding the reach of our Power Brands globally. Leveraging our Power Brands and our innovation platforms, we plan to innovate boldly and connect with our consumers wherever they are, including new markets around the world, using both traditional and digital channels. As consumer consumption patterns change to more accessible, frequent and better-for-you snacking, we are enhancing the goodness of many of our brands (including providing simpler and wholesome ingredient-focused snacks), expanding the well-being offerings in our portfolio and inspiring consumers to snack mindfully by providing clear and simple nutrition information. As shopping expands further online, we are also working to grow our e-commerce platform and on-line presence with consumers. To fuel these investments, we have been working to optimize our cost structure. These efforts consist of reinventing our supply chain, including adding and upgrading to more efficient production lines, while reducing the complexity of our product offerings, ingredients and number of suppliers. We also continue to aggressively manage our overhead costs. We have embraced and embedded zero-based budgeting practices across the organization to identify potential areas of cost reductions and capture and sustain savings within our ongoing operating budgets. Through these actions, we’re leveraging our brands, platforms and capabilities to drive long-term value and return on investment for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Malware Incident</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On June 27, 2017, a global malware incident impacted our business. The malware affected a significant portion of our global Windows-based applications and our sales, distribution and financial networks across our business. During the last four days of the second quarter and early third quarter, we executed business continuity and contingency plans to contain the impact and minimize the damages from the malware and restore our systems. This allowed us to service customer needs and continue sales and production at a reduced capacity while progressing recovery activities. Based on the nature of the malware and its impact to our technology, we did not expect nor to date have we found any instances of Company or personal data released externally. Although we believe we have now largely contained the disruption and restored a majority of our affected systems, we anticipate additional work during the second half of 2017 as we continue to recover and further enhance the security of our systems.</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second quarter, we estimate that the malware incident had a negative impact of 2.3% on our net revenue growth and 2.4% on our Organic Net Revenue growth. We also incurred incremental expenses of $7.1 million as a result of the incident. We expect to be able to recognize the majority of delayed second quarter shipments in our third quarter results, although we permanently lost some revenue. We continue to address the recovery of our systems in a couple of key markets and are also assessing longer-term investments that we will make to strengthen our IT environment against potential future disruptions. We expect to incur the majority of incremental expenses related to the malware incident and recovery process during the second half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61" w:lineRule="exact"/>
        <w:rPr>
          <w:sz w:val="20"/>
          <w:szCs w:val="20"/>
          <w:color w:val="auto"/>
        </w:rPr>
      </w:pPr>
    </w:p>
    <w:p>
      <w:pPr>
        <w:ind w:left="900" w:right="320" w:hanging="325"/>
        <w:spacing w:after="0" w:line="23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revenues decreased 5.0% to $6.0 billion in the second quarter of 2017 and decreased 2.8% to $12.4 billion in the first six months as compared to the same period in the prior year. During the second quarter of 2017, net revenue growth was adversely affected by delayed shipments stemming from the malware incident and unfavorable currency translation as the U.S. dollar strengthened against most currencies in which we operate compared to exchange rates in the prior year.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40" w:hanging="325"/>
        <w:spacing w:after="0" w:line="23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on a constant currency basis, decreased 2.7% to $6.0 billion in the second quarter of 2017 and decreased 1.0% to $12.4 billion in the first six months of 2017 as compared to the same period in the prior year after recasting all periods to exclude the operating results from divestitures and an acquisition. (Refer to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Measures </w:t>
      </w:r>
      <w:r>
        <w:rPr>
          <w:rFonts w:ascii="Arial" w:cs="Arial" w:eastAsia="Arial" w:hAnsi="Arial"/>
          <w:sz w:val="18"/>
          <w:szCs w:val="18"/>
          <w:color w:val="auto"/>
        </w:rPr>
        <w:t>appearing later in this section and Note 2,</w:t>
      </w:r>
      <w:r>
        <w:rPr>
          <w:rFonts w:ascii="Arial" w:cs="Arial" w:eastAsia="Arial" w:hAnsi="Arial"/>
          <w:sz w:val="18"/>
          <w:szCs w:val="18"/>
          <w:i w:val="1"/>
          <w:iCs w:val="1"/>
          <w:color w:val="auto"/>
        </w:rPr>
        <w:t xml:space="preserve"> Divestitures and Acquisitions, </w:t>
      </w:r>
      <w:r>
        <w:rPr>
          <w:rFonts w:ascii="Arial" w:cs="Arial" w:eastAsia="Arial" w:hAnsi="Arial"/>
          <w:sz w:val="18"/>
          <w:szCs w:val="18"/>
          <w:color w:val="auto"/>
        </w:rPr>
        <w:t>for additional information). We use Organic Net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as it provides improved year-over-year comparability of our underlying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232" w:lineRule="exact"/>
        <w:rPr>
          <w:rFonts w:ascii="Arial" w:cs="Arial" w:eastAsia="Arial" w:hAnsi="Arial"/>
          <w:sz w:val="18"/>
          <w:szCs w:val="18"/>
          <w:color w:val="auto"/>
        </w:rPr>
      </w:pPr>
    </w:p>
    <w:p>
      <w:pPr>
        <w:ind w:left="900" w:right="4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Diluted EPS attributable to Mondelēz International increased 10.3% to $0.32 in the second quarter of 2017 and increased 14.1% to $0.73 in the first six months of 2017 as compared to the same period in the prior year. A number of significant items affected the comparability of our reported results, as further described in the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appearing later in this section and in the notes to the condensed consolidated financial statements.</w:t>
      </w:r>
    </w:p>
    <w:p>
      <w:pPr>
        <w:spacing w:after="0" w:line="228" w:lineRule="exact"/>
        <w:rPr>
          <w:rFonts w:ascii="Arial" w:cs="Arial" w:eastAsia="Arial" w:hAnsi="Arial"/>
          <w:sz w:val="18"/>
          <w:szCs w:val="18"/>
          <w:color w:val="auto"/>
        </w:rPr>
      </w:pPr>
    </w:p>
    <w:p>
      <w:pPr>
        <w:ind w:left="900" w:right="200" w:hanging="325"/>
        <w:spacing w:after="0" w:line="23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11.6% to $0.48 in the second quarter of 2017 and increased 9.8% to $1.01 in the first six months of 2017 as compared to the same period in the prior year after recasting all periods to exclude the operating results from divestitures and historical mark-to-market impacts. On a constant currency basis, Adjusted EPS increased 18.6% to $0.51 in the second quarter of 2017 and increased 13.0% to $1.04 in the first six months of 2017. We use Adjusted EPS as it provides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In addition to monitoring our key operating metrics, we monitor developments and trends that could impact our revenue and profitability objectives, similar to those we highlighted in our most recently filed Annual Report on Form 10-K for the year ended December 31, 2016. Weak category growth and volatility in the global commodity and currency markets continue. As noted above, the malware incident resulted in a significant unfavorable impact to our second quarter 2017 revenue that we expect to be partially mitigated in the third quarter when the majority of sales from the end of the second quarter are shipped. We also expect to incur the majority of incremental expenses related to the incident and recovery process during the second half of 2017. We continue to monitor the U.K. planned exit from the E.U. (Brexit) and its impact on our results as well as currencies at risk of potential highly inflationary accounting, such as the Argentinian peso and the Ukrainian hryvnia. In Brazil, we are monitoring a pending tax matter that could have a significant favorable impact on future results, and we are not yet able to reasonably estimate the timing or amount at this time. In connection with collective bargaining agreements covering eight U.S. facilities that expired on February 29, 2016, we continue to work toward reaching an agreement with the union and have made plans to ensure business continuity during the re-negotiations. For more information on these items, refer to our </w:t>
      </w:r>
      <w:r>
        <w:rPr>
          <w:rFonts w:ascii="Arial" w:cs="Arial" w:eastAsia="Arial" w:hAnsi="Arial"/>
          <w:sz w:val="18"/>
          <w:szCs w:val="18"/>
          <w:i w:val="1"/>
          <w:iCs w:val="1"/>
          <w:color w:val="auto"/>
        </w:rPr>
        <w:t>Discussion and Analysis of Historical Results</w:t>
      </w:r>
      <w:r>
        <w:rPr>
          <w:rFonts w:ascii="Arial" w:cs="Arial" w:eastAsia="Arial" w:hAnsi="Arial"/>
          <w:sz w:val="18"/>
          <w:szCs w:val="18"/>
          <w:color w:val="auto"/>
        </w:rPr>
        <w:t xml:space="preserve"> and </w:t>
      </w:r>
      <w:r>
        <w:rPr>
          <w:rFonts w:ascii="Arial" w:cs="Arial" w:eastAsia="Arial" w:hAnsi="Arial"/>
          <w:sz w:val="18"/>
          <w:szCs w:val="18"/>
          <w:i w:val="1"/>
          <w:iCs w:val="1"/>
          <w:color w:val="auto"/>
        </w:rPr>
        <w:t>Commodity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Trends </w:t>
      </w:r>
      <w:r>
        <w:rPr>
          <w:rFonts w:ascii="Arial" w:cs="Arial" w:eastAsia="Arial" w:hAnsi="Arial"/>
          <w:sz w:val="18"/>
          <w:szCs w:val="18"/>
          <w:color w:val="auto"/>
        </w:rPr>
        <w:t>appearing later in this section, as well as Note 1,</w:t>
      </w:r>
      <w:r>
        <w:rPr>
          <w:rFonts w:ascii="Arial" w:cs="Arial" w:eastAsia="Arial" w:hAnsi="Arial"/>
          <w:sz w:val="18"/>
          <w:szCs w:val="18"/>
          <w:i w:val="1"/>
          <w:iCs w:val="1"/>
          <w:color w:val="auto"/>
        </w:rPr>
        <w:t xml:space="preserve"> Basis of Presentation – Currency Translation and Highly Inflationary Accounting</w:t>
      </w:r>
      <w:r>
        <w:rPr>
          <w:rFonts w:ascii="Arial" w:cs="Arial" w:eastAsia="Arial" w:hAnsi="Arial"/>
          <w:sz w:val="18"/>
          <w:szCs w:val="18"/>
          <w:color w:val="auto"/>
        </w:rPr>
        <w:t>,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 </w:t>
      </w:r>
      <w:r>
        <w:rPr>
          <w:rFonts w:ascii="Arial" w:cs="Arial" w:eastAsia="Arial" w:hAnsi="Arial"/>
          <w:sz w:val="18"/>
          <w:szCs w:val="18"/>
          <w:i w:val="1"/>
          <w:iCs w:val="1"/>
          <w:color w:val="auto"/>
        </w:rPr>
        <w:t>2014-2018 Restructuring Program</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Commitments and Contingencies – Tax Matters</w:t>
      </w:r>
      <w:r>
        <w:rPr>
          <w:rFonts w:ascii="Arial" w:cs="Arial" w:eastAsia="Arial" w:hAnsi="Arial"/>
          <w:sz w:val="18"/>
          <w:szCs w:val="18"/>
          <w:color w:val="auto"/>
        </w:rPr>
        <w: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3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pre-tax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See Note</w:t>
            </w: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533"/>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7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7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740" w:type="dxa"/>
            <w:vAlign w:val="bottom"/>
            <w:tcBorders>
              <w:top w:val="single" w:sz="8" w:color="auto"/>
            </w:tcBorders>
            <w:gridSpan w:val="6"/>
          </w:tcPr>
          <w:p>
            <w:pPr>
              <w:jc w:val="right"/>
              <w:ind w:right="253"/>
              <w:spacing w:after="0" w:line="155" w:lineRule="exact"/>
              <w:rPr>
                <w:sz w:val="20"/>
                <w:szCs w:val="20"/>
                <w:color w:val="auto"/>
              </w:rPr>
            </w:pPr>
            <w:r>
              <w:rPr>
                <w:rFonts w:ascii="Arial" w:cs="Arial" w:eastAsia="Arial" w:hAnsi="Arial"/>
                <w:sz w:val="14"/>
                <w:szCs w:val="14"/>
                <w:b w:val="1"/>
                <w:bCs w:val="1"/>
                <w:color w:val="auto"/>
              </w:rPr>
              <w:t>(in millions, except percentages)</w:t>
            </w: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Gain on equity method investment exchange</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7"/>
              </w:rPr>
              <w:t>Note 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2014-2018 Restructuring Program:</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Note 6</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Restructuring charges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(305)</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Implementation charges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(63)</w:t>
            </w:r>
          </w:p>
        </w:tc>
        <w:tc>
          <w:tcPr>
            <w:tcW w:w="3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(117)</w:t>
            </w:r>
          </w:p>
        </w:tc>
        <w:tc>
          <w:tcPr>
            <w:tcW w:w="34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Loss related to interest rate swaps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8"/>
              </w:rPr>
              <w:t>Note 7 &amp; 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Loss on debt extinguishment</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Note 7</w:t>
            </w:r>
          </w:p>
        </w:tc>
        <w:tc>
          <w:tcPr>
            <w:tcW w:w="160" w:type="dxa"/>
            <w:vAlign w:val="bottom"/>
          </w:tcPr>
          <w:p>
            <w:pPr>
              <w:spacing w:after="0"/>
              <w:rPr>
                <w:sz w:val="17"/>
                <w:szCs w:val="17"/>
                <w:color w:val="auto"/>
              </w:rPr>
            </w:pPr>
          </w:p>
        </w:tc>
        <w:tc>
          <w:tcPr>
            <w:tcW w:w="11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w:t>
            </w:r>
          </w:p>
        </w:tc>
        <w:tc>
          <w:tcPr>
            <w:tcW w:w="32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Intangible asset impairment charges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7"/>
              </w:rPr>
              <w:t>Note 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48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Divestiture-related costs</w:t>
            </w:r>
          </w:p>
        </w:tc>
        <w:tc>
          <w:tcPr>
            <w:tcW w:w="12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7"/>
              </w:rPr>
              <w:t>Note 2</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Loss on divestiture</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Gain on sale of intangible asset</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Divestiture-related costs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4860" w:type="dxa"/>
            <w:vAlign w:val="bottom"/>
          </w:tcPr>
          <w:p>
            <w:pPr>
              <w:ind w:left="720"/>
              <w:spacing w:after="0" w:line="202" w:lineRule="exact"/>
              <w:rPr>
                <w:sz w:val="20"/>
                <w:szCs w:val="20"/>
                <w:color w:val="auto"/>
              </w:rPr>
            </w:pPr>
            <w:r>
              <w:rPr>
                <w:rFonts w:ascii="Arial" w:cs="Arial" w:eastAsia="Arial" w:hAnsi="Arial"/>
                <w:sz w:val="18"/>
                <w:szCs w:val="18"/>
                <w:color w:val="auto"/>
              </w:rPr>
              <w:t>Gains on sales of property</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Mark-to-market (losses)/gains from derivatives</w:t>
            </w:r>
          </w:p>
        </w:tc>
        <w:tc>
          <w:tcPr>
            <w:tcW w:w="12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rPr>
              <w:t>Note 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0"/>
        </w:trPr>
        <w:tc>
          <w:tcPr>
            <w:tcW w:w="4860" w:type="dxa"/>
            <w:vAlign w:val="bottom"/>
          </w:tcPr>
          <w:p>
            <w:pPr>
              <w:ind w:left="540"/>
              <w:spacing w:after="0" w:line="180" w:lineRule="exact"/>
              <w:rPr>
                <w:sz w:val="20"/>
                <w:szCs w:val="20"/>
                <w:color w:val="auto"/>
              </w:rPr>
            </w:pPr>
            <w:r>
              <w:rPr>
                <w:rFonts w:ascii="Arial" w:cs="Arial" w:eastAsia="Arial" w:hAnsi="Arial"/>
                <w:sz w:val="18"/>
                <w:szCs w:val="18"/>
                <w:b w:val="1"/>
                <w:bCs w:val="1"/>
                <w:color w:val="auto"/>
              </w:rPr>
              <w:t>Benefit from the settlement of a</w:t>
            </w: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860" w:type="dxa"/>
            <w:vAlign w:val="bottom"/>
          </w:tcPr>
          <w:p>
            <w:pPr>
              <w:ind w:left="720"/>
              <w:spacing w:after="0"/>
              <w:rPr>
                <w:sz w:val="20"/>
                <w:szCs w:val="20"/>
                <w:color w:val="auto"/>
              </w:rPr>
            </w:pPr>
            <w:r>
              <w:rPr>
                <w:rFonts w:ascii="Arial" w:cs="Arial" w:eastAsia="Arial" w:hAnsi="Arial"/>
                <w:sz w:val="18"/>
                <w:szCs w:val="18"/>
                <w:b w:val="1"/>
                <w:bCs w:val="1"/>
                <w:color w:val="auto"/>
              </w:rPr>
              <w:t xml:space="preserve">Cadbury tax matter </w:t>
            </w:r>
            <w:r>
              <w:rPr>
                <w:rFonts w:ascii="Arial" w:cs="Arial" w:eastAsia="Arial" w:hAnsi="Arial"/>
                <w:sz w:val="15"/>
                <w:szCs w:val="15"/>
                <w:b w:val="1"/>
                <w:bCs w:val="1"/>
                <w:color w:val="auto"/>
              </w:rPr>
              <w:t>(1)</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Note 11</w:t>
            </w:r>
          </w:p>
        </w:tc>
        <w:tc>
          <w:tcPr>
            <w:tcW w:w="160" w:type="dxa"/>
            <w:vAlign w:val="bottom"/>
          </w:tcPr>
          <w:p>
            <w:pPr>
              <w:spacing w:after="0"/>
              <w:rPr>
                <w:sz w:val="19"/>
                <w:szCs w:val="19"/>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Malware incident incremental expenses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3"/>
              <w:spacing w:after="0" w:line="202" w:lineRule="exact"/>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860" w:type="dxa"/>
            <w:vAlign w:val="bottom"/>
          </w:tcPr>
          <w:p>
            <w:pPr>
              <w:ind w:left="540"/>
              <w:spacing w:after="0"/>
              <w:rPr>
                <w:sz w:val="20"/>
                <w:szCs w:val="20"/>
                <w:color w:val="auto"/>
              </w:rPr>
            </w:pPr>
            <w:r>
              <w:rPr>
                <w:rFonts w:ascii="Arial" w:cs="Arial" w:eastAsia="Arial" w:hAnsi="Arial"/>
                <w:sz w:val="18"/>
                <w:szCs w:val="18"/>
                <w:b w:val="1"/>
                <w:bCs w:val="1"/>
                <w:color w:val="auto"/>
              </w:rPr>
              <w:t>Effective tax rate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Note 13</w:t>
            </w:r>
          </w:p>
        </w:tc>
        <w:tc>
          <w:tcPr>
            <w:tcW w:w="1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40" w:right="20" w:hanging="335"/>
        <w:spacing w:after="0" w:line="279" w:lineRule="auto"/>
        <w:tabs>
          <w:tab w:leader="none" w:pos="1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 The $58 million benefit from the settlement of a Cadbury tax matter in the first quarter of 2017 includes $46 million recorded within selling, general and administrative expenses and $12 million within interest and other expense, net.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months ended June 30, 2017 and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80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680" w:type="dxa"/>
            <w:vAlign w:val="bottom"/>
            <w:tcBorders>
              <w:top w:val="single" w:sz="8" w:color="auto"/>
            </w:tcBorders>
            <w:gridSpan w:val="6"/>
          </w:tcPr>
          <w:p>
            <w:pPr>
              <w:jc w:val="right"/>
              <w:ind w:right="654"/>
              <w:spacing w:after="0"/>
              <w:rPr>
                <w:sz w:val="20"/>
                <w:szCs w:val="20"/>
                <w:color w:val="auto"/>
              </w:rPr>
            </w:pPr>
            <w:r>
              <w:rPr>
                <w:rFonts w:ascii="Arial" w:cs="Arial" w:eastAsia="Arial" w:hAnsi="Arial"/>
                <w:sz w:val="14"/>
                <w:szCs w:val="14"/>
                <w:b w:val="1"/>
                <w:bCs w:val="1"/>
                <w:color w:val="auto"/>
              </w:rPr>
              <w:t>(in millions, except per share data)</w:t>
            </w:r>
          </w:p>
        </w:tc>
        <w:tc>
          <w:tcPr>
            <w:tcW w:w="4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0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5,986</w:t>
            </w:r>
          </w:p>
        </w:tc>
        <w:tc>
          <w:tcPr>
            <w:tcW w:w="4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6,302</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(316)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24"/>
        </w:trPr>
        <w:tc>
          <w:tcPr>
            <w:tcW w:w="608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641</w:t>
            </w:r>
          </w:p>
        </w:tc>
        <w:tc>
          <w:tcPr>
            <w:tcW w:w="4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95"/>
        </w:trPr>
        <w:tc>
          <w:tcPr>
            <w:tcW w:w="6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Net earnings attributable to</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498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10"/>
        </w:trPr>
        <w:tc>
          <w:tcPr>
            <w:tcW w:w="608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18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0.32</w:t>
            </w:r>
          </w:p>
        </w:tc>
        <w:tc>
          <w:tcPr>
            <w:tcW w:w="4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34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$316 million (5.0%) to $5,986 million in the second quarter of 2017, and Organic Net Revenue</w:t>
      </w:r>
    </w:p>
    <w:p>
      <w:pPr>
        <w:spacing w:after="0" w:line="14" w:lineRule="exact"/>
        <w:rPr>
          <w:sz w:val="20"/>
          <w:szCs w:val="20"/>
          <w:color w:val="auto"/>
        </w:rPr>
      </w:pPr>
    </w:p>
    <w:p>
      <w:pPr>
        <w:ind w:firstLine="8"/>
        <w:spacing w:after="0" w:line="239" w:lineRule="auto"/>
        <w:tabs>
          <w:tab w:leader="none" w:pos="237" w:val="left"/>
        </w:tabs>
        <w:numPr>
          <w:ilvl w:val="0"/>
          <w:numId w:val="18"/>
        </w:numPr>
        <w:rPr>
          <w:rFonts w:ascii="Arial" w:cs="Arial" w:eastAsia="Arial" w:hAnsi="Arial"/>
          <w:sz w:val="15"/>
          <w:szCs w:val="15"/>
          <w:color w:val="auto"/>
        </w:rPr>
      </w:pPr>
      <w:r>
        <w:rPr>
          <w:rFonts w:ascii="Arial" w:cs="Arial" w:eastAsia="Arial" w:hAnsi="Arial"/>
          <w:sz w:val="18"/>
          <w:szCs w:val="18"/>
          <w:color w:val="auto"/>
        </w:rPr>
        <w:t>decreased $169 million (2.7%) to $6,011 million. Power Brands net revenues decreased 3.0%, including an unfavorable currency impact, and Power Brands Organic Net Revenue decreased 1.8%. Emerging markets net revenues decreased 1.5%, including an unfavorable currency impact, and emerging markets Organic Net Revenue decreased 0.3%. The underlying changes in net revenues and Organic Net Revenue are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5"/>
                <w:szCs w:val="15"/>
                <w:color w:val="auto"/>
              </w:rPr>
            </w:pPr>
          </w:p>
        </w:tc>
      </w:tr>
      <w:tr>
        <w:trPr>
          <w:trHeight w:val="183"/>
        </w:trPr>
        <w:tc>
          <w:tcPr>
            <w:tcW w:w="736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03"/>
        </w:trPr>
        <w:tc>
          <w:tcPr>
            <w:tcW w:w="736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(5.0)%</w:t>
            </w:r>
          </w:p>
        </w:tc>
      </w:tr>
      <w:tr>
        <w:trPr>
          <w:trHeight w:val="203"/>
        </w:trPr>
        <w:tc>
          <w:tcPr>
            <w:tcW w:w="7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440" w:type="dxa"/>
            <w:vAlign w:val="bottom"/>
            <w:gridSpan w:val="2"/>
          </w:tcPr>
          <w:p>
            <w:pPr>
              <w:jc w:val="center"/>
              <w:ind w:left="332"/>
              <w:spacing w:after="0" w:line="202" w:lineRule="exact"/>
              <w:rPr>
                <w:sz w:val="20"/>
                <w:szCs w:val="20"/>
                <w:color w:val="auto"/>
              </w:rPr>
            </w:pPr>
            <w:r>
              <w:rPr>
                <w:rFonts w:ascii="Arial" w:cs="Arial" w:eastAsia="Arial" w:hAnsi="Arial"/>
                <w:sz w:val="18"/>
                <w:szCs w:val="18"/>
                <w:color w:val="auto"/>
              </w:rPr>
              <w:t>2.0pp</w:t>
            </w: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divestitures</w:t>
            </w:r>
          </w:p>
        </w:tc>
        <w:tc>
          <w:tcPr>
            <w:tcW w:w="1440" w:type="dxa"/>
            <w:vAlign w:val="bottom"/>
            <w:gridSpan w:val="2"/>
            <w:shd w:val="clear" w:color="auto" w:fill="CCEEFF"/>
          </w:tcPr>
          <w:p>
            <w:pPr>
              <w:jc w:val="center"/>
              <w:ind w:left="332"/>
              <w:spacing w:after="0" w:line="202" w:lineRule="exact"/>
              <w:rPr>
                <w:sz w:val="20"/>
                <w:szCs w:val="20"/>
                <w:color w:val="auto"/>
              </w:rPr>
            </w:pPr>
            <w:r>
              <w:rPr>
                <w:rFonts w:ascii="Arial" w:cs="Arial" w:eastAsia="Arial" w:hAnsi="Arial"/>
                <w:sz w:val="18"/>
                <w:szCs w:val="18"/>
                <w:color w:val="auto"/>
              </w:rPr>
              <w:t>0.5pp</w:t>
            </w:r>
          </w:p>
        </w:tc>
      </w:tr>
      <w:tr>
        <w:trPr>
          <w:trHeight w:val="203"/>
        </w:trPr>
        <w:tc>
          <w:tcPr>
            <w:tcW w:w="7360" w:type="dxa"/>
            <w:vAlign w:val="bottom"/>
          </w:tcPr>
          <w:p>
            <w:pPr>
              <w:ind w:left="720"/>
              <w:spacing w:after="0" w:line="202" w:lineRule="exact"/>
              <w:rPr>
                <w:sz w:val="20"/>
                <w:szCs w:val="20"/>
                <w:color w:val="auto"/>
              </w:rPr>
            </w:pPr>
            <w:r>
              <w:rPr>
                <w:rFonts w:ascii="Arial" w:cs="Arial" w:eastAsia="Arial" w:hAnsi="Arial"/>
                <w:sz w:val="18"/>
                <w:szCs w:val="18"/>
                <w:color w:val="auto"/>
              </w:rPr>
              <w:t>Impact of acquisition</w:t>
            </w:r>
          </w:p>
        </w:tc>
        <w:tc>
          <w:tcPr>
            <w:tcW w:w="1440" w:type="dxa"/>
            <w:vAlign w:val="bottom"/>
            <w:gridSpan w:val="2"/>
          </w:tcPr>
          <w:p>
            <w:pPr>
              <w:jc w:val="center"/>
              <w:ind w:left="332"/>
              <w:spacing w:after="0" w:line="202" w:lineRule="exact"/>
              <w:rPr>
                <w:sz w:val="20"/>
                <w:szCs w:val="20"/>
                <w:color w:val="auto"/>
              </w:rPr>
            </w:pPr>
            <w:r>
              <w:rPr>
                <w:rFonts w:ascii="Arial" w:cs="Arial" w:eastAsia="Arial" w:hAnsi="Arial"/>
                <w:sz w:val="18"/>
                <w:szCs w:val="18"/>
                <w:color w:val="auto"/>
              </w:rPr>
              <w:t>(0.2)pp</w:t>
            </w:r>
          </w:p>
        </w:tc>
      </w:tr>
      <w:tr>
        <w:trPr>
          <w:trHeight w:val="27"/>
        </w:trPr>
        <w:tc>
          <w:tcPr>
            <w:tcW w:w="7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3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4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(2.7)%</w:t>
            </w:r>
          </w:p>
        </w:tc>
      </w:tr>
      <w:tr>
        <w:trPr>
          <w:trHeight w:val="20"/>
        </w:trPr>
        <w:tc>
          <w:tcPr>
            <w:tcW w:w="7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7"/>
        </w:trPr>
        <w:tc>
          <w:tcPr>
            <w:tcW w:w="7360" w:type="dxa"/>
            <w:vAlign w:val="bottom"/>
          </w:tcPr>
          <w:p>
            <w:pPr>
              <w:ind w:left="720"/>
              <w:spacing w:after="0" w:line="196" w:lineRule="exact"/>
              <w:rPr>
                <w:sz w:val="20"/>
                <w:szCs w:val="20"/>
                <w:color w:val="auto"/>
              </w:rPr>
            </w:pPr>
            <w:r>
              <w:rPr>
                <w:rFonts w:ascii="Arial" w:cs="Arial" w:eastAsia="Arial" w:hAnsi="Arial"/>
                <w:sz w:val="18"/>
                <w:szCs w:val="18"/>
                <w:color w:val="auto"/>
              </w:rPr>
              <w:t>Unfavorable volume/mix</w:t>
            </w:r>
          </w:p>
        </w:tc>
        <w:tc>
          <w:tcPr>
            <w:tcW w:w="1440" w:type="dxa"/>
            <w:vAlign w:val="bottom"/>
            <w:gridSpan w:val="2"/>
          </w:tcPr>
          <w:p>
            <w:pPr>
              <w:jc w:val="center"/>
              <w:ind w:left="332"/>
              <w:spacing w:after="0" w:line="196" w:lineRule="exact"/>
              <w:rPr>
                <w:sz w:val="20"/>
                <w:szCs w:val="20"/>
                <w:color w:val="auto"/>
              </w:rPr>
            </w:pPr>
            <w:r>
              <w:rPr>
                <w:rFonts w:ascii="Arial" w:cs="Arial" w:eastAsia="Arial" w:hAnsi="Arial"/>
                <w:sz w:val="18"/>
                <w:szCs w:val="18"/>
                <w:color w:val="auto"/>
              </w:rPr>
              <w:t>(3.8)pp</w:t>
            </w:r>
          </w:p>
        </w:tc>
      </w:tr>
      <w:tr>
        <w:trPr>
          <w:trHeight w:val="203"/>
        </w:trPr>
        <w:tc>
          <w:tcPr>
            <w:tcW w:w="7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440" w:type="dxa"/>
            <w:vAlign w:val="bottom"/>
            <w:gridSpan w:val="2"/>
            <w:shd w:val="clear" w:color="auto" w:fill="CCEEFF"/>
          </w:tcPr>
          <w:p>
            <w:pPr>
              <w:jc w:val="center"/>
              <w:ind w:left="332"/>
              <w:spacing w:after="0" w:line="202" w:lineRule="exact"/>
              <w:rPr>
                <w:sz w:val="20"/>
                <w:szCs w:val="20"/>
                <w:color w:val="auto"/>
              </w:rPr>
            </w:pPr>
            <w:r>
              <w:rPr>
                <w:rFonts w:ascii="Arial" w:cs="Arial" w:eastAsia="Arial" w:hAnsi="Arial"/>
                <w:sz w:val="18"/>
                <w:szCs w:val="18"/>
                <w:color w:val="auto"/>
              </w:rPr>
              <w:t>1.1pp</w:t>
            </w:r>
          </w:p>
        </w:tc>
      </w:tr>
    </w:tbl>
    <w:p>
      <w:pPr>
        <w:spacing w:after="0" w:line="234" w:lineRule="exact"/>
        <w:rPr>
          <w:sz w:val="20"/>
          <w:szCs w:val="20"/>
          <w:color w:val="auto"/>
        </w:rPr>
      </w:pPr>
    </w:p>
    <w:p>
      <w:pPr>
        <w:ind w:left="1140" w:hanging="335"/>
        <w:spacing w:after="0"/>
        <w:tabs>
          <w:tab w:leader="none" w:pos="11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2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 decline of 5.0% was driven by our underlying Organic Net Revenue decline of 2.7%, unfavorable currency and the impact of divestitures, partially offset by the impact of an acquisition. Our underlying Organic Net Revenue decline was driven by unfavorable volume/mix, primarily due to delayed shipments as a result of the June 27, 2017 malware incident which we estimate had a negative impacts of 2.3% on our net revenue growth and 2.4% on our Organic Net Revenue growth, partially offset by higher net pricing. Unfavorable year-over-year currency impacts decreased net revenues by $124 million, due primarily to the strength of the U.S. dollar relative to several currencies, including the British pound sterling, euro, Egyptian pound and Argentinian peso, partially offset by the strength of several currencies, including the Brazilian real, Russian ruble and South African rand, relative to the U.S. dollar. The impact of divestitures resulted in a year-over-year decline in net revenues of $39 million for the second quarter of 2017. The November 2, 2016 acquisition of a business and license to manufacture, market and sell Cadbury-branded biscuits in additional key markets added $16 million (constant currency basis) of incremental net revenues for the second quarter of 2017. Unfavorable volume/mix was reflected across all segments. Net pricing was up, which includes the benefit of carryover pricing from the second half of 2016 and the first quarter of 2017 as well as the effects of input cost-driven pricing actions taken during the second quarter of 2017. Higher net pricing was reflected in all segments except North America.</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$3 million (0.5%) to $641 million in the second quarter of 2017, Adjusted Operating Income</w:t>
      </w:r>
    </w:p>
    <w:p>
      <w:pPr>
        <w:spacing w:after="0" w:line="11" w:lineRule="exact"/>
        <w:rPr>
          <w:sz w:val="20"/>
          <w:szCs w:val="20"/>
          <w:color w:val="auto"/>
        </w:rPr>
      </w:pPr>
    </w:p>
    <w:p>
      <w:pPr>
        <w:ind w:right="20" w:firstLine="8"/>
        <w:spacing w:after="0" w:line="249" w:lineRule="auto"/>
        <w:tabs>
          <w:tab w:leader="none" w:pos="237"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increased $12 million (1.3%) to $933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$72 million (7.8%) to $993 million due to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Operating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184"/>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8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June 30,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b w:val="1"/>
                <w:bCs w:val="1"/>
                <w:color w:val="auto"/>
              </w:rPr>
              <w:t>638</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228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84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7"/>
        </w:trPr>
        <w:tc>
          <w:tcPr>
            <w:tcW w:w="868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Three Months Ended June 30, 2016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921</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65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154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Property insurance recovery</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b w:val="1"/>
                <w:bCs w:val="1"/>
                <w:color w:val="auto"/>
              </w:rPr>
              <w:t>72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7.8%</w:t>
            </w:r>
          </w:p>
        </w:tc>
      </w:tr>
      <w:tr>
        <w:trPr>
          <w:trHeight w:val="210"/>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 – translation</w:t>
            </w:r>
          </w:p>
        </w:tc>
        <w:tc>
          <w:tcPr>
            <w:tcW w:w="100" w:type="dxa"/>
            <w:vAlign w:val="bottom"/>
          </w:tcPr>
          <w:p>
            <w:pPr>
              <w:spacing w:after="0"/>
              <w:rPr>
                <w:sz w:val="18"/>
                <w:szCs w:val="18"/>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(60)</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7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w:t>
            </w:r>
          </w:p>
        </w:tc>
      </w:tr>
      <w:tr>
        <w:trPr>
          <w:trHeight w:val="187"/>
        </w:trPr>
        <w:tc>
          <w:tcPr>
            <w:tcW w:w="868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the Three Months Ended June 30, 2017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933</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(211)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Malware incident incremental expenses</w:t>
            </w:r>
          </w:p>
        </w:tc>
        <w:tc>
          <w:tcPr>
            <w:tcW w:w="100" w:type="dxa"/>
            <w:vAlign w:val="bottom"/>
          </w:tcPr>
          <w:p>
            <w:pPr>
              <w:spacing w:after="0"/>
              <w:rPr>
                <w:sz w:val="17"/>
                <w:szCs w:val="17"/>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18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00" w:type="dxa"/>
            <w:vAlign w:val="bottom"/>
          </w:tcPr>
          <w:p>
            <w:pPr>
              <w:spacing w:after="0"/>
              <w:rPr>
                <w:sz w:val="18"/>
                <w:szCs w:val="18"/>
                <w:color w:val="auto"/>
              </w:rPr>
            </w:pPr>
          </w:p>
        </w:tc>
        <w:tc>
          <w:tcPr>
            <w:tcW w:w="16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Three Months Ended June 30, 2017</w:t>
            </w: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641</w:t>
            </w:r>
          </w:p>
        </w:tc>
        <w:tc>
          <w:tcPr>
            <w:tcW w:w="7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0.5%</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2017 and 2016 related to trademarks.</w:t>
      </w: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more information on the acquisition of a biscuit business in Vietnam.</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gains/losses on commodity and forecasted currency transaction derivatives.</w:t>
      </w:r>
    </w:p>
    <w:p>
      <w:pPr>
        <w:ind w:left="1140" w:right="20" w:hanging="335"/>
        <w:spacing w:after="0" w:line="241"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and a grocery business in Australia and New Zealand. Note that we completed the sale of most of our grocery business in Australia and New Zealand on July 4, 2017 and we have also removed the historical operating results of the business for all periods presented.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right="80" w:hanging="335"/>
        <w:spacing w:after="0" w:line="258" w:lineRule="auto"/>
        <w:tabs>
          <w:tab w:leader="none" w:pos="11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sales in 2016.</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During the second quarter, unfavorable volume/mix, primarily due to the delayed shipments resulting from the malware incident, was reflected across all segments. We realized higher net pricing as input costs increased. Higher net pricing, which included the carryover impact of pricing actions taken in the second half of 2016 and the first quarter of 2017, was reflected in all segments, except North America. The increase in input costs was driven by higher raw material costs, which were partially offset by lower manufacturing costs due to productivity gains.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Total selling, general and administrative expenses decreased $219 million from the second quarter of 2016, due to a number of factors noted in the table above, including in part, lower divestiture-related costs associated with the sale of a confectionery business in France, a property insurance recovery in AMEA and lower implementation costs incurred for the 2014-2018 Restructuring Program. The decreases were partially offset by the gains on sales of property in 2016, an unfavorable currency impact and incremental expenses caused by the malware incident.</w:t>
      </w:r>
    </w:p>
    <w:p>
      <w:pPr>
        <w:spacing w:after="0" w:line="20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Excluding the factors noted above, selling, general and administrative expenses decreased $ 154 million from the second quarter of 2016. The decrease was driven primarily by lower advertising and consumer promotion costs and lower overhead costs due to continued cost reduction efforts in both areas.</w:t>
      </w:r>
    </w:p>
    <w:p>
      <w:pPr>
        <w:spacing w:after="0" w:line="20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Unfavorable currency impacts decreased operating income by $60 million due primarily to the strength of the U.S. dollar relative to several currencies, including the Egyptian pound, British pound sterling and euro, partially offset by the strength of several currencies relative to the U.S. dollar, including the Brazilian real, Russian ruble and South African rand.</w:t>
      </w:r>
    </w:p>
    <w:p>
      <w:pPr>
        <w:spacing w:after="0" w:line="203"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Operating income margin increased from 10.1% in the second quarter of 2016 to 10.7% in the second quarter of 2017. The increase in operating income margin was driven primarily by an increase in our Adjusted Operating Income margin and lower divestiture-related costs associated with the sale of a confectionery business in France, partially offset by the year-over-year unfavorable impact of unrealized gains/(losses) on currency and commodity hedging activities and higher intangible asset impairment charges. Adjusted Operating Income margin increased from 14.9% in the second quarter of 2016 to 15.8% in the second quarter of 2017. The increase in Adjusted Operating Income margin was driven primarily by lower advertising and consumer promotion costs and lower overheads from continued cost reduction efforts in both areas.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$498 million increased by $ 34 million (7.3%) in the second quarter of 2017. Diluted EPS attributable to Mondelēz International was $0.32 in the second quarter of 2017, up $0.03 (10.3%) from the second quarter of 2016. Adjusted EPS </w:t>
      </w:r>
      <w:r>
        <w:rPr>
          <w:rFonts w:ascii="Arial" w:cs="Arial" w:eastAsia="Arial" w:hAnsi="Arial"/>
          <w:sz w:val="15"/>
          <w:szCs w:val="15"/>
          <w:color w:val="auto"/>
        </w:rPr>
        <w:t>(1)</w:t>
      </w:r>
      <w:r>
        <w:rPr>
          <w:rFonts w:ascii="Arial" w:cs="Arial" w:eastAsia="Arial" w:hAnsi="Arial"/>
          <w:sz w:val="18"/>
          <w:szCs w:val="18"/>
          <w:color w:val="auto"/>
        </w:rPr>
        <w:t xml:space="preserve"> was $ 0.48 in the second quarter of 2017, up $0.05 (11.6%) from the second quarter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$0.51 in the second quarter of 2017, up $0.08 (18.6%) from the second quarter of 2016.</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Three Months Ended June 30, 2016</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(2)</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Increase in operations</w:t>
      </w:r>
    </w:p>
    <w:p>
      <w:pPr>
        <w:ind w:left="720"/>
        <w:spacing w:after="0" w:line="231" w:lineRule="auto"/>
        <w:rPr>
          <w:sz w:val="20"/>
          <w:szCs w:val="20"/>
          <w:color w:val="auto"/>
        </w:rPr>
      </w:pPr>
      <w:r>
        <w:rPr>
          <w:rFonts w:ascii="Arial" w:cs="Arial" w:eastAsia="Arial" w:hAnsi="Arial"/>
          <w:sz w:val="18"/>
          <w:szCs w:val="18"/>
          <w:color w:val="auto"/>
        </w:rPr>
        <w:t>Decrease in equity method investment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Property insurance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(4)</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22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2017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Three Months Ended June 30, 2017</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Malware incident incremental expenses</w:t>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(6)</w:t>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Three Months Ended June 30, 2017</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0.29</w:t>
      </w:r>
    </w:p>
    <w:p>
      <w:pPr>
        <w:spacing w:after="0" w:line="17"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jc w:val="right"/>
        <w:spacing w:after="0" w:line="235" w:lineRule="auto"/>
        <w:rPr>
          <w:sz w:val="20"/>
          <w:szCs w:val="20"/>
          <w:color w:val="auto"/>
        </w:rPr>
      </w:pPr>
      <w:r>
        <w:rPr>
          <w:rFonts w:ascii="Arial" w:cs="Arial" w:eastAsia="Arial" w:hAnsi="Arial"/>
          <w:sz w:val="18"/>
          <w:szCs w:val="18"/>
          <w:color w:val="auto"/>
        </w:rPr>
        <w:t>(0.01)</w:t>
      </w:r>
    </w:p>
    <w:p>
      <w:pPr>
        <w:spacing w:after="0" w:line="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0.43</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0.05</w:t>
      </w:r>
    </w:p>
    <w:p>
      <w:pPr>
        <w:jc w:val="right"/>
        <w:spacing w:after="0" w:line="235" w:lineRule="auto"/>
        <w:rPr>
          <w:sz w:val="20"/>
          <w:szCs w:val="20"/>
          <w:color w:val="auto"/>
        </w:rPr>
      </w:pPr>
      <w:r>
        <w:rPr>
          <w:rFonts w:ascii="Arial" w:cs="Arial" w:eastAsia="Arial" w:hAnsi="Arial"/>
          <w:sz w:val="18"/>
          <w:szCs w:val="18"/>
          <w:color w:val="auto"/>
        </w:rPr>
        <w:t>(0.01)</w:t>
      </w:r>
    </w:p>
    <w:p>
      <w:pPr>
        <w:jc w:val="right"/>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rPr>
          <w:sz w:val="20"/>
          <w:szCs w:val="20"/>
          <w:color w:val="auto"/>
        </w:rPr>
      </w:pPr>
      <w:r>
        <w:rPr>
          <w:rFonts w:ascii="Arial" w:cs="Arial" w:eastAsia="Arial" w:hAnsi="Arial"/>
          <w:sz w:val="18"/>
          <w:szCs w:val="18"/>
          <w:color w:val="auto"/>
        </w:rPr>
        <w:t>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0.51</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0.48</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(0.10)</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(0.03)</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080"/>
          </w:cols>
          <w:pgMar w:left="240" w:top="459" w:right="29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jc w:val="both"/>
        <w:ind w:left="1140" w:right="34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an $11 million earnings impact (in the provision for income taxes) in the second quarter of 2017 from adopting the new stock-based compensation accounting standard and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ind w:left="1140" w:right="160" w:hanging="335"/>
        <w:spacing w:after="0" w:line="258" w:lineRule="auto"/>
        <w:tabs>
          <w:tab w:leader="none" w:pos="11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3"/>
                <w:szCs w:val="13"/>
                <w:color w:val="auto"/>
              </w:rPr>
            </w:pPr>
          </w:p>
        </w:tc>
        <w:tc>
          <w:tcPr>
            <w:tcW w:w="7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500" w:type="dxa"/>
            <w:vAlign w:val="bottom"/>
            <w:tcBorders>
              <w:top w:val="single" w:sz="8" w:color="auto"/>
            </w:tcBorders>
            <w:gridSpan w:val="6"/>
          </w:tcPr>
          <w:p>
            <w:pPr>
              <w:jc w:val="right"/>
              <w:ind w:right="574"/>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0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
              <w:spacing w:after="0" w:line="202" w:lineRule="exact"/>
              <w:rPr>
                <w:sz w:val="20"/>
                <w:szCs w:val="20"/>
                <w:color w:val="auto"/>
              </w:rPr>
            </w:pPr>
            <w:r>
              <w:rPr>
                <w:rFonts w:ascii="Arial" w:cs="Arial" w:eastAsia="Arial" w:hAnsi="Arial"/>
                <w:sz w:val="18"/>
                <w:szCs w:val="18"/>
                <w:color w:val="auto"/>
              </w:rPr>
              <w:t>12,400</w:t>
            </w:r>
          </w:p>
        </w:tc>
        <w:tc>
          <w:tcPr>
            <w:tcW w:w="40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12,757</w:t>
            </w: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(357)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4"/>
        </w:trPr>
        <w:tc>
          <w:tcPr>
            <w:tcW w:w="5060" w:type="dxa"/>
            <w:vAlign w:val="bottom"/>
          </w:tcPr>
          <w:p>
            <w:pPr>
              <w:ind w:left="540"/>
              <w:spacing w:after="0"/>
              <w:rPr>
                <w:sz w:val="20"/>
                <w:szCs w:val="20"/>
                <w:color w:val="auto"/>
              </w:rPr>
            </w:pPr>
            <w:r>
              <w:rPr>
                <w:rFonts w:ascii="Arial" w:cs="Arial" w:eastAsia="Arial" w:hAnsi="Arial"/>
                <w:sz w:val="18"/>
                <w:szCs w:val="18"/>
                <w:color w:val="auto"/>
              </w:rPr>
              <w:t>Operating income</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1,481</w:t>
            </w:r>
          </w:p>
        </w:tc>
        <w:tc>
          <w:tcPr>
            <w:tcW w:w="4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1,360</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95"/>
        </w:trPr>
        <w:tc>
          <w:tcPr>
            <w:tcW w:w="5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06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rPr>
              <w:t>Net earnings attributable to</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1,128</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310"/>
        </w:trPr>
        <w:tc>
          <w:tcPr>
            <w:tcW w:w="5060" w:type="dxa"/>
            <w:vAlign w:val="bottom"/>
          </w:tcPr>
          <w:p>
            <w:pPr>
              <w:ind w:left="540"/>
              <w:spacing w:after="0"/>
              <w:rPr>
                <w:sz w:val="20"/>
                <w:szCs w:val="20"/>
                <w:color w:val="auto"/>
              </w:rPr>
            </w:pPr>
            <w:r>
              <w:rPr>
                <w:rFonts w:ascii="Arial" w:cs="Arial" w:eastAsia="Arial" w:hAnsi="Arial"/>
                <w:sz w:val="18"/>
                <w:szCs w:val="18"/>
                <w:color w:val="auto"/>
              </w:rPr>
              <w:t>Diluted earnings per share attributable to</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0.73</w:t>
            </w:r>
          </w:p>
        </w:tc>
        <w:tc>
          <w:tcPr>
            <w:tcW w:w="4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$357 million (2.8%) to $12,400 million in the first six months of 2017, and Organic Net Revenue</w:t>
      </w:r>
    </w:p>
    <w:p>
      <w:pPr>
        <w:spacing w:after="0" w:line="14" w:lineRule="exact"/>
        <w:rPr>
          <w:sz w:val="20"/>
          <w:szCs w:val="20"/>
          <w:color w:val="auto"/>
        </w:rPr>
      </w:pPr>
    </w:p>
    <w:p>
      <w:pPr>
        <w:jc w:val="both"/>
        <w:ind w:right="120" w:firstLine="8"/>
        <w:spacing w:after="0" w:line="239" w:lineRule="auto"/>
        <w:tabs>
          <w:tab w:leader="none" w:pos="237" w:val="left"/>
        </w:tabs>
        <w:numPr>
          <w:ilvl w:val="0"/>
          <w:numId w:val="28"/>
        </w:numPr>
        <w:rPr>
          <w:rFonts w:ascii="Arial" w:cs="Arial" w:eastAsia="Arial" w:hAnsi="Arial"/>
          <w:sz w:val="15"/>
          <w:szCs w:val="15"/>
          <w:color w:val="auto"/>
        </w:rPr>
      </w:pPr>
      <w:r>
        <w:rPr>
          <w:rFonts w:ascii="Arial" w:cs="Arial" w:eastAsia="Arial" w:hAnsi="Arial"/>
          <w:sz w:val="18"/>
          <w:szCs w:val="18"/>
          <w:color w:val="auto"/>
        </w:rPr>
        <w:t>decreased $123 million (1.0%) to $12,389 million. Power Brands net revenues decreased 0.6%, including an unfavorable currency impact, and Power Brands Organic Net Revenue increased 0.4%. Emerging markets net revenues increased 1.4%, including an unfavorable currency impact, and emerging markets Organic Net Revenue increased 1.6%. The underlying changes in net revenues and Organic Net Revenue are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5"/>
                <w:szCs w:val="15"/>
                <w:color w:val="auto"/>
              </w:rPr>
            </w:pPr>
          </w:p>
        </w:tc>
      </w:tr>
      <w:tr>
        <w:trPr>
          <w:trHeight w:val="183"/>
        </w:trPr>
        <w:tc>
          <w:tcPr>
            <w:tcW w:w="9020" w:type="dxa"/>
            <w:vAlign w:val="bottom"/>
            <w:shd w:val="clear" w:color="auto" w:fill="CCEEFF"/>
          </w:tcPr>
          <w:p>
            <w:pPr>
              <w:ind w:left="540"/>
              <w:spacing w:after="0" w:line="182" w:lineRule="exact"/>
              <w:rPr>
                <w:sz w:val="20"/>
                <w:szCs w:val="20"/>
                <w:color w:val="auto"/>
              </w:rPr>
            </w:pPr>
            <w:r>
              <w:rPr>
                <w:rFonts w:ascii="Arial" w:cs="Arial" w:eastAsia="Arial" w:hAnsi="Arial"/>
                <w:sz w:val="18"/>
                <w:szCs w:val="18"/>
                <w:b w:val="1"/>
                <w:bCs w:val="1"/>
                <w:color w:val="auto"/>
              </w:rPr>
              <w:t>Change in net revenues (by percentage point)</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3"/>
        </w:trPr>
        <w:tc>
          <w:tcPr>
            <w:tcW w:w="9020" w:type="dxa"/>
            <w:vAlign w:val="bottom"/>
          </w:tcPr>
          <w:p>
            <w:pPr>
              <w:ind w:left="540"/>
              <w:spacing w:after="0" w:line="202" w:lineRule="exact"/>
              <w:rPr>
                <w:sz w:val="20"/>
                <w:szCs w:val="20"/>
                <w:color w:val="auto"/>
              </w:rPr>
            </w:pPr>
            <w:r>
              <w:rPr>
                <w:rFonts w:ascii="Arial" w:cs="Arial" w:eastAsia="Arial" w:hAnsi="Arial"/>
                <w:sz w:val="18"/>
                <w:szCs w:val="18"/>
                <w:b w:val="1"/>
                <w:bCs w:val="1"/>
                <w:color w:val="auto"/>
              </w:rPr>
              <w:t>Total change in net revenues</w:t>
            </w:r>
          </w:p>
        </w:tc>
        <w:tc>
          <w:tcPr>
            <w:tcW w:w="150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(2.8)%</w:t>
            </w:r>
          </w:p>
        </w:tc>
      </w:tr>
      <w:tr>
        <w:trPr>
          <w:trHeight w:val="203"/>
        </w:trPr>
        <w:tc>
          <w:tcPr>
            <w:tcW w:w="9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Add back the following items affecting comparability:</w:t>
            </w: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902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w:t>
            </w:r>
          </w:p>
        </w:tc>
        <w:tc>
          <w:tcPr>
            <w:tcW w:w="1500" w:type="dxa"/>
            <w:vAlign w:val="bottom"/>
            <w:gridSpan w:val="2"/>
          </w:tcPr>
          <w:p>
            <w:pPr>
              <w:jc w:val="center"/>
              <w:ind w:left="292"/>
              <w:spacing w:after="0" w:line="202" w:lineRule="exact"/>
              <w:rPr>
                <w:sz w:val="20"/>
                <w:szCs w:val="20"/>
                <w:color w:val="auto"/>
              </w:rPr>
            </w:pPr>
            <w:r>
              <w:rPr>
                <w:rFonts w:ascii="Arial" w:cs="Arial" w:eastAsia="Arial" w:hAnsi="Arial"/>
                <w:sz w:val="18"/>
                <w:szCs w:val="18"/>
                <w:color w:val="auto"/>
                <w:w w:val="97"/>
              </w:rPr>
              <w:t>1.8pp</w:t>
            </w: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Impact of divestitures</w:t>
            </w:r>
          </w:p>
        </w:tc>
        <w:tc>
          <w:tcPr>
            <w:tcW w:w="1500" w:type="dxa"/>
            <w:vAlign w:val="bottom"/>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97"/>
              </w:rPr>
              <w:t>0.3pp</w:t>
            </w:r>
          </w:p>
        </w:tc>
      </w:tr>
      <w:tr>
        <w:trPr>
          <w:trHeight w:val="203"/>
        </w:trPr>
        <w:tc>
          <w:tcPr>
            <w:tcW w:w="9020" w:type="dxa"/>
            <w:vAlign w:val="bottom"/>
          </w:tcPr>
          <w:p>
            <w:pPr>
              <w:ind w:left="720"/>
              <w:spacing w:after="0" w:line="202" w:lineRule="exact"/>
              <w:rPr>
                <w:sz w:val="20"/>
                <w:szCs w:val="20"/>
                <w:color w:val="auto"/>
              </w:rPr>
            </w:pPr>
            <w:r>
              <w:rPr>
                <w:rFonts w:ascii="Arial" w:cs="Arial" w:eastAsia="Arial" w:hAnsi="Arial"/>
                <w:sz w:val="18"/>
                <w:szCs w:val="18"/>
                <w:color w:val="auto"/>
              </w:rPr>
              <w:t>Impact of acquisitions</w:t>
            </w:r>
          </w:p>
        </w:tc>
        <w:tc>
          <w:tcPr>
            <w:tcW w:w="1500" w:type="dxa"/>
            <w:vAlign w:val="bottom"/>
            <w:gridSpan w:val="2"/>
          </w:tcPr>
          <w:p>
            <w:pPr>
              <w:jc w:val="center"/>
              <w:ind w:left="292"/>
              <w:spacing w:after="0" w:line="202" w:lineRule="exact"/>
              <w:rPr>
                <w:sz w:val="20"/>
                <w:szCs w:val="20"/>
                <w:color w:val="auto"/>
              </w:rPr>
            </w:pPr>
            <w:r>
              <w:rPr>
                <w:rFonts w:ascii="Arial" w:cs="Arial" w:eastAsia="Arial" w:hAnsi="Arial"/>
                <w:sz w:val="18"/>
                <w:szCs w:val="18"/>
                <w:color w:val="auto"/>
                <w:w w:val="98"/>
              </w:rPr>
              <w:t>(0.3)pp</w:t>
            </w:r>
          </w:p>
        </w:tc>
      </w:tr>
      <w:tr>
        <w:trPr>
          <w:trHeight w:val="27"/>
        </w:trPr>
        <w:tc>
          <w:tcPr>
            <w:tcW w:w="90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9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15"/>
                <w:szCs w:val="15"/>
                <w:b w:val="1"/>
                <w:bCs w:val="1"/>
                <w:color w:val="auto"/>
              </w:rPr>
              <w:t>(1)</w:t>
            </w:r>
          </w:p>
        </w:tc>
        <w:tc>
          <w:tcPr>
            <w:tcW w:w="15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(1.0)%</w:t>
            </w:r>
          </w:p>
        </w:tc>
      </w:tr>
      <w:tr>
        <w:trPr>
          <w:trHeight w:val="20"/>
        </w:trPr>
        <w:tc>
          <w:tcPr>
            <w:tcW w:w="9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7"/>
        </w:trPr>
        <w:tc>
          <w:tcPr>
            <w:tcW w:w="9020" w:type="dxa"/>
            <w:vAlign w:val="bottom"/>
          </w:tcPr>
          <w:p>
            <w:pPr>
              <w:ind w:left="720"/>
              <w:spacing w:after="0" w:line="196" w:lineRule="exact"/>
              <w:rPr>
                <w:sz w:val="20"/>
                <w:szCs w:val="20"/>
                <w:color w:val="auto"/>
              </w:rPr>
            </w:pPr>
            <w:r>
              <w:rPr>
                <w:rFonts w:ascii="Arial" w:cs="Arial" w:eastAsia="Arial" w:hAnsi="Arial"/>
                <w:sz w:val="18"/>
                <w:szCs w:val="18"/>
                <w:color w:val="auto"/>
              </w:rPr>
              <w:t>Unfavorable volume/mix</w:t>
            </w:r>
          </w:p>
        </w:tc>
        <w:tc>
          <w:tcPr>
            <w:tcW w:w="1500" w:type="dxa"/>
            <w:vAlign w:val="bottom"/>
            <w:gridSpan w:val="2"/>
          </w:tcPr>
          <w:p>
            <w:pPr>
              <w:jc w:val="center"/>
              <w:ind w:left="292"/>
              <w:spacing w:after="0" w:line="196" w:lineRule="exact"/>
              <w:rPr>
                <w:sz w:val="20"/>
                <w:szCs w:val="20"/>
                <w:color w:val="auto"/>
              </w:rPr>
            </w:pPr>
            <w:r>
              <w:rPr>
                <w:rFonts w:ascii="Arial" w:cs="Arial" w:eastAsia="Arial" w:hAnsi="Arial"/>
                <w:sz w:val="18"/>
                <w:szCs w:val="18"/>
                <w:color w:val="auto"/>
                <w:w w:val="98"/>
              </w:rPr>
              <w:t>(2.1)pp</w:t>
            </w:r>
          </w:p>
        </w:tc>
      </w:tr>
      <w:tr>
        <w:trPr>
          <w:trHeight w:val="203"/>
        </w:trPr>
        <w:tc>
          <w:tcPr>
            <w:tcW w:w="90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500" w:type="dxa"/>
            <w:vAlign w:val="bottom"/>
            <w:gridSpan w:val="2"/>
            <w:shd w:val="clear" w:color="auto" w:fill="CCEEFF"/>
          </w:tcPr>
          <w:p>
            <w:pPr>
              <w:jc w:val="center"/>
              <w:ind w:left="292"/>
              <w:spacing w:after="0" w:line="202" w:lineRule="exact"/>
              <w:rPr>
                <w:sz w:val="20"/>
                <w:szCs w:val="20"/>
                <w:color w:val="auto"/>
              </w:rPr>
            </w:pPr>
            <w:r>
              <w:rPr>
                <w:rFonts w:ascii="Arial" w:cs="Arial" w:eastAsia="Arial" w:hAnsi="Arial"/>
                <w:sz w:val="18"/>
                <w:szCs w:val="18"/>
                <w:color w:val="auto"/>
                <w:w w:val="97"/>
              </w:rPr>
              <w:t>1.1pp</w:t>
            </w:r>
          </w:p>
        </w:tc>
      </w:tr>
    </w:tbl>
    <w:p>
      <w:pPr>
        <w:spacing w:after="0" w:line="234" w:lineRule="exact"/>
        <w:rPr>
          <w:sz w:val="20"/>
          <w:szCs w:val="20"/>
          <w:color w:val="auto"/>
        </w:rPr>
      </w:pPr>
    </w:p>
    <w:p>
      <w:pPr>
        <w:ind w:left="1140" w:hanging="335"/>
        <w:spacing w:after="0"/>
        <w:tabs>
          <w:tab w:leader="none" w:pos="11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Net revenue decline of 2.8% was driven by unfavorable currency, our underlying Organic Net Revenue decline of 1.0% and the impact of</w:t>
      </w:r>
    </w:p>
    <w:p>
      <w:pPr>
        <w:spacing w:after="0" w:line="234" w:lineRule="auto"/>
        <w:rPr>
          <w:sz w:val="20"/>
          <w:szCs w:val="20"/>
          <w:color w:val="auto"/>
        </w:rPr>
      </w:pPr>
      <w:r>
        <w:rPr>
          <w:rFonts w:ascii="Arial" w:cs="Arial" w:eastAsia="Arial" w:hAnsi="Arial"/>
          <w:sz w:val="18"/>
          <w:szCs w:val="18"/>
          <w:color w:val="auto"/>
        </w:rPr>
        <w:t>divestitures, partially offset by the impact of an acquisition. Unfavorable year-over-year currency impacts decreased net revenues by</w:t>
      </w:r>
    </w:p>
    <w:p>
      <w:pPr>
        <w:spacing w:after="0" w:line="235" w:lineRule="auto"/>
        <w:rPr>
          <w:sz w:val="20"/>
          <w:szCs w:val="20"/>
          <w:color w:val="auto"/>
        </w:rPr>
      </w:pPr>
      <w:r>
        <w:rPr>
          <w:rFonts w:ascii="Arial" w:cs="Arial" w:eastAsia="Arial" w:hAnsi="Arial"/>
          <w:sz w:val="18"/>
          <w:szCs w:val="18"/>
          <w:color w:val="auto"/>
        </w:rPr>
        <w:t>$216 million, due primarily to the strength of the U.S. dollar relative to several currencies, including the British pound sterling, euro, Egyptian</w:t>
      </w:r>
    </w:p>
    <w:p>
      <w:pPr>
        <w:spacing w:after="0" w:line="235" w:lineRule="auto"/>
        <w:rPr>
          <w:sz w:val="20"/>
          <w:szCs w:val="20"/>
          <w:color w:val="auto"/>
        </w:rPr>
      </w:pPr>
      <w:r>
        <w:rPr>
          <w:rFonts w:ascii="Arial" w:cs="Arial" w:eastAsia="Arial" w:hAnsi="Arial"/>
          <w:sz w:val="18"/>
          <w:szCs w:val="18"/>
          <w:color w:val="auto"/>
        </w:rPr>
        <w:t>pound, Argentinian peso, Nigerian naira, Chinese yuan, Mexican peso and Turkish lira, partially offset by the strength of several currencies,</w:t>
      </w:r>
    </w:p>
    <w:p>
      <w:pPr>
        <w:spacing w:after="0" w:line="235" w:lineRule="auto"/>
        <w:rPr>
          <w:sz w:val="20"/>
          <w:szCs w:val="20"/>
          <w:color w:val="auto"/>
        </w:rPr>
      </w:pPr>
      <w:r>
        <w:rPr>
          <w:rFonts w:ascii="Arial" w:cs="Arial" w:eastAsia="Arial" w:hAnsi="Arial"/>
          <w:sz w:val="18"/>
          <w:szCs w:val="18"/>
          <w:color w:val="auto"/>
        </w:rPr>
        <w:t>including the Brazilian real, Russian ruble, South African rand and Australian dollar, relative to the U.S. dollar. Our underlying Organic Net</w:t>
      </w:r>
    </w:p>
    <w:p>
      <w:pPr>
        <w:spacing w:after="0" w:line="235" w:lineRule="auto"/>
        <w:rPr>
          <w:sz w:val="20"/>
          <w:szCs w:val="20"/>
          <w:color w:val="auto"/>
        </w:rPr>
      </w:pPr>
      <w:r>
        <w:rPr>
          <w:rFonts w:ascii="Arial" w:cs="Arial" w:eastAsia="Arial" w:hAnsi="Arial"/>
          <w:sz w:val="18"/>
          <w:szCs w:val="18"/>
          <w:color w:val="auto"/>
        </w:rPr>
        <w:t>Revenue decline was driven by unfavorable volume/mix, partially offset by higher net pricing. Unfavorable volume/mix, primarily due to delayed</w:t>
      </w:r>
    </w:p>
    <w:p>
      <w:pPr>
        <w:spacing w:after="0" w:line="235" w:lineRule="auto"/>
        <w:rPr>
          <w:sz w:val="20"/>
          <w:szCs w:val="20"/>
          <w:color w:val="auto"/>
        </w:rPr>
      </w:pPr>
      <w:r>
        <w:rPr>
          <w:rFonts w:ascii="Arial" w:cs="Arial" w:eastAsia="Arial" w:hAnsi="Arial"/>
          <w:sz w:val="18"/>
          <w:szCs w:val="18"/>
          <w:color w:val="auto"/>
        </w:rPr>
        <w:t>shipments caused by the malware incident, was reflected in all segments except Europe. Net pricing was up, which includes the benefit of</w:t>
      </w:r>
    </w:p>
    <w:p>
      <w:pPr>
        <w:spacing w:after="0" w:line="235" w:lineRule="auto"/>
        <w:rPr>
          <w:sz w:val="20"/>
          <w:szCs w:val="20"/>
          <w:color w:val="auto"/>
        </w:rPr>
      </w:pPr>
      <w:r>
        <w:rPr>
          <w:rFonts w:ascii="Arial" w:cs="Arial" w:eastAsia="Arial" w:hAnsi="Arial"/>
          <w:sz w:val="18"/>
          <w:szCs w:val="18"/>
          <w:color w:val="auto"/>
        </w:rPr>
        <w:t>carryover pricing from the second half of 2016 and the first quarter of 2017 as well as the effects of input cost-driven pricing actions taken</w:t>
      </w:r>
    </w:p>
    <w:p>
      <w:pPr>
        <w:spacing w:after="0" w:line="235" w:lineRule="auto"/>
        <w:rPr>
          <w:sz w:val="20"/>
          <w:szCs w:val="20"/>
          <w:color w:val="auto"/>
        </w:rPr>
      </w:pPr>
      <w:r>
        <w:rPr>
          <w:rFonts w:ascii="Arial" w:cs="Arial" w:eastAsia="Arial" w:hAnsi="Arial"/>
          <w:sz w:val="18"/>
          <w:szCs w:val="18"/>
          <w:color w:val="auto"/>
        </w:rPr>
        <w:t>during the second quarter of 2017. Higher net pricing was reflected in Latin America and AMEA, partially offset by lower net pricing in North</w:t>
      </w:r>
    </w:p>
    <w:p>
      <w:pPr>
        <w:spacing w:after="0" w:line="235" w:lineRule="auto"/>
        <w:rPr>
          <w:sz w:val="20"/>
          <w:szCs w:val="20"/>
          <w:color w:val="auto"/>
        </w:rPr>
      </w:pPr>
      <w:r>
        <w:rPr>
          <w:rFonts w:ascii="Arial" w:cs="Arial" w:eastAsia="Arial" w:hAnsi="Arial"/>
          <w:sz w:val="18"/>
          <w:szCs w:val="18"/>
          <w:color w:val="auto"/>
        </w:rPr>
        <w:t>America and Europe. The impact of divestitures resulted in a year-over-year decline in net revenues of $48 million for the first six months of</w:t>
      </w:r>
    </w:p>
    <w:p>
      <w:pPr>
        <w:spacing w:after="0" w:line="234" w:lineRule="auto"/>
        <w:rPr>
          <w:sz w:val="20"/>
          <w:szCs w:val="20"/>
          <w:color w:val="auto"/>
        </w:rPr>
      </w:pPr>
      <w:r>
        <w:rPr>
          <w:rFonts w:ascii="Arial" w:cs="Arial" w:eastAsia="Arial" w:hAnsi="Arial"/>
          <w:sz w:val="18"/>
          <w:szCs w:val="18"/>
          <w:color w:val="auto"/>
        </w:rPr>
        <w:t>2017. The November 2, 2016 acquisition of a business and license to manufacture, market and sell Cadbury-branded biscuits in additional key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markets added $30 million (constant currency basis) of incremental net revenues for the first six months of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$121 million (8.9%) to $1,481 million in the first six months of 2017,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5"/>
          <w:szCs w:val="15"/>
          <w:color w:val="auto"/>
        </w:rPr>
        <w:t>(1)</w:t>
      </w:r>
      <w:r>
        <w:rPr>
          <w:rFonts w:ascii="Arial" w:cs="Arial" w:eastAsia="Arial" w:hAnsi="Arial"/>
          <w:sz w:val="18"/>
          <w:szCs w:val="18"/>
          <w:color w:val="auto"/>
        </w:rPr>
        <w:t xml:space="preserve"> increased $66 million (3.4%) to $ 1,988 million and Adjusted Operating Income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increased $139 million (7.2%) to $2,061 million due to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Operating</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Income</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184"/>
        </w:trPr>
        <w:tc>
          <w:tcPr>
            <w:tcW w:w="86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(in millions)</w:t>
            </w:r>
          </w:p>
        </w:tc>
        <w:tc>
          <w:tcPr>
            <w:tcW w:w="700" w:type="dxa"/>
            <w:vAlign w:val="bottom"/>
            <w:gridSpan w:val="2"/>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80"/>
        </w:trPr>
        <w:tc>
          <w:tcPr>
            <w:tcW w:w="8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Operating Income for the Six Months Ended June 30, 2016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1,360</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465</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84</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Other/rounding</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7"/>
        </w:trPr>
        <w:tc>
          <w:tcPr>
            <w:tcW w:w="868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Six Months Ended June 30, 2016</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1,922</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Higher net pricing</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141</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Higher input costs</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(48)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Unfavorable volume/mix</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(155)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Lower selling, general and administrative expenses</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208</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Property insurance recovery</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w:t>
            </w: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15"/>
                <w:szCs w:val="15"/>
                <w:b w:val="1"/>
                <w:bCs w:val="1"/>
                <w:color w:val="auto"/>
              </w:rPr>
              <w:t>(1)</w:t>
            </w: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7.2%</w:t>
            </w:r>
          </w:p>
        </w:tc>
      </w:tr>
      <w:tr>
        <w:trPr>
          <w:trHeight w:val="210"/>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Unfavorable currency – translation</w:t>
            </w:r>
          </w:p>
        </w:tc>
        <w:tc>
          <w:tcPr>
            <w:tcW w:w="100" w:type="dxa"/>
            <w:vAlign w:val="bottom"/>
          </w:tcPr>
          <w:p>
            <w:pPr>
              <w:spacing w:after="0"/>
              <w:rPr>
                <w:sz w:val="18"/>
                <w:szCs w:val="18"/>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(73)</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6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r>
      <w:tr>
        <w:trPr>
          <w:trHeight w:val="187"/>
        </w:trPr>
        <w:tc>
          <w:tcPr>
            <w:tcW w:w="8680" w:type="dxa"/>
            <w:vAlign w:val="bottom"/>
          </w:tcPr>
          <w:p>
            <w:pPr>
              <w:ind w:left="54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Six Months Ended June 30, 2017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1,988</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(422)</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(38)</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(97)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Malware incident incremental expenses</w:t>
            </w:r>
          </w:p>
        </w:tc>
        <w:tc>
          <w:tcPr>
            <w:tcW w:w="1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(23)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680" w:type="dxa"/>
            <w:vAlign w:val="bottom"/>
          </w:tcPr>
          <w:p>
            <w:pPr>
              <w:ind w:left="72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62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68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8680" w:type="dxa"/>
            <w:vAlign w:val="bottom"/>
          </w:tcPr>
          <w:p>
            <w:pPr>
              <w:ind w:left="540"/>
              <w:spacing w:after="0"/>
              <w:rPr>
                <w:sz w:val="20"/>
                <w:szCs w:val="20"/>
                <w:color w:val="auto"/>
              </w:rPr>
            </w:pPr>
            <w:r>
              <w:rPr>
                <w:rFonts w:ascii="Arial" w:cs="Arial" w:eastAsia="Arial" w:hAnsi="Arial"/>
                <w:sz w:val="18"/>
                <w:szCs w:val="18"/>
                <w:b w:val="1"/>
                <w:bCs w:val="1"/>
                <w:color w:val="auto"/>
              </w:rPr>
              <w:t>Operating Income for the Six Months Ended June 30, 2017</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5"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and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the impairment charges recorded in 2017 and 2016 related to trademarks.</w:t>
      </w: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more information on the acquisition of a biscuit business in Vietnam.</w:t>
      </w:r>
    </w:p>
    <w:p>
      <w:pPr>
        <w:spacing w:after="0" w:line="1" w:lineRule="exact"/>
        <w:rPr>
          <w:rFonts w:ascii="Arial" w:cs="Arial" w:eastAsia="Arial" w:hAnsi="Arial"/>
          <w:sz w:val="14"/>
          <w:szCs w:val="14"/>
          <w:color w:val="auto"/>
        </w:rPr>
      </w:pPr>
    </w:p>
    <w:p>
      <w:pPr>
        <w:ind w:left="1140" w:right="16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later in this section for more information on the unrealized losses on commodity and forecasted currency transaction derivatives.</w:t>
      </w:r>
    </w:p>
    <w:p>
      <w:pPr>
        <w:ind w:left="1140" w:right="2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2017 sales of a confectionery business in France and a grocery business in Australia and New Zealand. Note that we completed the sale of most of our grocery business in Australia and New Zealand on July 4, 2017 and we have also removed the historical operating results of the business for all periods presented.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right="80" w:hanging="335"/>
        <w:spacing w:after="0" w:line="241" w:lineRule="auto"/>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purchase of a license to manufacture, market and sell Cadbury-branded biscuits in additional key markets and other property sales in 2016.</w:t>
      </w:r>
    </w:p>
    <w:p>
      <w:pPr>
        <w:ind w:left="1140" w:hanging="335"/>
        <w:spacing w:after="0"/>
        <w:tabs>
          <w:tab w:leader="none" w:pos="11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for more information on the benefit from the settlement of a Cadbury tax matter.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the first six months of 2017, unfavorable volume/mix, in part due to the delayed shipments resulting from the malware incident, was driven by North America, Latin America and AMEA, which was partially offset by favorable volume/mix in Europe. We realized higher net pricing while input costs increased modestly. Higher net pricing, which included the carryover impact of pricing actions taken in the second half of 2016 and the first quarter of 2017, was driven by Latin America and AMEA, partially offset by lower net pricing in North America and Europe. The increase in input costs was driven by higher raw material costs, which were partially offset by lower manufacturing costs due to productivity.</w:t>
      </w:r>
    </w:p>
    <w:p>
      <w:pPr>
        <w:spacing w:after="0" w:line="20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Total selling, general and administrative expenses decreased $359 million from the first six months of 2016, due to a number of factors noted in the table above, including in part, lower divestiture-related costs associated with the sale of a confectionery business in France, the benefit from the settlement of a Cadbury tax matter, lower implementation costs incurred for the 2014-2018 Restructuring Program, a property insurance recovery in AMEA and a favorable currency impact. The decreases were partially offset by the gains on sales of property in 2016 and incremental expenses incurred due to the malware incident.</w:t>
      </w:r>
    </w:p>
    <w:p>
      <w:pPr>
        <w:spacing w:after="0" w:line="20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Excluding the factors noted above, selling, general and administrative expenses decreased $208 million from the first six months of 2016. The decrease was driven primarily by lower overhead costs and lower advertising and consumer promotion costs due to continued cost reduction efforts in both areas.</w:t>
      </w:r>
    </w:p>
    <w:p>
      <w:pPr>
        <w:spacing w:after="0" w:line="203"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Unfavorable currency impacts decreased operating income by $73 million, due primarily to the strength of the U.S. dollar relative to several currencies, including the Egyptian pound, British pound sterling and euro, partially offset by the strength of several currencies relative to the U.S. dollar, including the Brazilian real, Russian ruble, Australian dollar and South African rand.</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income margin increased from 10.7% in the first six months of 2016 to 11.9% in the first six months of 2017. The increase in operating income margin was driven primarily by an increase in our Adjusted Operating Income margin, lower divestiture-related costs associated with the sale of a confectionery business in France, the benefit from the settlement of a Cadbury tax matter and lower costs incurred for the 2014-2018 Restructuring Program, partially offset by the year-over-year unfavorable impact of unrealized gains/(losses) on currency and commodity hedging activities and higher intangible asset impairment charges. Adjusted Operating Income margin increased from 15.4% in the first six months of 2016 to 16.3% in the first six months of 2017. The increase in Adjusted Operating Income margin was driven primarily by lower overheads and lower advertising and consumer promotion costs due to continued cost reduction efforts in both areas.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$1,128 million increased by $110 million (10.8%) in the first six months of 2017. Diluted EPS attributable to Mondelēz International was $0.73 in the first six months of 2017, up $0.09 (14.1%) from the first six months of 2016. Adjusted EPS </w:t>
      </w:r>
      <w:r>
        <w:rPr>
          <w:rFonts w:ascii="Arial" w:cs="Arial" w:eastAsia="Arial" w:hAnsi="Arial"/>
          <w:sz w:val="15"/>
          <w:szCs w:val="15"/>
          <w:color w:val="auto"/>
        </w:rPr>
        <w:t>(1)</w:t>
      </w:r>
      <w:r>
        <w:rPr>
          <w:rFonts w:ascii="Arial" w:cs="Arial" w:eastAsia="Arial" w:hAnsi="Arial"/>
          <w:sz w:val="18"/>
          <w:szCs w:val="18"/>
          <w:color w:val="auto"/>
        </w:rPr>
        <w:t xml:space="preserve"> was $1.01 in the first six months of 2017, up $0.09 (9.8%) from the first six months of 2016. Adjusted EPS on a constant currency basis </w:t>
      </w:r>
      <w:r>
        <w:rPr>
          <w:rFonts w:ascii="Arial" w:cs="Arial" w:eastAsia="Arial" w:hAnsi="Arial"/>
          <w:sz w:val="15"/>
          <w:szCs w:val="15"/>
          <w:color w:val="auto"/>
        </w:rPr>
        <w:t>(1)</w:t>
      </w:r>
      <w:r>
        <w:rPr>
          <w:rFonts w:ascii="Arial" w:cs="Arial" w:eastAsia="Arial" w:hAnsi="Arial"/>
          <w:sz w:val="18"/>
          <w:szCs w:val="18"/>
          <w:color w:val="auto"/>
        </w:rPr>
        <w:t xml:space="preserve"> was $1.04 in the first six months of 2017, up $0.12 (13.0%) from the first six months of 2016.</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Six Months Ended June 30, 2016</w:t>
      </w:r>
    </w:p>
    <w:p>
      <w:pPr>
        <w:ind w:left="720"/>
        <w:spacing w:after="0" w:line="237" w:lineRule="auto"/>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Gain on sale of intangible asset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(4)</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Increase in operations</w:t>
      </w:r>
    </w:p>
    <w:p>
      <w:pPr>
        <w:ind w:left="720"/>
        <w:spacing w:after="0" w:line="231" w:lineRule="auto"/>
        <w:rPr>
          <w:sz w:val="20"/>
          <w:szCs w:val="20"/>
          <w:color w:val="auto"/>
        </w:rPr>
      </w:pPr>
      <w:r>
        <w:rPr>
          <w:rFonts w:ascii="Arial" w:cs="Arial" w:eastAsia="Arial" w:hAnsi="Arial"/>
          <w:sz w:val="18"/>
          <w:szCs w:val="18"/>
          <w:color w:val="auto"/>
        </w:rPr>
        <w:t>Decrease in equity method investment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8" w:lineRule="auto"/>
        <w:rPr>
          <w:sz w:val="20"/>
          <w:szCs w:val="20"/>
          <w:color w:val="auto"/>
        </w:rPr>
      </w:pPr>
      <w:r>
        <w:rPr>
          <w:rFonts w:ascii="Arial" w:cs="Arial" w:eastAsia="Arial" w:hAnsi="Arial"/>
          <w:sz w:val="18"/>
          <w:szCs w:val="18"/>
          <w:color w:val="auto"/>
        </w:rPr>
        <w:t xml:space="preserve">Gains on sales of property </w:t>
      </w:r>
      <w:r>
        <w:rPr>
          <w:rFonts w:ascii="Arial" w:cs="Arial" w:eastAsia="Arial" w:hAnsi="Arial"/>
          <w:sz w:val="15"/>
          <w:szCs w:val="15"/>
          <w:color w:val="auto"/>
        </w:rPr>
        <w:t>(2)</w:t>
      </w:r>
    </w:p>
    <w:p>
      <w:pPr>
        <w:ind w:left="720"/>
        <w:spacing w:after="0" w:line="232" w:lineRule="auto"/>
        <w:rPr>
          <w:sz w:val="20"/>
          <w:szCs w:val="20"/>
          <w:color w:val="auto"/>
        </w:rPr>
      </w:pPr>
      <w:r>
        <w:rPr>
          <w:rFonts w:ascii="Arial" w:cs="Arial" w:eastAsia="Arial" w:hAnsi="Arial"/>
          <w:sz w:val="18"/>
          <w:szCs w:val="18"/>
          <w:color w:val="auto"/>
        </w:rPr>
        <w:t>Property insurance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Impact of acquisition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Lower interest and other expense, net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Changes in shares outstanding </w:t>
      </w:r>
      <w:r>
        <w:rPr>
          <w:rFonts w:ascii="Arial" w:cs="Arial" w:eastAsia="Arial" w:hAnsi="Arial"/>
          <w:sz w:val="15"/>
          <w:szCs w:val="15"/>
          <w:color w:val="auto"/>
        </w:rPr>
        <w:t>(6)</w:t>
      </w:r>
    </w:p>
    <w:p>
      <w:pPr>
        <w:ind w:left="720"/>
        <w:spacing w:after="0"/>
        <w:rPr>
          <w:sz w:val="20"/>
          <w:szCs w:val="20"/>
          <w:color w:val="auto"/>
        </w:rPr>
      </w:pPr>
      <w:r>
        <w:rPr>
          <w:rFonts w:ascii="Arial" w:cs="Arial" w:eastAsia="Arial" w:hAnsi="Arial"/>
          <w:sz w:val="18"/>
          <w:szCs w:val="18"/>
          <w:color w:val="auto"/>
        </w:rPr>
        <w:t xml:space="preserve">Changes in income taxes </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right="2440" w:hanging="179"/>
        <w:spacing w:after="0" w:line="250" w:lineRule="auto"/>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2017 </w:t>
      </w:r>
      <w:r>
        <w:rPr>
          <w:rFonts w:ascii="Arial" w:cs="Arial" w:eastAsia="Arial" w:hAnsi="Arial"/>
          <w:sz w:val="18"/>
          <w:szCs w:val="18"/>
          <w:color w:val="auto"/>
        </w:rPr>
        <w:t>Unfavorable currency –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15"/>
          <w:szCs w:val="15"/>
          <w:b w:val="1"/>
          <w:bCs w:val="1"/>
          <w:color w:val="auto"/>
        </w:rPr>
        <w:t>(1)</w:t>
      </w:r>
      <w:r>
        <w:rPr>
          <w:rFonts w:ascii="Arial" w:cs="Arial" w:eastAsia="Arial" w:hAnsi="Arial"/>
          <w:sz w:val="18"/>
          <w:szCs w:val="18"/>
          <w:b w:val="1"/>
          <w:bCs w:val="1"/>
          <w:color w:val="auto"/>
        </w:rPr>
        <w:t xml:space="preserve"> for the Six Months Ended June 30, 2017</w:t>
      </w:r>
    </w:p>
    <w:p>
      <w:pPr>
        <w:spacing w:after="0" w:line="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4" w:lineRule="auto"/>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5" w:lineRule="auto"/>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p>
      <w:pPr>
        <w:ind w:left="720"/>
        <w:spacing w:after="0" w:line="235" w:lineRule="auto"/>
        <w:rPr>
          <w:sz w:val="20"/>
          <w:szCs w:val="20"/>
          <w:color w:val="auto"/>
        </w:rPr>
      </w:pPr>
      <w:r>
        <w:rPr>
          <w:rFonts w:ascii="Arial" w:cs="Arial" w:eastAsia="Arial" w:hAnsi="Arial"/>
          <w:sz w:val="18"/>
          <w:szCs w:val="18"/>
          <w:color w:val="auto"/>
        </w:rPr>
        <w:t>Malware incident incremental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p>
      <w:pPr>
        <w:ind w:left="720"/>
        <w:spacing w:after="0" w:line="238" w:lineRule="auto"/>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line="232" w:lineRule="auto"/>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(8)</w:t>
      </w:r>
    </w:p>
    <w:p>
      <w:pPr>
        <w:ind w:left="720"/>
        <w:spacing w:after="0" w:line="235" w:lineRule="auto"/>
        <w:rPr>
          <w:sz w:val="20"/>
          <w:szCs w:val="20"/>
          <w:color w:val="auto"/>
        </w:rPr>
      </w:pPr>
      <w:r>
        <w:rPr>
          <w:rFonts w:ascii="Arial" w:cs="Arial" w:eastAsia="Arial" w:hAnsi="Arial"/>
          <w:sz w:val="18"/>
          <w:szCs w:val="18"/>
          <w:color w:val="auto"/>
        </w:rPr>
        <w:t xml:space="preserve">Benefit from the settlement of a Cadbury tax Matter </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 xml:space="preserve">Equity method investee acquisition-related and other adjustments </w:t>
      </w:r>
      <w:r>
        <w:rPr>
          <w:rFonts w:ascii="Arial" w:cs="Arial" w:eastAsia="Arial" w:hAnsi="Arial"/>
          <w:sz w:val="15"/>
          <w:szCs w:val="15"/>
          <w:color w:val="auto"/>
        </w:rPr>
        <w:t>(9)</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b w:val="1"/>
          <w:bCs w:val="1"/>
          <w:color w:val="auto"/>
        </w:rPr>
        <w:t>Six Months Ended June 30, 2017</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643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82" w:lineRule="exact"/>
        <w:rPr>
          <w:sz w:val="20"/>
          <w:szCs w:val="20"/>
          <w:color w:val="auto"/>
        </w:rPr>
      </w:pPr>
    </w:p>
    <w:p>
      <w:pPr>
        <w:ind w:left="660" w:hanging="654"/>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0.64</w:t>
      </w:r>
    </w:p>
    <w:p>
      <w:pPr>
        <w:spacing w:after="0" w:line="17"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0.22</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jc w:val="right"/>
        <w:ind w:right="60"/>
        <w:spacing w:after="0" w:line="235" w:lineRule="auto"/>
        <w:rPr>
          <w:sz w:val="20"/>
          <w:szCs w:val="20"/>
          <w:color w:val="auto"/>
        </w:rPr>
      </w:pPr>
      <w:r>
        <w:rPr>
          <w:rFonts w:ascii="Arial" w:cs="Arial" w:eastAsia="Arial" w:hAnsi="Arial"/>
          <w:sz w:val="18"/>
          <w:szCs w:val="18"/>
          <w:color w:val="auto"/>
        </w:rPr>
        <w:t>(0.03)</w:t>
      </w:r>
    </w:p>
    <w:p>
      <w:pPr>
        <w:jc w:val="right"/>
        <w:ind w:right="120"/>
        <w:spacing w:after="0" w:line="235" w:lineRule="auto"/>
        <w:rPr>
          <w:sz w:val="20"/>
          <w:szCs w:val="20"/>
          <w:color w:val="auto"/>
        </w:rPr>
      </w:pPr>
      <w:r>
        <w:rPr>
          <w:rFonts w:ascii="Arial" w:cs="Arial" w:eastAsia="Arial" w:hAnsi="Arial"/>
          <w:sz w:val="18"/>
          <w:szCs w:val="18"/>
          <w:color w:val="auto"/>
        </w:rPr>
        <w:t>–</w:t>
      </w:r>
    </w:p>
    <w:p>
      <w:pPr>
        <w:jc w:val="right"/>
        <w:ind w:right="120"/>
        <w:spacing w:after="0" w:line="235" w:lineRule="auto"/>
        <w:rPr>
          <w:sz w:val="20"/>
          <w:szCs w:val="20"/>
          <w:color w:val="auto"/>
        </w:rPr>
      </w:pPr>
      <w:r>
        <w:rPr>
          <w:rFonts w:ascii="Arial" w:cs="Arial" w:eastAsia="Arial" w:hAnsi="Arial"/>
          <w:sz w:val="18"/>
          <w:szCs w:val="18"/>
          <w:color w:val="auto"/>
        </w:rPr>
        <w:t>0.04</w:t>
      </w:r>
    </w:p>
    <w:p>
      <w:pPr>
        <w:jc w:val="right"/>
        <w:ind w:right="60"/>
        <w:spacing w:after="0"/>
        <w:rPr>
          <w:sz w:val="20"/>
          <w:szCs w:val="20"/>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0.92</w:t>
      </w:r>
    </w:p>
    <w:p>
      <w:pPr>
        <w:spacing w:after="0" w:line="8" w:lineRule="exact"/>
        <w:rPr>
          <w:rFonts w:ascii="Arial" w:cs="Arial" w:eastAsia="Arial" w:hAnsi="Arial"/>
          <w:sz w:val="18"/>
          <w:szCs w:val="18"/>
          <w:b w:val="1"/>
          <w:bCs w:val="1"/>
          <w:color w:val="auto"/>
        </w:rPr>
      </w:pP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0.09</w:t>
      </w:r>
    </w:p>
    <w:p>
      <w:pPr>
        <w:jc w:val="right"/>
        <w:ind w:right="60"/>
        <w:spacing w:after="0" w:line="235" w:lineRule="auto"/>
        <w:rPr>
          <w:sz w:val="20"/>
          <w:szCs w:val="20"/>
          <w:color w:val="auto"/>
        </w:rPr>
      </w:pPr>
      <w:r>
        <w:rPr>
          <w:rFonts w:ascii="Arial" w:cs="Arial" w:eastAsia="Arial" w:hAnsi="Arial"/>
          <w:sz w:val="18"/>
          <w:szCs w:val="18"/>
          <w:color w:val="auto"/>
        </w:rPr>
        <w:t>(0.01)</w:t>
      </w:r>
    </w:p>
    <w:p>
      <w:pPr>
        <w:jc w:val="right"/>
        <w:ind w:right="60"/>
        <w:spacing w:after="0" w:line="235" w:lineRule="auto"/>
        <w:rPr>
          <w:sz w:val="20"/>
          <w:szCs w:val="20"/>
          <w:color w:val="auto"/>
        </w:rPr>
      </w:pPr>
      <w:r>
        <w:rPr>
          <w:rFonts w:ascii="Arial" w:cs="Arial" w:eastAsia="Arial" w:hAnsi="Arial"/>
          <w:sz w:val="18"/>
          <w:szCs w:val="18"/>
          <w:color w:val="auto"/>
        </w:rPr>
        <w:t>(0.02)</w:t>
      </w:r>
    </w:p>
    <w:p>
      <w:pPr>
        <w:jc w:val="right"/>
        <w:ind w:right="120"/>
        <w:spacing w:after="0" w:line="235" w:lineRule="auto"/>
        <w:rPr>
          <w:sz w:val="20"/>
          <w:szCs w:val="20"/>
          <w:color w:val="auto"/>
        </w:rPr>
      </w:pPr>
      <w:r>
        <w:rPr>
          <w:rFonts w:ascii="Arial" w:cs="Arial" w:eastAsia="Arial" w:hAnsi="Arial"/>
          <w:sz w:val="18"/>
          <w:szCs w:val="18"/>
          <w:color w:val="auto"/>
        </w:rPr>
        <w:t>0.01</w:t>
      </w:r>
    </w:p>
    <w:p>
      <w:pPr>
        <w:jc w:val="right"/>
        <w:ind w:right="120"/>
        <w:spacing w:after="0" w:line="235" w:lineRule="auto"/>
        <w:rPr>
          <w:sz w:val="20"/>
          <w:szCs w:val="20"/>
          <w:color w:val="auto"/>
        </w:rPr>
      </w:pPr>
      <w:r>
        <w:rPr>
          <w:rFonts w:ascii="Arial" w:cs="Arial" w:eastAsia="Arial" w:hAnsi="Arial"/>
          <w:sz w:val="18"/>
          <w:szCs w:val="18"/>
          <w:color w:val="auto"/>
        </w:rPr>
        <w:t>–</w:t>
      </w:r>
    </w:p>
    <w:p>
      <w:pPr>
        <w:jc w:val="right"/>
        <w:ind w:right="120"/>
        <w:spacing w:after="0" w:line="235" w:lineRule="auto"/>
        <w:rPr>
          <w:sz w:val="20"/>
          <w:szCs w:val="20"/>
          <w:color w:val="auto"/>
        </w:rPr>
      </w:pPr>
      <w:r>
        <w:rPr>
          <w:rFonts w:ascii="Arial" w:cs="Arial" w:eastAsia="Arial" w:hAnsi="Arial"/>
          <w:sz w:val="18"/>
          <w:szCs w:val="18"/>
          <w:color w:val="auto"/>
        </w:rPr>
        <w:t>0.03</w:t>
      </w:r>
    </w:p>
    <w:p>
      <w:pPr>
        <w:jc w:val="right"/>
        <w:ind w:right="120"/>
        <w:spacing w:after="0" w:line="235" w:lineRule="auto"/>
        <w:rPr>
          <w:sz w:val="20"/>
          <w:szCs w:val="20"/>
          <w:color w:val="auto"/>
        </w:rPr>
      </w:pPr>
      <w:r>
        <w:rPr>
          <w:rFonts w:ascii="Arial" w:cs="Arial" w:eastAsia="Arial" w:hAnsi="Arial"/>
          <w:sz w:val="18"/>
          <w:szCs w:val="18"/>
          <w:color w:val="auto"/>
        </w:rPr>
        <w:t>0.02</w:t>
      </w:r>
    </w:p>
    <w:p>
      <w:pPr>
        <w:jc w:val="right"/>
        <w:ind w:right="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1.04</w:t>
      </w:r>
    </w:p>
    <w:p>
      <w:pPr>
        <w:spacing w:after="0" w:line="8" w:lineRule="exact"/>
        <w:rPr>
          <w:rFonts w:ascii="Arial" w:cs="Arial" w:eastAsia="Arial" w:hAnsi="Arial"/>
          <w:sz w:val="18"/>
          <w:szCs w:val="18"/>
          <w:b w:val="1"/>
          <w:bCs w:val="1"/>
          <w:color w:val="auto"/>
        </w:rPr>
      </w:pP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ind w:left="660" w:hanging="65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1.01</w:t>
      </w:r>
    </w:p>
    <w:p>
      <w:pPr>
        <w:spacing w:after="0" w:line="8" w:lineRule="exact"/>
        <w:rPr>
          <w:rFonts w:ascii="Arial" w:cs="Arial" w:eastAsia="Arial" w:hAnsi="Arial"/>
          <w:sz w:val="18"/>
          <w:szCs w:val="18"/>
          <w:b w:val="1"/>
          <w:bCs w:val="1"/>
          <w:color w:val="auto"/>
        </w:rPr>
      </w:pP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(0.21)</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(0.06)</w:t>
      </w:r>
    </w:p>
    <w:p>
      <w:pPr>
        <w:ind w:left="92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0.02</w:t>
      </w:r>
    </w:p>
    <w:p>
      <w:pPr>
        <w:ind w:left="60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(0.01)</w:t>
      </w:r>
    </w:p>
    <w:p>
      <w:pPr>
        <w:ind w:left="66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0.04</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43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183" w:lineRule="exact"/>
        <w:rPr>
          <w:sz w:val="20"/>
          <w:szCs w:val="20"/>
          <w:color w:val="auto"/>
        </w:rPr>
      </w:pPr>
    </w:p>
    <w:p>
      <w:pPr>
        <w:ind w:left="660" w:hanging="654"/>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643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28575</wp:posOffset>
            </wp:positionV>
            <wp:extent cx="643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560" w:space="720"/>
            <w:col w:w="1140"/>
          </w:cols>
          <w:pgMar w:left="240" w:top="459" w:right="239" w:bottom="1440" w:gutter="0" w:footer="0" w:header="0"/>
          <w:type w:val="continuous"/>
        </w:sectPr>
      </w:pPr>
    </w:p>
    <w:p>
      <w:pPr>
        <w:spacing w:after="0" w:line="84" w:lineRule="exact"/>
        <w:rPr>
          <w:sz w:val="20"/>
          <w:szCs w:val="20"/>
          <w:color w:val="auto"/>
        </w:rPr>
      </w:pPr>
    </w:p>
    <w:p>
      <w:pPr>
        <w:ind w:left="1140" w:hanging="335"/>
        <w:spacing w:after="0"/>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1140" w:hanging="335"/>
        <w:spacing w:after="0"/>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44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designated as cash flow hedges during the first quarter of 2016 due to changes in financing and hedging plans.</w:t>
      </w:r>
    </w:p>
    <w:p>
      <w:pPr>
        <w:ind w:left="1140" w:hanging="335"/>
        <w:spacing w:after="0"/>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the favorable currency impact on interest expense related to our non-U.S. dollar-denominated debt which is included in currency translation.</w:t>
      </w:r>
    </w:p>
    <w:p>
      <w:pPr>
        <w:spacing w:after="0" w:line="1" w:lineRule="exact"/>
        <w:rPr>
          <w:rFonts w:ascii="Arial" w:cs="Arial" w:eastAsia="Arial" w:hAnsi="Arial"/>
          <w:sz w:val="14"/>
          <w:szCs w:val="14"/>
          <w:color w:val="auto"/>
        </w:rPr>
      </w:pPr>
    </w:p>
    <w:p>
      <w:pPr>
        <w:ind w:left="1140" w:right="140" w:hanging="335"/>
        <w:spacing w:after="0" w:line="241"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14,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jc w:val="both"/>
        <w:ind w:left="1140" w:right="100" w:hanging="335"/>
        <w:spacing w:after="0" w:line="258" w:lineRule="auto"/>
        <w:tabs>
          <w:tab w:leader="none" w:pos="11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a $25 million earnings impact (in the provision for income taxes) in the first half of 2017 from adopting the new stock-based compensation accounting standard and Note 13,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change in our income taxes and effective tax rate.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right="200" w:hanging="335"/>
        <w:spacing w:after="0" w:line="252"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ind w:left="1140" w:right="220" w:hanging="335"/>
        <w:spacing w:after="0" w:line="258" w:lineRule="auto"/>
        <w:tabs>
          <w:tab w:leader="none" w:pos="1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reportable operating segments:</w:t>
      </w: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Latin America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AMEA</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Europe</w:t>
      </w:r>
    </w:p>
    <w:p>
      <w:pPr>
        <w:spacing w:after="0" w:line="5"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North America</w:t>
      </w:r>
    </w:p>
    <w:p>
      <w:pPr>
        <w:spacing w:after="0" w:line="21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On October 1, 2016, we integrated our EEMEA operating segment into our Europe and Asia Pacific operating segments to further leverage and optimize the operating scale built within the Europe and Asia Pacific regions. Russia, Ukraine, Turkey, Belarus, Georgia and Kazakhstan were combined within our Europe operating segment, while the remaining Middle East and African countries were combined within our Asia Pacific region to form a new AMEA operating segment. We have reflected the segment change as if it had occurred in all periods presented.</w:t>
      </w:r>
    </w:p>
    <w:p>
      <w:pPr>
        <w:spacing w:after="0" w:line="202" w:lineRule="exact"/>
        <w:rPr>
          <w:sz w:val="20"/>
          <w:szCs w:val="20"/>
          <w:color w:val="auto"/>
        </w:rPr>
      </w:pPr>
    </w:p>
    <w:p>
      <w:pPr>
        <w:jc w:val="both"/>
        <w:ind w:right="580"/>
        <w:spacing w:after="0"/>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in our key markets. Our regional management teams have responsibility for the business, product categories and financial results in the regions.</w:t>
      </w:r>
    </w:p>
    <w:p>
      <w:pPr>
        <w:spacing w:after="0" w:line="203"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15,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revised to reflect our new segment structure in all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5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720"/>
              <w:spacing w:after="0" w:line="202" w:lineRule="exact"/>
              <w:rPr>
                <w:sz w:val="20"/>
                <w:szCs w:val="20"/>
                <w:color w:val="auto"/>
              </w:rPr>
            </w:pPr>
            <w:r>
              <w:rPr>
                <w:rFonts w:ascii="Arial" w:cs="Arial" w:eastAsia="Arial" w:hAnsi="Arial"/>
                <w:sz w:val="18"/>
                <w:szCs w:val="18"/>
                <w:color w:val="auto"/>
              </w:rPr>
              <w:t>Latin America</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848</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843</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1,758</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AMEA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2,885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3"/>
        </w:trPr>
        <w:tc>
          <w:tcPr>
            <w:tcW w:w="5120" w:type="dxa"/>
            <w:vAlign w:val="bottom"/>
          </w:tcPr>
          <w:p>
            <w:pPr>
              <w:ind w:left="720"/>
              <w:spacing w:after="0" w:line="202" w:lineRule="exact"/>
              <w:rPr>
                <w:sz w:val="20"/>
                <w:szCs w:val="20"/>
                <w:color w:val="auto"/>
              </w:rPr>
            </w:pPr>
            <w:r>
              <w:rPr>
                <w:rFonts w:ascii="Arial" w:cs="Arial" w:eastAsia="Arial" w:hAnsi="Arial"/>
                <w:sz w:val="18"/>
                <w:szCs w:val="18"/>
                <w:color w:val="auto"/>
              </w:rPr>
              <w:t>Europe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2,293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4,536</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4,741</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North America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1,573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3,221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5,986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6,302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12,400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Earnings before income taxes: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Latin America</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103</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3"/>
        </w:trPr>
        <w:tc>
          <w:tcPr>
            <w:tcW w:w="5120" w:type="dxa"/>
            <w:vAlign w:val="bottom"/>
          </w:tcPr>
          <w:p>
            <w:pPr>
              <w:ind w:left="900"/>
              <w:spacing w:after="0" w:line="202" w:lineRule="exact"/>
              <w:rPr>
                <w:sz w:val="20"/>
                <w:szCs w:val="20"/>
                <w:color w:val="auto"/>
              </w:rPr>
            </w:pPr>
            <w:r>
              <w:rPr>
                <w:rFonts w:ascii="Arial" w:cs="Arial" w:eastAsia="Arial" w:hAnsi="Arial"/>
                <w:sz w:val="18"/>
                <w:szCs w:val="18"/>
                <w:color w:val="auto"/>
              </w:rPr>
              <w:t>AMEA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343</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Europe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748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900"/>
              <w:spacing w:after="0" w:line="202" w:lineRule="exact"/>
              <w:rPr>
                <w:sz w:val="20"/>
                <w:szCs w:val="20"/>
                <w:color w:val="auto"/>
              </w:rPr>
            </w:pPr>
            <w:r>
              <w:rPr>
                <w:rFonts w:ascii="Arial" w:cs="Arial" w:eastAsia="Arial" w:hAnsi="Arial"/>
                <w:sz w:val="18"/>
                <w:szCs w:val="18"/>
                <w:color w:val="auto"/>
              </w:rPr>
              <w:t>North America</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214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506</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20" w:type="dxa"/>
            <w:vAlign w:val="bottom"/>
            <w:shd w:val="clear" w:color="auto" w:fill="CCEEFF"/>
          </w:tcPr>
          <w:p>
            <w:pPr>
              <w:ind w:left="900"/>
              <w:spacing w:after="0" w:line="201" w:lineRule="exact"/>
              <w:rPr>
                <w:sz w:val="20"/>
                <w:szCs w:val="20"/>
                <w:color w:val="auto"/>
              </w:rPr>
            </w:pPr>
            <w:r>
              <w:rPr>
                <w:rFonts w:ascii="Arial" w:cs="Arial" w:eastAsia="Arial" w:hAnsi="Arial"/>
                <w:sz w:val="18"/>
                <w:szCs w:val="18"/>
                <w:color w:val="auto"/>
              </w:rPr>
              <w:t>Unrealized (losses)/gains on hedging activities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1080"/>
              <w:spacing w:after="0" w:line="203" w:lineRule="exact"/>
              <w:rPr>
                <w:sz w:val="20"/>
                <w:szCs w:val="20"/>
                <w:color w:val="auto"/>
              </w:rPr>
            </w:pPr>
            <w:r>
              <w:rPr>
                <w:rFonts w:ascii="Arial" w:cs="Arial" w:eastAsia="Arial" w:hAnsi="Arial"/>
                <w:sz w:val="18"/>
                <w:szCs w:val="18"/>
                <w:color w:val="auto"/>
              </w:rPr>
              <w:t>(mark-to-market impacts)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5120" w:type="dxa"/>
            <w:vAlign w:val="bottom"/>
          </w:tcPr>
          <w:p>
            <w:pPr>
              <w:ind w:left="900"/>
              <w:spacing w:after="0" w:line="202" w:lineRule="exact"/>
              <w:rPr>
                <w:sz w:val="20"/>
                <w:szCs w:val="20"/>
                <w:color w:val="auto"/>
              </w:rPr>
            </w:pPr>
            <w:r>
              <w:rPr>
                <w:rFonts w:ascii="Arial" w:cs="Arial" w:eastAsia="Arial" w:hAnsi="Arial"/>
                <w:sz w:val="18"/>
                <w:szCs w:val="18"/>
                <w:color w:val="auto"/>
              </w:rPr>
              <w:t>General corporate expenses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(142)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Amortization of intangibles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3"/>
        </w:trPr>
        <w:tc>
          <w:tcPr>
            <w:tcW w:w="5120" w:type="dxa"/>
            <w:vAlign w:val="bottom"/>
          </w:tcPr>
          <w:p>
            <w:pPr>
              <w:ind w:left="900"/>
              <w:spacing w:after="0" w:line="202" w:lineRule="exact"/>
              <w:rPr>
                <w:sz w:val="20"/>
                <w:szCs w:val="20"/>
                <w:color w:val="auto"/>
              </w:rPr>
            </w:pPr>
            <w:r>
              <w:rPr>
                <w:rFonts w:ascii="Arial" w:cs="Arial" w:eastAsia="Arial" w:hAnsi="Arial"/>
                <w:sz w:val="18"/>
                <w:szCs w:val="18"/>
                <w:color w:val="auto"/>
              </w:rPr>
              <w:t>Loss on divestiture</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Operating income</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1,481</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3"/>
        </w:trPr>
        <w:tc>
          <w:tcPr>
            <w:tcW w:w="5120" w:type="dxa"/>
            <w:vAlign w:val="bottom"/>
          </w:tcPr>
          <w:p>
            <w:pPr>
              <w:ind w:left="720"/>
              <w:spacing w:after="0" w:line="202" w:lineRule="exact"/>
              <w:rPr>
                <w:sz w:val="20"/>
                <w:szCs w:val="20"/>
                <w:color w:val="auto"/>
              </w:rPr>
            </w:pPr>
            <w:r>
              <w:rPr>
                <w:rFonts w:ascii="Arial" w:cs="Arial" w:eastAsia="Arial" w:hAnsi="Arial"/>
                <w:sz w:val="18"/>
                <w:szCs w:val="18"/>
                <w:color w:val="auto"/>
              </w:rPr>
              <w:t>Interest and other expense, net</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(124)</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(243)</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Earnings before income taxes</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517</w:t>
            </w:r>
          </w:p>
        </w:tc>
        <w:tc>
          <w:tcPr>
            <w:tcW w:w="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487</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1,238</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248" w:lineRule="exact"/>
        <w:rPr>
          <w:sz w:val="20"/>
          <w:szCs w:val="20"/>
          <w:color w:val="auto"/>
        </w:rPr>
      </w:pPr>
    </w:p>
    <w:tbl>
      <w:tblPr>
        <w:tblLayout w:type="fixed"/>
        <w:tblInd w:w="5900" w:type="dxa"/>
        <w:tblCellMar>
          <w:top w:w="0" w:type="dxa"/>
          <w:left w:w="0" w:type="dxa"/>
          <w:bottom w:w="0" w:type="dxa"/>
          <w:right w:w="0" w:type="dxa"/>
        </w:tblCellMar>
      </w:tblPr>
      <w:tr>
        <w:trPr>
          <w:trHeight w:val="162"/>
        </w:trPr>
        <w:tc>
          <w:tcPr>
            <w:tcW w:w="3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1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170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843</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43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71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351"/>
        </w:trPr>
        <w:tc>
          <w:tcPr>
            <w:tcW w:w="4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1,758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1,660</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98</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7"/>
        </w:trPr>
        <w:tc>
          <w:tcPr>
            <w:tcW w:w="43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increased $5 million (0.6%), due to higher net pricing (7.5 pp) and favorable currency (1.3 pp), partially offset by unfavorable volume/mix (8.0 pp) and the impact of a divestiture (0.2 pp). Higher net pricing was reflected across all categories driven primarily by Argentina, Brazil and Mexico. Favorable currency impacts were due primarily to the strength of several currencies in the region relative to the U.S. dollar, primarily the Brazilian real, partially offset by the strength of the U.S. dollar relative to the Argentinean peso and Mexican peso. Unfavorable volume/mix, which occurred across most of the region, was largely due to the impact of pricing-related elasticity and delayed shipments caused by the malware incident. Unfavorable volume/mix was driven by declines in all categories except candy. On December 1, 2016, we sold a small confectionery business in Costa Rica.</w:t>
      </w:r>
    </w:p>
    <w:p>
      <w:pPr>
        <w:spacing w:after="0" w:line="203"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Segment operating income increased $71 million (221.9%), primarily due to higher net pricing, lower costs incurred for the 2014-2018 Restructuring Program, lower advertising and consumer promotion costs, lower manufacturing costs, lower other selling, general and administrative expenses and favorable currency. These favorable items were partially offset by higher raw material costs and unfavorable volume/mix.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Net revenues increased $98 million (5.9%), due to higher net pricing (6.9 pp) and favorable currency (4.6 pp), partially offset by unfavorable volume/mix (5.3 pp) and the impact of a divestiture (0.3 pp). Higher net pricing was reflected across all categories driven primarily by Argentina, Brazil and Mexico. Favorable currency impacts were due primarily to the strength of several currencies in the region relative to the U.S. dollar, primarily the Brazilian real, partially offset by the strength of the U.S. dollar relative to the Argentinean peso and Mexican peso. Unfavorable volume/mix, which occurred across most of the region, was largely due to the impact of pricing-related elasticity and delayed shipments caused by the malware incident. Unfavorable volume/mix was driven by declines in all categories except chocolate. On December 1, 2016, we sold a small confectionery business in Costa Rica.</w:t>
      </w:r>
    </w:p>
    <w:p>
      <w:pPr>
        <w:spacing w:after="0" w:line="20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Segment operating income increased $115 million (116.2%), primarily due to higher net pricing, lower advertising and consumer promotion costs, lower manufacturing costs, lower other selling, general and administrative expenses, favorable currency, and lower costs incurred for the 2014-2018 Restructuring Program. These favorable items were partially offset by higher raw material costs and unfavorable volume/mix.</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248" w:lineRule="exact"/>
        <w:rPr>
          <w:sz w:val="20"/>
          <w:szCs w:val="20"/>
          <w:color w:val="auto"/>
        </w:rPr>
      </w:pPr>
    </w:p>
    <w:tbl>
      <w:tblPr>
        <w:tblLayout w:type="fixed"/>
        <w:tblInd w:w="5900" w:type="dxa"/>
        <w:tblCellMar>
          <w:top w:w="0" w:type="dxa"/>
          <w:left w:w="0" w:type="dxa"/>
          <w:bottom w:w="0" w:type="dxa"/>
          <w:right w:w="0" w:type="dxa"/>
        </w:tblCellMar>
      </w:tblPr>
      <w:tr>
        <w:trPr>
          <w:trHeight w:val="162"/>
        </w:trPr>
        <w:tc>
          <w:tcPr>
            <w:tcW w:w="30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1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June 30,</w:t>
            </w: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170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1,446</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43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Six Months Ended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3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2,961</w:t>
            </w:r>
          </w:p>
        </w:tc>
        <w:tc>
          <w:tcPr>
            <w:tcW w:w="30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43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339</w:t>
            </w:r>
          </w:p>
        </w:tc>
        <w:tc>
          <w:tcPr>
            <w:tcW w:w="3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revenues decreased $52 million (3.6%), due to unfavorable currency (3.2 pp) and unfavorable volume/mix (2.5 pp), partially offset by higher net pricing (1.8 pp) and the favorable impact of businesses divested (0.3 pp). Unfavorable currency impacts were due primarily to the strength of the U.S. dollar relative to several currencies in the region, including the Egyptian pound, Nigerian naira and Chinese yuan, partially offset by the strength of several other currencies in the region, including the South African rand and Indian rupee, relative to the U.S. dollar. Unfavorable volume/mix was driven by declines in refreshment beverages, cheese &amp; grocery, gum and candy, partially offset by gains in chocolate and biscuits. The unfavorable volume/mix also reflected the impact from the trade implementation of the new Goods and Services Tax (“GST”) in India and delayed shipments due to the malware incident. Higher net pricing was reflected across all categories except cheese &amp; grocery and candy. Businesses divested primarily includes the favorable Organic Net Revenue growth related to the grocery &amp; cheese business in Australia and New Zealand that was divested on July 4, 2017.</w:t>
      </w:r>
    </w:p>
    <w:p>
      <w:pPr>
        <w:spacing w:after="0" w:line="20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Segment operating income increased $13 million (8.7%), primarily due to lower other selling, general and administrative expenses (including a property insurance recovery), higher net pricing and lower advertising and consumer promotion costs. These favorable items were partially offset by unfavorable currency, higher raw material costs, higher costs incurred for the 2014-2018 Restructuring Program and unfavorable volume/mix.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Net revenues decreased $76 million (2.6%), due to unfavorable currency (3.2 pp) and unfavorable volume/mix (1.8 pp), partially offset by higher net pricing (2.3 pp) and the favorable impact of businesses divested (0.1 pp). Unfavorable currency impacts were due primarily to the strength of the U.S. dollar relative to several currencies in the region, including the Egyptian pound, Nigerian naira and Chinese yuan, partially offset by the strength of several other currencies in the region, including the South African rand, Australian dollar and Indian rupee, relative to the U.S. dollar. Unfavorable volume/mix was driven by declines in cheese &amp; grocery, refreshment beverages, gum and candy, partially offset by gains in chocolate and biscuits. The unfavorable volume/mix also reflected the impact from the trade implementation of the new GST in India and delayed shipments due to the malware incident. Higher net pricing was reflected across all categories except cheese &amp; grocery. Businesses divested primarily includes the favorable Organic Net Revenue growth related to the grocery &amp; cheese business in Australia and New Zealand that was divested on July 4, 2017.</w:t>
      </w:r>
    </w:p>
    <w:p>
      <w:pPr>
        <w:spacing w:after="0" w:line="20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Segment operating income increased $4 million (1.2%), primarily due to lower other selling, general and administrative expenses (including a property insurance recovery), higher net pricing, lower manufacturing costs and lower acquisition integration costs. These favorable items were partially offset by higher raw material costs, unfavorable currency, unfavorable volume/mix, higher costs incurred for the 2014-2018 Restructuring Program and higher advertising and consumer promotion costs.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48" w:lineRule="exact"/>
        <w:rPr>
          <w:sz w:val="20"/>
          <w:szCs w:val="20"/>
          <w:color w:val="auto"/>
        </w:rPr>
      </w:pPr>
    </w:p>
    <w:tbl>
      <w:tblPr>
        <w:tblLayout w:type="fixed"/>
        <w:tblInd w:w="6160" w:type="dxa"/>
        <w:tblCellMar>
          <w:top w:w="0" w:type="dxa"/>
          <w:left w:w="0" w:type="dxa"/>
          <w:bottom w:w="0" w:type="dxa"/>
          <w:right w:w="0" w:type="dxa"/>
        </w:tblCellMar>
      </w:tblPr>
      <w:tr>
        <w:trPr>
          <w:trHeight w:val="162"/>
        </w:trPr>
        <w:tc>
          <w:tcPr>
            <w:tcW w:w="28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For the Three Months Ended</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204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 change</w:t>
            </w: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2017</w:t>
            </w:r>
          </w:p>
        </w:tc>
        <w:tc>
          <w:tcPr>
            <w:tcW w:w="1640" w:type="dxa"/>
            <w:vAlign w:val="bottom"/>
            <w:tcBorders>
              <w:top w:val="single" w:sz="8" w:color="auto"/>
            </w:tcBorders>
            <w:gridSpan w:val="3"/>
          </w:tcPr>
          <w:p>
            <w:pPr>
              <w:jc w:val="right"/>
              <w:ind w:right="268"/>
              <w:spacing w:after="0" w:line="155"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7"/>
        </w:trPr>
        <w:tc>
          <w:tcPr>
            <w:tcW w:w="616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For the Six Months Ended</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5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6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4,741</w:t>
            </w:r>
          </w:p>
        </w:tc>
        <w:tc>
          <w:tcPr>
            <w:tcW w:w="5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(205)</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616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revenues decreased $122 million (5.3%), due to unfavorable currency (3.7 pp), the impact of divestitures (1.6 pp) and unfavorable volume/mix (0.8 pp), partially offset by the impact of an acquisition (0.7 pp) and higher net pricing (0.1 pp). Unfavorable currency impacts reflected the strength of the U.S. dollar against most currencies in the region, primarily the British pound sterling and euro, partially offset by the strength of the Russian ruble relative to the U.S. dollar. The impact of divestitures was primarily due to the sale of a confectionery business in France. Unfavorable volume/mix, caused by delayed shipments due to the malware incident, was driven by gum, candy, cheese &amp; grocery and refreshment beverages, partially offset by gains in chocolate and biscuits. The acquisition of a business and license to manufacture, market and sell Cadbury-branded biscuits in November 2016 added net revenues of $ 16 million (constant currency basis). Higher net pricing was driven by chocolate, candy and refreshment beverages, mostly offset by lower net pricing in biscuits and cheese &amp; grocery.</w:t>
      </w:r>
    </w:p>
    <w:p>
      <w:pPr>
        <w:spacing w:after="0" w:line="2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Segment operating income increased $83 million (32.4%), primarily due to lower divestiture-related costs, lower manufacturing costs, lower advertising and consumer promotion costs, lower other selling, general and administrative expenses and a prior-year second quarter intangible asset impairment charge. These favorable items were partially offset by higher raw material costs, unfavorable currency, higher costs incurred for the 2014-2018 Restructuring Program, unfavorable volume/mix, the impact of divestitures and a prior-year second quarter gain on the sale of an intangible asset.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Net revenues decreased $205 million (4.3%), due to unfavorable currency (4.3 pp), the impact of divestitures (0.8 pp) and lower net pricing (0.1 pp), partially offset by the impact of an acquisition (0.6 pp) and favorable volume/mix (0.3 pp). Unfavorable currency impacts reflected the strength of the U.S. dollar against most currencies in the region, primarily the British pound sterling, euro and Turkish lira, partially offset by the strength of the Russian ruble relative to the U.S. dollar. The impact of divestitures was primarily due to the sale of a confectionery business in France. Lower net pricing was driven by biscuits and cheese &amp; grocery, mostly offset by higher net pricing in chocolate, candy, refreshment beverages and gum. The acquisition of a business and license to manufacture, market and sell Cadbury-branded biscuits in November 2016 added net revenues of $30 million (constant currency basis). Favorable volume/mix, including the negative impact of delayed shipments in the second quarter due to the malware incident, was driven by chocolate and biscuits, partially offset by declines in gum, cheese &amp; grocery, refreshment beverages and candy.</w:t>
      </w:r>
    </w:p>
    <w:p>
      <w:pPr>
        <w:spacing w:after="0" w:line="20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Segment operating income increased $140 million (23.0%), primarily due to lower manufacturing costs, lower divestiture-related costs, the benefit from the settlement of a Cadbury tax matter, lower other selling, general and administrative expenses, lower advertising and consumer promotion costs and prior-year intangible asset impairment charges. These favorable items were partially offset by higher raw material costs, unfavorable currency, the impact of divestitures, lower net pricing and higher costs incurred for the 2014-2018 Restructuring Program.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8" w:lineRule="exact"/>
        <w:rPr>
          <w:sz w:val="20"/>
          <w:szCs w:val="20"/>
          <w:color w:val="auto"/>
        </w:rPr>
      </w:pPr>
    </w:p>
    <w:tbl>
      <w:tblPr>
        <w:tblLayout w:type="fixed"/>
        <w:tblInd w:w="5700" w:type="dxa"/>
        <w:tblCellMar>
          <w:top w:w="0" w:type="dxa"/>
          <w:left w:w="0" w:type="dxa"/>
          <w:bottom w:w="0" w:type="dxa"/>
          <w:right w:w="0" w:type="dxa"/>
        </w:tblCellMar>
      </w:tblPr>
      <w:tr>
        <w:trPr>
          <w:trHeight w:val="162"/>
        </w:trPr>
        <w:tc>
          <w:tcPr>
            <w:tcW w:w="2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For the 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14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rPr>
              <w:t>June 30,</w:t>
            </w: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8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2017</w:t>
            </w:r>
          </w:p>
        </w:tc>
        <w:tc>
          <w:tcPr>
            <w:tcW w:w="1680" w:type="dxa"/>
            <w:vAlign w:val="bottom"/>
            <w:tcBorders>
              <w:top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1,720</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7"/>
        </w:trPr>
        <w:tc>
          <w:tcPr>
            <w:tcW w:w="42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378"/>
        </w:trPr>
        <w:tc>
          <w:tcPr>
            <w:tcW w:w="4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9"/>
              </w:rPr>
              <w:t>(in millions)</w:t>
            </w:r>
          </w:p>
        </w:tc>
        <w:tc>
          <w:tcPr>
            <w:tcW w:w="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2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Net revenues</w:t>
            </w:r>
          </w:p>
        </w:tc>
        <w:tc>
          <w:tcPr>
            <w:tcW w:w="1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3,221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3,395</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(174)</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4200" w:type="dxa"/>
            <w:vAlign w:val="bottom"/>
          </w:tcPr>
          <w:p>
            <w:pPr>
              <w:ind w:left="540"/>
              <w:spacing w:after="0"/>
              <w:rPr>
                <w:sz w:val="20"/>
                <w:szCs w:val="20"/>
                <w:color w:val="auto"/>
              </w:rPr>
            </w:pPr>
            <w:r>
              <w:rPr>
                <w:rFonts w:ascii="Arial" w:cs="Arial" w:eastAsia="Arial" w:hAnsi="Arial"/>
                <w:sz w:val="18"/>
                <w:szCs w:val="18"/>
                <w:color w:val="auto"/>
              </w:rPr>
              <w:t>Segment operating income</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Net revenues decreased $147 million (8.5%), due to unfavorable volume/mix (6.6 pp), lower net pricing (1.5 pp) and unfavorable currency (0.4 pp). Unfavorable volume/mix, primarily caused by delayed shipments due to the malware incident, was driven by declines in biscuits, gum and candy, partially offset by a gain in chocolate. Lower net pricing was reflected in biscuits and chocolate, partially offset by higher net pricing in gum. Unfavorable currency impact was due to the strength of the U.S. dollar relative to the Canadian dollar.</w:t>
      </w:r>
    </w:p>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Segment operating income decreased $81 million (27.5%), primarily due to unfavorable volume/mix, higher intangible asset impairment charges, lower net pricing, higher other selling, general and administrative expenses (including the prior year’s gain on sale of property) and higher raw material costs. These unfavorable items were partially offset by lower manufacturing costs, lower costs incurred for the 2014-2018 Restructuring Program and lower advertising and consumer promotion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w:t>
      </w:r>
    </w:p>
    <w:p>
      <w:pPr>
        <w:spacing w:after="0" w:line="234"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Net revenues decreased $174 million (5.1%), due to unfavorable volume/mix (4.0 pp), lower net pricing (1.0 pp) and unfavorable currency (0.1 pp). Unfavorable volume/mix, primarily caused by delayed shipments due to the malware incident, was driven by declines in biscuits, gum and candy, partially offset by a gain in chocolate. Lower net pricing was reflected in biscuits, gum and chocolate, partially offset by higher net pricing in candy. Unfavorable currency impact was due to the strength of the U.S. dollar relative to the Canadian dollar.</w:t>
      </w:r>
    </w:p>
    <w:p>
      <w:pPr>
        <w:spacing w:after="0" w:line="20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Segment operating income decreased $60 million (10.6%), primarily due to unfavorable volume/mix, lower net pricing, higher intangible asset impairment charges and higher raw material costs. These unfavorable items were partially offset by lower manufacturing costs, lower costs incurred for the 2014-2018 Restructuring Program and lower advertising and consumer promotion costs.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believe that cash from operations, our revolving credit facilities and our authorized long-term financing will provide sufficient liquidity for our working capital needs, planned capital expenditures, future contractual obligations, share repurchases and payment of our anticipated quarterly dividends. We continue to utilize our commercial paper program, international credit lines and long-term debt issuances for regular funding requirements. We also use intercompany loans with our international subsidiaries to improve financial flexibility. Earnings outside of the U.S. are considered indefinitely reinvested and no material tax liability has been accrued as of June 30, 2017. Overall, we do not expect any negative effects to our funding sources that would have a material effect on our liquidity, including the indefinite reinvestment of our earnings outside of the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Net cash provided by operating activities was $262 million in the first six months of 2017 and $ 337 million in the first six months of 2016. The decrease in net cash provided by operating activities was due primarily to higher tax payments in 2017, partially offset by higher earnings and improvements in our cash conversion cycle. In the second quarter of 2017, we continued to improve our cash conversion cycle to negative 21 days from negative 4 days in the second quarter of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Net cash used in investing activities was $286 million in the first six months of 2017 and $505 million in the first six months of 2016. The decrease in net cash used in investing activities primarily relates to net proceeds received from a divestiture of $169 million and lower capital expenditures of $ 488 million for the six months ended June 30, 2017 compared to $604 million for the six months ended June 30, 2016. We continue to make capital expenditures primarily to modernize manufacturing facilities and support new product and productivity initiatives. We expect 2017 capital expenditures to be up to $ 1.1 billion, including capital expenditures in connection with our 2014-2018 Restructuring Program. We expect to continue to fund these expenditures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Financing Activities:</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Net cash used in financing activities was $376 million the first six months of 2017 and net cash provided by financing activities was $28 million in the first six months of 2016. The increase in net cash used in financing activities relative to the comparable prior-year period was primarily due to higher net payments of long-term and lower net issuances of short-term debt, offset by lower share repurchases.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From time to time we refinance long-term and short-term debt.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six months of 2017.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third and fourth quarters of the year typically generate higher cash flows. As such, we may issue commercial paper or secure other forms of financing throughout the year to meet short-term working capital needs.</w:t>
      </w:r>
    </w:p>
    <w:p>
      <w:pPr>
        <w:spacing w:after="0" w:line="2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74.3 percent (or $9.2 billion) of the $12.4 billion of consolidated net revenue in the six months ended June 30, 2017. The operations held by MIHN represented approximately 87.7 percent (or $22.6 billion) of the $25.8 billion of net assets as of June 30, 2017 and 81.7 percent (or $20.6 billion) of the $25.2 billion of net assets as of December 31, 2016.</w:t>
      </w:r>
    </w:p>
    <w:p>
      <w:pPr>
        <w:spacing w:after="0" w:line="202"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On February 3, 2017, our Board of Directors approved a new $5 billion long-term financing authority to replace the prior authority. As of June 30, 2017, we had $4.7 billion of long-term financing authority remaining.</w:t>
      </w:r>
    </w:p>
    <w:p>
      <w:pPr>
        <w:spacing w:after="0" w:line="179" w:lineRule="exact"/>
        <w:rPr>
          <w:sz w:val="20"/>
          <w:szCs w:val="20"/>
          <w:color w:val="auto"/>
        </w:rPr>
      </w:pPr>
    </w:p>
    <w:p>
      <w:pPr>
        <w:jc w:val="both"/>
        <w:ind w:right="480"/>
        <w:spacing w:after="0" w:line="251" w:lineRule="auto"/>
        <w:rPr>
          <w:sz w:val="20"/>
          <w:szCs w:val="20"/>
          <w:color w:val="auto"/>
        </w:rPr>
      </w:pPr>
      <w:r>
        <w:rPr>
          <w:rFonts w:ascii="Arial" w:cs="Arial" w:eastAsia="Arial" w:hAnsi="Arial"/>
          <w:sz w:val="18"/>
          <w:szCs w:val="18"/>
          <w:color w:val="auto"/>
        </w:rPr>
        <w:t xml:space="preserve">In the next 12 months, we expect $739 million of long-term debt will mature as follows: </w:t>
      </w:r>
      <w:r>
        <w:rPr>
          <w:rFonts w:ascii="Arial" w:cs="Arial" w:eastAsia="Arial" w:hAnsi="Arial"/>
          <w:sz w:val="18"/>
          <w:szCs w:val="18"/>
          <w:i w:val="1"/>
          <w:iCs w:val="1"/>
          <w:color w:val="auto"/>
        </w:rPr>
        <w:t>fr.</w:t>
      </w:r>
      <w:r>
        <w:rPr>
          <w:rFonts w:ascii="Arial" w:cs="Arial" w:eastAsia="Arial" w:hAnsi="Arial"/>
          <w:sz w:val="18"/>
          <w:szCs w:val="18"/>
          <w:color w:val="auto"/>
        </w:rPr>
        <w:t>250 million Swiss franc notes ($261 million as of June 30, 2017) in January 2018 and $478 million in February 2018. We expect to fund these repayments with a combination of cash from operations and the issuance of commercial paper or long-term debt.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Our total debt was $18.8 billion at June 30, 2017 and $17.2 billion at December 31, 2016. Our debt-to-capitalization ratio was 0.42 at June 30, 2017 and 0.41 at December 31, 2016. At June 30, 2017, the weighted-average term of our outstanding long-term debt was 6.7 years. Our average daily commercial paper borrowings outstanding were $4.2 billion in the first six months ended 2017 and $2.0 billion in the first six months ended 2016. We had commercial paper outstanding totaling $4.2 billion as of June 30, 2017 and $2.4 billion as of December 31, 2016. We expect to continue to use commercial paper to finance various short-term financing needs. We continue to comply with our debt covenants. Refer to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more information on our debt and debt covenants.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six months ended June 30, 2017, the primary drivers of the increase in our aggregate commodity costs were higher commodity market pricing and currency-related costs on dairy, cocoa, sugar, packaging, oils, grains and other raw materials, partially offset by lower costs for nuts and energy.</w:t>
      </w:r>
    </w:p>
    <w:p>
      <w:pPr>
        <w:spacing w:after="0" w:line="20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expect commodity price volatility to continue in 2017. Given that the costs of our key raw materials fluctuate significantly over time, we periodically enter into hedging instruments to ensure reliability of supplies and to lock in costs. As such, our actual commodity costs could vary from commodity spot market pricing over the hedged period.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16" w:lineRule="exact"/>
        <w:rPr>
          <w:sz w:val="20"/>
          <w:szCs w:val="20"/>
          <w:color w:val="auto"/>
        </w:rPr>
      </w:pPr>
    </w:p>
    <w:p>
      <w:pPr>
        <w:jc w:val="both"/>
        <w:ind w:right="240"/>
        <w:spacing w:after="0" w:line="245" w:lineRule="auto"/>
        <w:rPr>
          <w:sz w:val="20"/>
          <w:szCs w:val="20"/>
          <w:color w:val="auto"/>
        </w:rPr>
      </w:pPr>
      <w:r>
        <w:rPr>
          <w:rFonts w:ascii="Arial" w:cs="Arial" w:eastAsia="Arial" w:hAnsi="Arial"/>
          <w:sz w:val="18"/>
          <w:szCs w:val="18"/>
          <w:color w:val="auto"/>
        </w:rPr>
        <w:t xml:space="preserve">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information on debt transactions during the first six months of 2017. There were no other material changes to our off-balance sheet arrangements and aggregate contractual obligations disclosed in our Annual Report on Form 10-K for the year ended December 31, 2016. We also do not expect a material change in the effect of these arrangements and obligations on our liquidity.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 discussion of guarantees.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1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six months ended June 30, 2017.</w:t>
      </w:r>
    </w:p>
    <w:p>
      <w:pPr>
        <w:spacing w:after="0" w:line="197" w:lineRule="exact"/>
        <w:rPr>
          <w:sz w:val="20"/>
          <w:szCs w:val="20"/>
          <w:color w:val="auto"/>
        </w:rPr>
      </w:pPr>
    </w:p>
    <w:p>
      <w:pPr>
        <w:ind w:right="580"/>
        <w:spacing w:after="0"/>
        <w:rPr>
          <w:sz w:val="20"/>
          <w:szCs w:val="20"/>
          <w:color w:val="auto"/>
        </w:rPr>
      </w:pPr>
      <w:r>
        <w:rPr>
          <w:rFonts w:ascii="Arial" w:cs="Arial" w:eastAsia="Arial" w:hAnsi="Arial"/>
          <w:sz w:val="18"/>
          <w:szCs w:val="18"/>
          <w:color w:val="auto"/>
        </w:rPr>
        <w:t>We intend to continue to use a portion of our cash for share repurchases. On July 29, 2015, our Finance Committee, with authorization delegated from our Board of Directors, approved an increase of $6.0 billion in the share repurchase program, raising the authorization to $13.7 billion of Common Stock repurchases, and extended the program through December 31, 2018.</w:t>
      </w:r>
    </w:p>
    <w:p>
      <w:pPr>
        <w:spacing w:after="0" w:line="203"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We repurchased $11,965 million of shares ($1,109 million in the first six months of 2017, $2,601 million in 2016, $3,623 million in 2015, $1,892 million in 2014 and $2,740 in 2013) through June 30, 2017.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paid dividends of $581 million in the first six months of 2017 and $537 million in the first six months of 2016. On August 2, 2017, the Finance Committee, with authorization delegated from our Board of Directors, approved a 16% increase in the quarterly dividend to $0.22 per common share or $0.88 per common share on an annualized basis.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We will make a determination as to whether 2017 distributions are characterized as dividends, a return of basis, or both under U.S. federal income tax rules after the 2017 calendar year-end. This determination will be reflected on an IRS Form 1099-DIV issued in early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2016.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2016.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 There were no changes in our accounting policies in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that had a material impact on our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“intend,” “plan,” “believe,” “estimate,” “anticipate,” “deliver,” “seek,” “aim,” “potential,” “objective,” “project,” “outlook” and similar expressions are intended to identify our forward-looking statements, including but not limited to statements about: our future performance, including our future revenue growth, margins and earnings per share; price volatility and pricing actions; the cost environment and measures to address increased costs; the United Kingdom’s planned exit from the European Union and its impact on our results; the costs of, timing of expenditures under and completion of our restructuring program; category growth; consumer snacking behaviors; commodity prices and supply; investments; innovation; political and economic conditions and volatility; currency exchange rates, controls and restrictions; our operations in Ukraine; overhead costs; our JDE ownership interest; legal matters; the estimated value of intangible assets; amortization expense for intangible assets; impairment of intangible assets and our projections of operating results and other factors that may affect our impairment testing; our accounting estimates and judgments and the impact of new accounting pronouncements; pension expenses, contributions and assumptions; our tax rate and tax positions; the potential impact of amounts previously paid and accrued for ICMS tax in Brazil; remediation efforts related to and the financial and other impacts of the malware incident; our liquidity, funding sources and uses of funding, including our use of commercial paper; reinvestment of earnings; our risk management program, including the use of financial instruments and the effectiveness of our hedging activities; capital expenditures and funding; share repurchases; dividends; long-term value and return on investment for our shareholders; and our contractual obligations.</w:t>
      </w:r>
    </w:p>
    <w:p>
      <w:pPr>
        <w:spacing w:after="0" w:line="20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unanticipated disruptions to our business, such as the malware incident, cyberattacks or other security breaches; competition; acquisitions and divestitures; the restructuring program and our other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transformation initiatives not yielding the anticipated benefits; changes in the assumptions on which the restructuring program is based; protection of our reputation and brand image; management of our workforce; consolidation of retail customers and competition with retailer and other economy brands; changes in our relationships with suppliers or customers; legal, regulatory, tax or benefit law changes, claims or actions; strategic transactions; our ability to innovate and differentiate our products;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use of information technology and third party service providers; our ability to protect our intellectual property and intangible assets; a shift in our pre-tax income among jurisdictions, including the United States; and tax law changes. We disclaim and do not undertake any obligation to update or revise any forward-looking statement in this report except as required by applicable law or regulation.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07"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5"/>
          <w:szCs w:val="15"/>
          <w:color w:val="auto"/>
        </w:rPr>
        <w:t>(1)</w:t>
      </w:r>
      <w:r>
        <w:rPr>
          <w:rFonts w:ascii="Arial" w:cs="Arial" w:eastAsia="Arial" w:hAnsi="Arial"/>
          <w:sz w:val="18"/>
          <w:szCs w:val="18"/>
          <w:color w:val="auto"/>
        </w:rPr>
        <w:t>.</w:t>
      </w:r>
    </w:p>
    <w:p>
      <w:pPr>
        <w:spacing w:after="0" w:line="227" w:lineRule="exact"/>
        <w:rPr>
          <w:sz w:val="20"/>
          <w:szCs w:val="20"/>
          <w:color w:val="auto"/>
        </w:rPr>
      </w:pPr>
    </w:p>
    <w:p>
      <w:pPr>
        <w:ind w:left="900" w:hanging="325"/>
        <w:spacing w:after="0" w:line="235"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w:t>
      </w:r>
      <w:r>
        <w:rPr>
          <w:rFonts w:ascii="Arial" w:cs="Arial" w:eastAsia="Arial" w:hAnsi="Arial"/>
          <w:sz w:val="15"/>
          <w:szCs w:val="15"/>
          <w:color w:val="auto"/>
        </w:rPr>
        <w:t>(3)</w:t>
      </w:r>
      <w:r>
        <w:rPr>
          <w:rFonts w:ascii="Arial" w:cs="Arial" w:eastAsia="Arial" w:hAnsi="Arial"/>
          <w:sz w:val="18"/>
          <w:szCs w:val="18"/>
          <w:color w:val="auto"/>
        </w:rPr>
        <w:t xml:space="preserve">, our historical Venezuelan operations, accounting calendar changes and currency rate fluctuations </w:t>
      </w:r>
      <w:r>
        <w:rPr>
          <w:rFonts w:ascii="Arial" w:cs="Arial" w:eastAsia="Arial" w:hAnsi="Arial"/>
          <w:sz w:val="15"/>
          <w:szCs w:val="15"/>
          <w:color w:val="auto"/>
        </w:rPr>
        <w:t>(4)</w:t>
      </w:r>
      <w:r>
        <w:rPr>
          <w:rFonts w:ascii="Arial" w:cs="Arial" w:eastAsia="Arial" w:hAnsi="Arial"/>
          <w:sz w:val="18"/>
          <w:szCs w:val="18"/>
          <w:color w:val="auto"/>
        </w:rPr>
        <w:t>. We also evaluate Organic Net Revenue growth from emerging markets and our Power Brands.</w:t>
      </w:r>
    </w:p>
    <w:p>
      <w:pPr>
        <w:spacing w:after="0" w:line="2" w:lineRule="exact"/>
        <w:rPr>
          <w:rFonts w:ascii="Arial" w:cs="Arial" w:eastAsia="Arial" w:hAnsi="Arial"/>
          <w:sz w:val="18"/>
          <w:szCs w:val="18"/>
          <w:color w:val="auto"/>
        </w:rPr>
      </w:pPr>
    </w:p>
    <w:p>
      <w:pPr>
        <w:ind w:left="1480" w:right="220" w:hanging="446"/>
        <w:spacing w:after="0" w:line="234"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3" w:lineRule="exact"/>
        <w:rPr>
          <w:rFonts w:ascii="Arial" w:cs="Arial" w:eastAsia="Arial" w:hAnsi="Arial"/>
          <w:sz w:val="18"/>
          <w:szCs w:val="18"/>
          <w:color w:val="auto"/>
        </w:rPr>
      </w:pPr>
    </w:p>
    <w:p>
      <w:pPr>
        <w:ind w:left="1480" w:right="40" w:hanging="446"/>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Our Power Brands include some of our largest global and regional brands such as </w:t>
      </w:r>
      <w:r>
        <w:rPr>
          <w:rFonts w:ascii="Arial" w:cs="Arial" w:eastAsia="Arial" w:hAnsi="Arial"/>
          <w:sz w:val="18"/>
          <w:szCs w:val="18"/>
          <w:i w:val="1"/>
          <w:iCs w:val="1"/>
          <w:color w:val="auto"/>
        </w:rPr>
        <w:t>Oreo, Chips Ahoy!, Ritz, TUC/Club Social</w:t>
      </w:r>
      <w:r>
        <w:rPr>
          <w:rFonts w:ascii="Arial" w:cs="Arial" w:eastAsia="Arial" w:hAnsi="Arial"/>
          <w:sz w:val="18"/>
          <w:szCs w:val="18"/>
          <w:color w:val="auto"/>
        </w:rPr>
        <w:t xml:space="preserve"> and </w:t>
      </w:r>
      <w:r>
        <w:rPr>
          <w:rFonts w:ascii="Arial" w:cs="Arial" w:eastAsia="Arial" w:hAnsi="Arial"/>
          <w:sz w:val="18"/>
          <w:szCs w:val="18"/>
          <w:i w:val="1"/>
          <w:iCs w:val="1"/>
          <w:color w:val="auto"/>
        </w:rPr>
        <w:t>belVita</w:t>
      </w:r>
      <w:r>
        <w:rPr>
          <w:rFonts w:ascii="Arial" w:cs="Arial" w:eastAsia="Arial" w:hAnsi="Arial"/>
          <w:sz w:val="18"/>
          <w:szCs w:val="18"/>
          <w:color w:val="auto"/>
        </w:rPr>
        <w:t xml:space="preserve"> biscuits; </w:t>
      </w:r>
      <w:r>
        <w:rPr>
          <w:rFonts w:ascii="Arial" w:cs="Arial" w:eastAsia="Arial" w:hAnsi="Arial"/>
          <w:sz w:val="18"/>
          <w:szCs w:val="18"/>
          <w:i w:val="1"/>
          <w:iCs w:val="1"/>
          <w:color w:val="auto"/>
        </w:rPr>
        <w:t>Cadbury Dairy Milk, Milka</w:t>
      </w:r>
      <w:r>
        <w:rPr>
          <w:rFonts w:ascii="Arial" w:cs="Arial" w:eastAsia="Arial" w:hAnsi="Arial"/>
          <w:sz w:val="18"/>
          <w:szCs w:val="18"/>
          <w:color w:val="auto"/>
        </w:rPr>
        <w:t xml:space="preserve"> and </w:t>
      </w:r>
      <w:r>
        <w:rPr>
          <w:rFonts w:ascii="Arial" w:cs="Arial" w:eastAsia="Arial" w:hAnsi="Arial"/>
          <w:sz w:val="18"/>
          <w:szCs w:val="18"/>
          <w:i w:val="1"/>
          <w:iCs w:val="1"/>
          <w:color w:val="auto"/>
        </w:rPr>
        <w:t>Lacta</w:t>
      </w:r>
      <w:r>
        <w:rPr>
          <w:rFonts w:ascii="Arial" w:cs="Arial" w:eastAsia="Arial" w:hAnsi="Arial"/>
          <w:sz w:val="18"/>
          <w:szCs w:val="18"/>
          <w:color w:val="auto"/>
        </w:rPr>
        <w:t xml:space="preserve"> chocolate; </w:t>
      </w:r>
      <w:r>
        <w:rPr>
          <w:rFonts w:ascii="Arial" w:cs="Arial" w:eastAsia="Arial" w:hAnsi="Arial"/>
          <w:sz w:val="18"/>
          <w:szCs w:val="18"/>
          <w:i w:val="1"/>
          <w:iCs w:val="1"/>
          <w:color w:val="auto"/>
        </w:rPr>
        <w:t>Trident</w:t>
      </w:r>
      <w:r>
        <w:rPr>
          <w:rFonts w:ascii="Arial" w:cs="Arial" w:eastAsia="Arial" w:hAnsi="Arial"/>
          <w:sz w:val="18"/>
          <w:szCs w:val="18"/>
          <w:color w:val="auto"/>
        </w:rPr>
        <w:t xml:space="preserve"> gum;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and </w:t>
      </w:r>
      <w:r>
        <w:rPr>
          <w:rFonts w:ascii="Arial" w:cs="Arial" w:eastAsia="Arial" w:hAnsi="Arial"/>
          <w:sz w:val="18"/>
          <w:szCs w:val="18"/>
          <w:i w:val="1"/>
          <w:iCs w:val="1"/>
          <w:color w:val="auto"/>
        </w:rPr>
        <w:t>Tang</w:t>
      </w:r>
      <w:r>
        <w:rPr>
          <w:rFonts w:ascii="Arial" w:cs="Arial" w:eastAsia="Arial" w:hAnsi="Arial"/>
          <w:sz w:val="18"/>
          <w:szCs w:val="18"/>
          <w:color w:val="auto"/>
        </w:rPr>
        <w:t xml:space="preserve"> powdered beverages.</w:t>
      </w:r>
    </w:p>
    <w:p>
      <w:pPr>
        <w:spacing w:after="0" w:line="227" w:lineRule="exact"/>
        <w:rPr>
          <w:rFonts w:ascii="Arial" w:cs="Arial" w:eastAsia="Arial" w:hAnsi="Arial"/>
          <w:sz w:val="18"/>
          <w:szCs w:val="18"/>
          <w:color w:val="auto"/>
        </w:rPr>
      </w:pPr>
    </w:p>
    <w:p>
      <w:pPr>
        <w:ind w:left="900" w:right="60" w:hanging="325"/>
        <w:spacing w:after="0" w:line="23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“Adjusted Operating Income” is defined as operating income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and net incremental costs; the operating results of divestitures </w:t>
      </w:r>
      <w:r>
        <w:rPr>
          <w:rFonts w:ascii="Arial" w:cs="Arial" w:eastAsia="Arial" w:hAnsi="Arial"/>
          <w:sz w:val="15"/>
          <w:szCs w:val="15"/>
          <w:color w:val="auto"/>
        </w:rPr>
        <w:t>(2)</w:t>
      </w:r>
      <w:r>
        <w:rPr>
          <w:rFonts w:ascii="Arial" w:cs="Arial" w:eastAsia="Arial" w:hAnsi="Arial"/>
          <w:sz w:val="18"/>
          <w:szCs w:val="18"/>
          <w:color w:val="auto"/>
        </w:rPr>
        <w:t xml:space="preserve">; our historical global coffee business operating results </w:t>
      </w:r>
      <w:r>
        <w:rPr>
          <w:rFonts w:ascii="Arial" w:cs="Arial" w:eastAsia="Arial" w:hAnsi="Arial"/>
          <w:sz w:val="15"/>
          <w:szCs w:val="15"/>
          <w:color w:val="auto"/>
        </w:rPr>
        <w:t>(3)</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equity method investment earnings historically reported within operating income </w:t>
      </w:r>
      <w:r>
        <w:rPr>
          <w:rFonts w:ascii="Arial" w:cs="Arial" w:eastAsia="Arial" w:hAnsi="Arial"/>
          <w:sz w:val="15"/>
          <w:szCs w:val="15"/>
          <w:color w:val="auto"/>
        </w:rPr>
        <w:t>(7)</w:t>
      </w:r>
      <w:r>
        <w:rPr>
          <w:rFonts w:ascii="Arial" w:cs="Arial" w:eastAsia="Arial" w:hAnsi="Arial"/>
          <w:sz w:val="18"/>
          <w:szCs w:val="18"/>
          <w:color w:val="auto"/>
        </w:rPr>
        <w:t xml:space="preserve">; the benefit from the settlement of a Cadbury tax matter </w:t>
      </w:r>
      <w:r>
        <w:rPr>
          <w:rFonts w:ascii="Arial" w:cs="Arial" w:eastAsia="Arial" w:hAnsi="Arial"/>
          <w:sz w:val="15"/>
          <w:szCs w:val="15"/>
          <w:color w:val="auto"/>
        </w:rPr>
        <w:t>(8)</w:t>
      </w:r>
      <w:r>
        <w:rPr>
          <w:rFonts w:ascii="Arial" w:cs="Arial" w:eastAsia="Arial" w:hAnsi="Arial"/>
          <w:sz w:val="18"/>
          <w:szCs w:val="18"/>
          <w:color w:val="auto"/>
        </w:rPr>
        <w:t xml:space="preserve"> and incremental expenses related to the malware incident.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hanging="325"/>
        <w:spacing w:after="0" w:line="236"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2012-2014 Restructuring Program </w:t>
      </w:r>
      <w:r>
        <w:rPr>
          <w:rFonts w:ascii="Arial" w:cs="Arial" w:eastAsia="Arial" w:hAnsi="Arial"/>
          <w:sz w:val="15"/>
          <w:szCs w:val="15"/>
          <w:color w:val="auto"/>
        </w:rPr>
        <w:t>(5)</w:t>
      </w:r>
      <w:r>
        <w:rPr>
          <w:rFonts w:ascii="Arial" w:cs="Arial" w:eastAsia="Arial" w:hAnsi="Arial"/>
          <w:sz w:val="18"/>
          <w:szCs w:val="18"/>
          <w:color w:val="auto"/>
        </w:rPr>
        <w:t xml:space="preserve">; the 2014-2018 Restructuring Program </w:t>
      </w:r>
      <w:r>
        <w:rPr>
          <w:rFonts w:ascii="Arial" w:cs="Arial" w:eastAsia="Arial" w:hAnsi="Arial"/>
          <w:sz w:val="15"/>
          <w:szCs w:val="15"/>
          <w:color w:val="auto"/>
        </w:rPr>
        <w:t>(5)</w:t>
      </w:r>
      <w:r>
        <w:rPr>
          <w:rFonts w:ascii="Arial" w:cs="Arial" w:eastAsia="Arial" w:hAnsi="Arial"/>
          <w:sz w:val="18"/>
          <w:szCs w:val="18"/>
          <w:color w:val="auto"/>
        </w:rPr>
        <w:t xml:space="preserve">; Venezuela remeasurement and deconsolidation losses and historical operating results; losses on debt extinguishment and related expenses; gains or losses (including non-cash impairment charges) on goodwill and intangible assets; divestiture </w:t>
      </w:r>
      <w:r>
        <w:rPr>
          <w:rFonts w:ascii="Arial" w:cs="Arial" w:eastAsia="Arial" w:hAnsi="Arial"/>
          <w:sz w:val="15"/>
          <w:szCs w:val="15"/>
          <w:color w:val="auto"/>
        </w:rPr>
        <w:t>(2)</w:t>
      </w:r>
      <w:r>
        <w:rPr>
          <w:rFonts w:ascii="Arial" w:cs="Arial" w:eastAsia="Arial" w:hAnsi="Arial"/>
          <w:sz w:val="18"/>
          <w:szCs w:val="18"/>
          <w:color w:val="auto"/>
        </w:rPr>
        <w:t xml:space="preserve"> or acquisition gains or losses and related integration and acquisition costs; the JDE coffee business transactions </w:t>
      </w:r>
      <w:r>
        <w:rPr>
          <w:rFonts w:ascii="Arial" w:cs="Arial" w:eastAsia="Arial" w:hAnsi="Arial"/>
          <w:sz w:val="15"/>
          <w:szCs w:val="15"/>
          <w:color w:val="auto"/>
        </w:rPr>
        <w:t>(3)</w:t>
      </w:r>
      <w:r>
        <w:rPr>
          <w:rFonts w:ascii="Arial" w:cs="Arial" w:eastAsia="Arial" w:hAnsi="Arial"/>
          <w:sz w:val="18"/>
          <w:szCs w:val="18"/>
          <w:color w:val="auto"/>
        </w:rPr>
        <w:t xml:space="preserve"> gain, transaction hedging gains or losses and net incremental costs; gain on the equity method investment exchange; net earnings from divestitures </w:t>
      </w:r>
      <w:r>
        <w:rPr>
          <w:rFonts w:ascii="Arial" w:cs="Arial" w:eastAsia="Arial" w:hAnsi="Arial"/>
          <w:sz w:val="15"/>
          <w:szCs w:val="15"/>
          <w:color w:val="auto"/>
        </w:rPr>
        <w:t>(2)</w:t>
      </w:r>
      <w:r>
        <w:rPr>
          <w:rFonts w:ascii="Arial" w:cs="Arial" w:eastAsia="Arial" w:hAnsi="Arial"/>
          <w:sz w:val="18"/>
          <w:szCs w:val="18"/>
          <w:color w:val="auto"/>
        </w:rPr>
        <w:t xml:space="preserve">; mark-to-market impacts from commodity and forecasted currency transaction derivative contracts </w:t>
      </w:r>
      <w:r>
        <w:rPr>
          <w:rFonts w:ascii="Arial" w:cs="Arial" w:eastAsia="Arial" w:hAnsi="Arial"/>
          <w:sz w:val="15"/>
          <w:szCs w:val="15"/>
          <w:color w:val="auto"/>
        </w:rPr>
        <w:t>(6)</w:t>
      </w:r>
      <w:r>
        <w:rPr>
          <w:rFonts w:ascii="Arial" w:cs="Arial" w:eastAsia="Arial" w:hAnsi="Arial"/>
          <w:sz w:val="18"/>
          <w:szCs w:val="18"/>
          <w:color w:val="auto"/>
        </w:rPr>
        <w:t xml:space="preserve">; gains or losses on interest rate swaps no longer designated as accounting cash flow hedges due to changed financing and hedging plans; the benefit from the settlement of a Cadbury tax matter </w:t>
      </w:r>
      <w:r>
        <w:rPr>
          <w:rFonts w:ascii="Arial" w:cs="Arial" w:eastAsia="Arial" w:hAnsi="Arial"/>
          <w:sz w:val="15"/>
          <w:szCs w:val="15"/>
          <w:color w:val="auto"/>
        </w:rPr>
        <w:t>(8)</w:t>
      </w:r>
      <w:r>
        <w:rPr>
          <w:rFonts w:ascii="Arial" w:cs="Arial" w:eastAsia="Arial" w:hAnsi="Arial"/>
          <w:sz w:val="18"/>
          <w:szCs w:val="18"/>
          <w:color w:val="auto"/>
        </w:rPr>
        <w:t xml:space="preserve"> and incremental expenses related to the malware incident. Similarly, within Adjusted EPS, our equity method investment net earnings exclude our proportionate share of our investees’ unusual or infrequent items </w:t>
      </w:r>
      <w:r>
        <w:rPr>
          <w:rFonts w:ascii="Arial" w:cs="Arial" w:eastAsia="Arial" w:hAnsi="Arial"/>
          <w:sz w:val="15"/>
          <w:szCs w:val="15"/>
          <w:color w:val="auto"/>
        </w:rPr>
        <w:t>(9)</w:t>
      </w:r>
      <w:r>
        <w:rPr>
          <w:rFonts w:ascii="Arial" w:cs="Arial" w:eastAsia="Arial" w:hAnsi="Arial"/>
          <w:sz w:val="18"/>
          <w:szCs w:val="18"/>
          <w:color w:val="auto"/>
        </w:rPr>
        <w:t xml:space="preserve">, such as acquisition and divestiture-related costs and restructuring program costs. We also evaluate growth in our Adjusted EPS on a constant currency basis </w:t>
      </w:r>
      <w:r>
        <w:rPr>
          <w:rFonts w:ascii="Arial" w:cs="Arial" w:eastAsia="Arial" w:hAnsi="Arial"/>
          <w:sz w:val="15"/>
          <w:szCs w:val="15"/>
          <w:color w:val="auto"/>
        </w:rPr>
        <w:t>(4)</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left="1140" w:right="16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For the first quarter of 2017, we added to the non-GAAP definitions the exclusion of the benefit from the settlement of a Cadbury tax matter – see footnote (8) below. In the second quarter of 2017, we added the exclusion of incremental expenses related to the malware incident.</w:t>
      </w:r>
    </w:p>
    <w:p>
      <w:pPr>
        <w:spacing w:after="0" w:line="1" w:lineRule="exact"/>
        <w:rPr>
          <w:rFonts w:ascii="Arial" w:cs="Arial" w:eastAsia="Arial" w:hAnsi="Arial"/>
          <w:sz w:val="14"/>
          <w:szCs w:val="14"/>
          <w:color w:val="auto"/>
        </w:rPr>
      </w:pPr>
    </w:p>
    <w:p>
      <w:pPr>
        <w:ind w:left="1140" w:right="6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and exits of major product lines upon completion of a sale or licensing agreement. Note that we completed the sale of most of our grocery business in Australia and New Zealand on July 4, 2017 and we have also removed the historical operating results of the business from our Organic Net Revenue and adjusted results for all periods presented.</w:t>
      </w:r>
    </w:p>
    <w:p>
      <w:pPr>
        <w:spacing w:after="0" w:line="1" w:lineRule="exact"/>
        <w:rPr>
          <w:rFonts w:ascii="Arial" w:cs="Arial" w:eastAsia="Arial" w:hAnsi="Arial"/>
          <w:sz w:val="14"/>
          <w:szCs w:val="14"/>
          <w:color w:val="auto"/>
        </w:rPr>
      </w:pPr>
    </w:p>
    <w:p>
      <w:pPr>
        <w:ind w:left="1140" w:right="12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We continue to have an ongoing interest in the legacy coffee business we deconsolidated in 2015 as part of the JDE coffee business transactions. For historical periods prior to the July 15, 2015 coffee business deconsolidation, we have reclassified any net revenue or operating income from the historical coffee business and include them where the coffee equity method investment earnings are presented within Adjusted EPS. As such, Organic Net Revenue and Adjusted Operating Income in all periods do not include the results of our legacy coffee businesses which are shown within Adjusted EPS only.</w:t>
      </w:r>
    </w:p>
    <w:p>
      <w:pPr>
        <w:spacing w:after="0" w:line="1" w:lineRule="exact"/>
        <w:rPr>
          <w:rFonts w:ascii="Arial" w:cs="Arial" w:eastAsia="Arial" w:hAnsi="Arial"/>
          <w:sz w:val="14"/>
          <w:szCs w:val="14"/>
          <w:color w:val="auto"/>
        </w:rPr>
      </w:pPr>
    </w:p>
    <w:p>
      <w:pPr>
        <w:jc w:val="both"/>
        <w:ind w:left="1140" w:right="18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Non-GAAP adjustments related to the 2014-2018 Restructuring Program reflect costs incurred that relate to the objectives of our program to transform our supply chain network and organizational structure. Costs that do not meet the program objectives are not reflected in the non-GAAP adjustments. Refer to our Annual Report on Form 10-K for the year ended December 31, 2016 for more information on the 2012-2014 Restructuring Program.</w:t>
      </w:r>
    </w:p>
    <w:p>
      <w:pPr>
        <w:spacing w:after="0" w:line="1" w:lineRule="exact"/>
        <w:rPr>
          <w:rFonts w:ascii="Arial" w:cs="Arial" w:eastAsia="Arial" w:hAnsi="Arial"/>
          <w:sz w:val="14"/>
          <w:szCs w:val="14"/>
          <w:color w:val="auto"/>
        </w:rPr>
      </w:pPr>
    </w:p>
    <w:p>
      <w:pPr>
        <w:ind w:left="1140" w:right="10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1140" w:right="240" w:hanging="335"/>
        <w:spacing w:after="0" w:line="241"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 xml:space="preserve">Historically, we have recorded income from equity method investments within our operating income as these investments operated as extensions of our base business. Beginning in the third quarter of 2015, we began to record the earnings from our equity method investments in after-tax equity method investment earnings outside of operating income following the deconsolidation of our coffee business. Refer to Note 1, </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xml:space="preserve"> in our Annual Report on Form 10-K for the year ended December 31, 2016 for more information.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During the first quarter of 2017, we recorded a $58 million gain on the settlement of a pre-acquisition Cadbury tax matter further disclosed in Note 11,</w:t>
      </w:r>
    </w:p>
    <w:p>
      <w:pPr>
        <w:spacing w:after="0" w:line="1"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1140" w:right="20" w:hanging="335"/>
        <w:spacing w:after="0" w:line="245" w:lineRule="auto"/>
        <w:tabs>
          <w:tab w:leader="none" w:pos="11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36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an acquisition and divestitures. We believe that Organic Net Revenue reflects the underlying growth from the ongoing activities of our business and provides improved comparability of results. We also evaluate our Organic Net Revenue growth from emerging markets and Power Brands, and these underlying measures are also reconciled to U.S. GAAP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40" w:type="dxa"/>
            <w:vAlign w:val="bottom"/>
            <w:gridSpan w:val="14"/>
          </w:tcPr>
          <w:p>
            <w:pPr>
              <w:jc w:val="center"/>
              <w:ind w:right="640"/>
              <w:spacing w:after="0"/>
              <w:rPr>
                <w:sz w:val="20"/>
                <w:szCs w:val="20"/>
                <w:color w:val="auto"/>
              </w:rPr>
            </w:pPr>
            <w:r>
              <w:rPr>
                <w:rFonts w:ascii="Arial" w:cs="Arial" w:eastAsia="Arial" w:hAnsi="Arial"/>
                <w:sz w:val="14"/>
                <w:szCs w:val="14"/>
                <w:b w:val="1"/>
                <w:bCs w:val="1"/>
                <w:color w:val="auto"/>
              </w:rPr>
              <w:t>For the Three Months Ended June 30, 2017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8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For the Three Months Ended June 30,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40" w:type="dxa"/>
            <w:vAlign w:val="bottom"/>
            <w:tcBorders>
              <w:top w:val="single" w:sz="8" w:color="auto"/>
            </w:tcBorders>
            <w:gridSpan w:val="5"/>
          </w:tcPr>
          <w:p>
            <w:pPr>
              <w:jc w:val="center"/>
              <w:ind w:right="420"/>
              <w:spacing w:after="0" w:line="143" w:lineRule="exact"/>
              <w:rPr>
                <w:sz w:val="20"/>
                <w:szCs w:val="20"/>
                <w:color w:val="auto"/>
              </w:rPr>
            </w:pPr>
            <w:r>
              <w:rPr>
                <w:rFonts w:ascii="Arial" w:cs="Arial" w:eastAsia="Arial" w:hAnsi="Arial"/>
                <w:sz w:val="14"/>
                <w:szCs w:val="14"/>
                <w:b w:val="1"/>
                <w:bCs w:val="1"/>
                <w:color w:val="auto"/>
              </w:rPr>
              <w:t>Emerging</w:t>
            </w:r>
          </w:p>
        </w:tc>
        <w:tc>
          <w:tcPr>
            <w:tcW w:w="1340" w:type="dxa"/>
            <w:vAlign w:val="bottom"/>
            <w:tcBorders>
              <w:top w:val="single" w:sz="8" w:color="auto"/>
            </w:tcBorders>
            <w:gridSpan w:val="5"/>
          </w:tcPr>
          <w:p>
            <w:pPr>
              <w:jc w:val="center"/>
              <w:ind w:right="340"/>
              <w:spacing w:after="0" w:line="143" w:lineRule="exact"/>
              <w:rPr>
                <w:sz w:val="20"/>
                <w:szCs w:val="20"/>
                <w:color w:val="auto"/>
              </w:rPr>
            </w:pPr>
            <w:r>
              <w:rPr>
                <w:rFonts w:ascii="Arial" w:cs="Arial" w:eastAsia="Arial" w:hAnsi="Arial"/>
                <w:sz w:val="14"/>
                <w:szCs w:val="14"/>
                <w:b w:val="1"/>
                <w:bCs w:val="1"/>
                <w:color w:val="auto"/>
              </w:rPr>
              <w:t>Developed</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540"/>
              <w:spacing w:after="0" w:line="143" w:lineRule="exact"/>
              <w:rPr>
                <w:sz w:val="20"/>
                <w:szCs w:val="20"/>
                <w:color w:val="auto"/>
              </w:rPr>
            </w:pPr>
            <w:r>
              <w:rPr>
                <w:rFonts w:ascii="Arial" w:cs="Arial" w:eastAsia="Arial" w:hAnsi="Arial"/>
                <w:sz w:val="14"/>
                <w:szCs w:val="14"/>
                <w:b w:val="1"/>
                <w:bCs w:val="1"/>
                <w:color w:val="auto"/>
              </w:rPr>
              <w:t>Emerging</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56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2,304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3,682</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5,986</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2,339</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3,963</w:t>
            </w:r>
          </w:p>
        </w:tc>
        <w:tc>
          <w:tcPr>
            <w:tcW w:w="4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(120)</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2,330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3,681</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6,011</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2,337</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3,843</w:t>
            </w:r>
          </w:p>
        </w:tc>
        <w:tc>
          <w:tcPr>
            <w:tcW w:w="4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jc w:val="center"/>
              <w:ind w:right="640"/>
              <w:spacing w:after="0"/>
              <w:rPr>
                <w:sz w:val="20"/>
                <w:szCs w:val="20"/>
                <w:color w:val="auto"/>
              </w:rPr>
            </w:pPr>
            <w:r>
              <w:rPr>
                <w:rFonts w:ascii="Arial" w:cs="Arial" w:eastAsia="Arial" w:hAnsi="Arial"/>
                <w:sz w:val="14"/>
                <w:szCs w:val="14"/>
                <w:b w:val="1"/>
                <w:bCs w:val="1"/>
                <w:color w:val="auto"/>
              </w:rPr>
              <w:t>For the Three Months Ended June 30,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rPr>
              <w:t xml:space="preserve">For the Three Months Ended June 30, 2016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620"/>
              <w:spacing w:after="0" w:line="143" w:lineRule="exact"/>
              <w:rPr>
                <w:sz w:val="20"/>
                <w:szCs w:val="20"/>
                <w:color w:val="auto"/>
              </w:rPr>
            </w:pPr>
            <w:r>
              <w:rPr>
                <w:rFonts w:ascii="Arial" w:cs="Arial" w:eastAsia="Arial" w:hAnsi="Arial"/>
                <w:sz w:val="14"/>
                <w:szCs w:val="14"/>
                <w:b w:val="1"/>
                <w:bCs w:val="1"/>
                <w:color w:val="auto"/>
              </w:rPr>
              <w:t>Power</w:t>
            </w:r>
          </w:p>
        </w:tc>
        <w:tc>
          <w:tcPr>
            <w:tcW w:w="1340" w:type="dxa"/>
            <w:vAlign w:val="bottom"/>
            <w:tcBorders>
              <w:top w:val="single" w:sz="8" w:color="auto"/>
            </w:tcBorders>
            <w:gridSpan w:val="5"/>
          </w:tcPr>
          <w:p>
            <w:pPr>
              <w:jc w:val="center"/>
              <w:ind w:right="340"/>
              <w:spacing w:after="0" w:line="143" w:lineRule="exact"/>
              <w:rPr>
                <w:sz w:val="20"/>
                <w:szCs w:val="20"/>
                <w:color w:val="auto"/>
              </w:rPr>
            </w:pPr>
            <w:r>
              <w:rPr>
                <w:rFonts w:ascii="Arial" w:cs="Arial" w:eastAsia="Arial" w:hAnsi="Arial"/>
                <w:sz w:val="14"/>
                <w:szCs w:val="14"/>
                <w:b w:val="1"/>
                <w:bCs w:val="1"/>
                <w:color w:val="auto"/>
              </w:rPr>
              <w:t>Non-Power</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680"/>
              <w:spacing w:after="0" w:line="143" w:lineRule="exact"/>
              <w:rPr>
                <w:sz w:val="20"/>
                <w:szCs w:val="20"/>
                <w:color w:val="auto"/>
              </w:rPr>
            </w:pPr>
            <w:r>
              <w:rPr>
                <w:rFonts w:ascii="Arial" w:cs="Arial" w:eastAsia="Arial" w:hAnsi="Arial"/>
                <w:sz w:val="14"/>
                <w:szCs w:val="14"/>
                <w:b w:val="1"/>
                <w:bCs w:val="1"/>
                <w:color w:val="auto"/>
                <w:w w:val="99"/>
              </w:rPr>
              <w:t>Power</w:t>
            </w:r>
          </w:p>
        </w:tc>
        <w:tc>
          <w:tcPr>
            <w:tcW w:w="1380" w:type="dxa"/>
            <w:vAlign w:val="bottom"/>
            <w:tcBorders>
              <w:top w:val="single" w:sz="8" w:color="auto"/>
            </w:tcBorders>
            <w:gridSpan w:val="3"/>
          </w:tcPr>
          <w:p>
            <w:pPr>
              <w:jc w:val="center"/>
              <w:ind w:right="46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5"/>
                <w:szCs w:val="15"/>
                <w:color w:val="auto"/>
              </w:rPr>
            </w:pPr>
          </w:p>
        </w:tc>
        <w:tc>
          <w:tcPr>
            <w:tcW w:w="11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Brands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4,295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1,691</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5,986</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4,426</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1,876</w:t>
            </w:r>
          </w:p>
        </w:tc>
        <w:tc>
          <w:tcPr>
            <w:tcW w:w="4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(122)</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2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b w:val="1"/>
                <w:bCs w:val="1"/>
                <w:color w:val="auto"/>
              </w:rPr>
              <w:t>4,348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b w:val="1"/>
                <w:bCs w:val="1"/>
                <w:color w:val="auto"/>
              </w:rPr>
              <w:t>1,663</w:t>
            </w: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6,011</w:t>
            </w:r>
          </w:p>
        </w:tc>
        <w:tc>
          <w:tcPr>
            <w:tcW w:w="18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48"/>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4,426</w:t>
            </w:r>
          </w:p>
        </w:tc>
        <w:tc>
          <w:tcPr>
            <w:tcW w:w="3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1,754</w:t>
            </w:r>
          </w:p>
        </w:tc>
        <w:tc>
          <w:tcPr>
            <w:tcW w:w="42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6,180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jc w:val="center"/>
              <w:ind w:right="300"/>
              <w:spacing w:after="0"/>
              <w:rPr>
                <w:sz w:val="20"/>
                <w:szCs w:val="20"/>
                <w:color w:val="auto"/>
              </w:rPr>
            </w:pPr>
            <w:r>
              <w:rPr>
                <w:rFonts w:ascii="Arial" w:cs="Arial" w:eastAsia="Arial" w:hAnsi="Arial"/>
                <w:sz w:val="14"/>
                <w:szCs w:val="14"/>
                <w:b w:val="1"/>
                <w:bCs w:val="1"/>
                <w:color w:val="auto"/>
              </w:rPr>
              <w:t>For the Six Months Ended June 30,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rPr>
              <w:t>For the Six Months Ended June 30,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rPr>
              <w:t>Emerging</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Developed</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520"/>
              <w:spacing w:after="0" w:line="143" w:lineRule="exact"/>
              <w:rPr>
                <w:sz w:val="20"/>
                <w:szCs w:val="20"/>
                <w:color w:val="auto"/>
              </w:rPr>
            </w:pPr>
            <w:r>
              <w:rPr>
                <w:rFonts w:ascii="Arial" w:cs="Arial" w:eastAsia="Arial" w:hAnsi="Arial"/>
                <w:sz w:val="14"/>
                <w:szCs w:val="14"/>
                <w:b w:val="1"/>
                <w:bCs w:val="1"/>
                <w:color w:val="auto"/>
              </w:rPr>
              <w:t>Emerging</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Developed</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Markets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4,706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7,694</w:t>
            </w:r>
          </w:p>
        </w:tc>
        <w:tc>
          <w:tcPr>
            <w:tcW w:w="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12,400</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4,642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8,115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(241)</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4,714</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7,675</w:t>
            </w:r>
          </w:p>
        </w:tc>
        <w:tc>
          <w:tcPr>
            <w:tcW w:w="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12,389</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4,638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7,874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jc w:val="center"/>
              <w:ind w:right="300"/>
              <w:spacing w:after="0"/>
              <w:rPr>
                <w:sz w:val="20"/>
                <w:szCs w:val="20"/>
                <w:color w:val="auto"/>
              </w:rPr>
            </w:pPr>
            <w:r>
              <w:rPr>
                <w:rFonts w:ascii="Arial" w:cs="Arial" w:eastAsia="Arial" w:hAnsi="Arial"/>
                <w:sz w:val="14"/>
                <w:szCs w:val="14"/>
                <w:b w:val="1"/>
                <w:bCs w:val="1"/>
                <w:color w:val="auto"/>
              </w:rPr>
              <w:t>For the Six Months Ended June 30,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 xml:space="preserve">For the Six Months Ended June 30, 2016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340"/>
              <w:spacing w:after="0" w:line="143" w:lineRule="exact"/>
              <w:rPr>
                <w:sz w:val="20"/>
                <w:szCs w:val="20"/>
                <w:color w:val="auto"/>
              </w:rPr>
            </w:pPr>
            <w:r>
              <w:rPr>
                <w:rFonts w:ascii="Arial" w:cs="Arial" w:eastAsia="Arial" w:hAnsi="Arial"/>
                <w:sz w:val="14"/>
                <w:szCs w:val="14"/>
                <w:b w:val="1"/>
                <w:bCs w:val="1"/>
                <w:color w:val="auto"/>
              </w:rPr>
              <w:t>Power</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280"/>
              <w:spacing w:after="0" w:line="143" w:lineRule="exact"/>
              <w:rPr>
                <w:sz w:val="20"/>
                <w:szCs w:val="20"/>
                <w:color w:val="auto"/>
              </w:rPr>
            </w:pPr>
            <w:r>
              <w:rPr>
                <w:rFonts w:ascii="Arial" w:cs="Arial" w:eastAsia="Arial" w:hAnsi="Arial"/>
                <w:sz w:val="14"/>
                <w:szCs w:val="14"/>
                <w:b w:val="1"/>
                <w:bCs w:val="1"/>
                <w:color w:val="auto"/>
              </w:rPr>
              <w:t>Non-Power</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ind w:right="520"/>
              <w:spacing w:after="0" w:line="143" w:lineRule="exact"/>
              <w:rPr>
                <w:sz w:val="20"/>
                <w:szCs w:val="20"/>
                <w:color w:val="auto"/>
              </w:rPr>
            </w:pPr>
            <w:r>
              <w:rPr>
                <w:rFonts w:ascii="Arial" w:cs="Arial" w:eastAsia="Arial" w:hAnsi="Arial"/>
                <w:sz w:val="14"/>
                <w:szCs w:val="14"/>
                <w:b w:val="1"/>
                <w:bCs w:val="1"/>
                <w:color w:val="auto"/>
                <w:w w:val="99"/>
              </w:rPr>
              <w:t>Power</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Non-Power</w:t>
            </w: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Brands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Brands</w:t>
            </w:r>
          </w:p>
        </w:tc>
        <w:tc>
          <w:tcPr>
            <w:tcW w:w="100" w:type="dxa"/>
            <w:vAlign w:val="bottom"/>
          </w:tcPr>
          <w:p>
            <w:pPr>
              <w:spacing w:after="0"/>
              <w:rPr>
                <w:sz w:val="15"/>
                <w:szCs w:val="15"/>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Brands</w:t>
            </w:r>
          </w:p>
        </w:tc>
        <w:tc>
          <w:tcPr>
            <w:tcW w:w="22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center"/>
              <w:ind w:right="10"/>
              <w:spacing w:after="0" w:line="155" w:lineRule="exact"/>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9,013</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3,387</w:t>
            </w:r>
          </w:p>
        </w:tc>
        <w:tc>
          <w:tcPr>
            <w:tcW w:w="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12,400</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9,070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3,687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currency</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acquisition</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ind w:left="160"/>
              <w:spacing w:after="0" w:line="202" w:lineRule="exact"/>
              <w:rPr>
                <w:sz w:val="20"/>
                <w:szCs w:val="20"/>
                <w:color w:val="auto"/>
              </w:rPr>
            </w:pPr>
            <w:r>
              <w:rPr>
                <w:rFonts w:ascii="Arial" w:cs="Arial" w:eastAsia="Arial" w:hAnsi="Arial"/>
                <w:sz w:val="18"/>
                <w:szCs w:val="18"/>
                <w:color w:val="auto"/>
              </w:rPr>
              <w:t>Impact of divestitures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(245)</w:t>
            </w:r>
          </w:p>
        </w:tc>
        <w:tc>
          <w:tcPr>
            <w:tcW w:w="2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Organic Net Revenue</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9,108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3,281</w:t>
            </w:r>
          </w:p>
        </w:tc>
        <w:tc>
          <w:tcPr>
            <w:tcW w:w="3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12,389</w:t>
            </w:r>
          </w:p>
        </w:tc>
        <w:tc>
          <w:tcPr>
            <w:tcW w:w="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60" w:type="dxa"/>
            <w:vAlign w:val="bottom"/>
            <w:tcBorders>
              <w:right w:val="single" w:sz="8" w:color="CCEEFF"/>
            </w:tcBorders>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9,070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3,442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jc w:val="both"/>
        <w:ind w:left="340" w:right="200" w:hanging="332"/>
        <w:spacing w:after="0" w:line="25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Each year we reevaluate our Power Brands and confirm the brands in which we will continue to make disproportionate investments. As such, we may make changes in our planned investments in primarily regional Power Brands following our annual review cycles. For 2017, we made limited changes to our list of regional Power Brands and as such, we reclassified 2016 Power Brand net revenues on a basis consistent with the current list of Power Brands.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1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2014-2018 Restructuring Program costs; divestiture-related costs incurred for the sale of a confectionery business in France and the sale of a grocery business in Australia; impairment charges related to intangible assets; other acquisition integration costs; the operating results of divestitures; loss on divestiture; mark-to-market impacts from commodity and forecasted currency transaction derivative contracts; incremental expenses related to the malware incident; gain on sale of intangible assets and the benefit from the settlement of a Cadbury tax matter. We also present “Adjusted Operating Income margin,” which is subject to the same adjustments as Adjusted Operating Income, and evaluate Adjusted Operating Income on a constant currency basis. We believe these measures provide improved comparability of underlying operating results.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1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641</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638</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3</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228</w:t>
            </w:r>
          </w:p>
        </w:tc>
        <w:tc>
          <w:tcPr>
            <w:tcW w:w="28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(80)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(2)</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losses/(gains) from derivatives </w:t>
            </w:r>
            <w:r>
              <w:rPr>
                <w:rFonts w:ascii="Arial" w:cs="Arial" w:eastAsia="Arial" w:hAnsi="Arial"/>
                <w:sz w:val="15"/>
                <w:szCs w:val="15"/>
                <w:color w:val="auto"/>
              </w:rPr>
              <w:t>(5)</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(6)</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Other/rounding</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w:t>
            </w:r>
          </w:p>
        </w:tc>
        <w:tc>
          <w:tcPr>
            <w:tcW w:w="8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54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w:t>
            </w:r>
          </w:p>
        </w:tc>
        <w:tc>
          <w:tcPr>
            <w:tcW w:w="5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5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0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rPr>
              <w:t>For the Six Months Ended</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left="613"/>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Income</w:t>
            </w:r>
          </w:p>
        </w:tc>
        <w:tc>
          <w:tcPr>
            <w:tcW w:w="11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1,481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1,360</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(1)</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465</w:t>
            </w:r>
          </w:p>
        </w:tc>
        <w:tc>
          <w:tcPr>
            <w:tcW w:w="280" w:type="dxa"/>
            <w:vAlign w:val="bottom"/>
          </w:tcPr>
          <w:p>
            <w:pPr>
              <w:spacing w:after="0"/>
              <w:rPr>
                <w:sz w:val="17"/>
                <w:szCs w:val="17"/>
                <w:color w:val="auto"/>
              </w:rPr>
            </w:pPr>
          </w:p>
        </w:tc>
        <w:tc>
          <w:tcPr>
            <w:tcW w:w="12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(3)</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(4)</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15"/>
                <w:szCs w:val="15"/>
                <w:color w:val="auto"/>
              </w:rPr>
              <w:t>(2)</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(5)</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37</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60</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Gain on sale of intangible assets </w:t>
            </w:r>
            <w:r>
              <w:rPr>
                <w:rFonts w:ascii="Arial" w:cs="Arial" w:eastAsia="Arial" w:hAnsi="Arial"/>
                <w:sz w:val="15"/>
                <w:szCs w:val="15"/>
                <w:color w:val="auto"/>
              </w:rPr>
              <w:t>(6)</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(6)</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4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Benefit from the settlement of a</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Cadbury tax matter </w:t>
            </w:r>
            <w:r>
              <w:rPr>
                <w:rFonts w:ascii="Arial" w:cs="Arial" w:eastAsia="Arial" w:hAnsi="Arial"/>
                <w:sz w:val="15"/>
                <w:szCs w:val="15"/>
                <w:color w:val="auto"/>
              </w:rPr>
              <w:t>(7)</w:t>
            </w: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Other/rounding</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1,988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1,922</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66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73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Operating Income (constant currency)</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2,061</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b w:val="1"/>
                <w:bCs w:val="1"/>
                <w:color w:val="auto"/>
              </w:rPr>
              <w:t>1,922</w:t>
            </w: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140" w:hanging="335"/>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2014-2018 Restructuring Program</w:t>
      </w:r>
      <w:r>
        <w:rPr>
          <w:rFonts w:ascii="Arial" w:cs="Arial" w:eastAsia="Arial" w:hAnsi="Arial"/>
          <w:sz w:val="14"/>
          <w:szCs w:val="14"/>
          <w:color w:val="auto"/>
        </w:rPr>
        <w:t>, for more information.</w:t>
      </w:r>
    </w:p>
    <w:p>
      <w:pPr>
        <w:spacing w:after="0" w:line="15"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xml:space="preserve"> for more information on the 2017 sales of a confectionery business in France and a grocery business in Australia and New Zealand. Note that we completed the sale of most of our grocery business in Australia and New Zealand on July 4, 2017 and we have also removed the historical operating results of the business for all periods presented. Refer to our Annual Report on Form 10-K for the year ended December 31, 2016 for more information on the 2016 sale of a confectionery business in Costa Rica.</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impairment charges recorded in 2017 and 2016 related to trademarks.</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2016, for more information on the acquisition of a biscuit business in Vietnam.</w:t>
      </w:r>
    </w:p>
    <w:p>
      <w:pPr>
        <w:spacing w:after="0" w:line="1" w:lineRule="exact"/>
        <w:rPr>
          <w:rFonts w:ascii="Arial" w:cs="Arial" w:eastAsia="Arial" w:hAnsi="Arial"/>
          <w:sz w:val="14"/>
          <w:szCs w:val="14"/>
          <w:color w:val="auto"/>
        </w:rPr>
      </w:pPr>
    </w:p>
    <w:p>
      <w:pPr>
        <w:ind w:left="1140" w:right="40" w:hanging="335"/>
        <w:spacing w:after="0" w:line="241" w:lineRule="auto"/>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15,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appearing earlier in this section for more information on these unrealized losses/gains on commodity and forecasted currency transaction derivatives.</w:t>
      </w:r>
    </w:p>
    <w:p>
      <w:pPr>
        <w:ind w:left="1140" w:hanging="335"/>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2016 intangible asset sale in Finland.</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Refer to Note 11, Commitments and Contingencies </w:t>
      </w:r>
      <w:r>
        <w:rPr>
          <w:rFonts w:ascii="Arial" w:cs="Arial" w:eastAsia="Arial" w:hAnsi="Arial"/>
          <w:sz w:val="14"/>
          <w:szCs w:val="14"/>
          <w:i w:val="1"/>
          <w:iCs w:val="1"/>
          <w:color w:val="auto"/>
        </w:rPr>
        <w:t>– Tax Matters</w:t>
      </w:r>
      <w:r>
        <w:rPr>
          <w:rFonts w:ascii="Arial" w:cs="Arial" w:eastAsia="Arial" w:hAnsi="Arial"/>
          <w:sz w:val="14"/>
          <w:szCs w:val="14"/>
          <w:color w:val="auto"/>
        </w:rPr>
        <w:t>, for more information on the benefit from the settlement of a Cadbury tax matter.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15"/>
          <w:szCs w:val="15"/>
          <w:color w:val="auto"/>
        </w:rPr>
        <w:t>(1)</w:t>
      </w:r>
      <w:r>
        <w:rPr>
          <w:rFonts w:ascii="Arial" w:cs="Arial" w:eastAsia="Arial" w:hAnsi="Arial"/>
          <w:sz w:val="18"/>
          <w:szCs w:val="18"/>
          <w:color w:val="auto"/>
        </w:rPr>
        <w:t>, the adjustments made to “diluted EPS attributable to Mondelēz International” (the most comparable U.S. GAAP financial measure) were to exclude 2014-2018 Restructuring Program costs; divestiture-related costs incurred for the sale of a confectionery business in France and the sale of a grocery business in Australia; impairment charges related to intangible assets; acquisition integration costs; net earnings from divestiture; loss on divestiture; mark-to-market impacts from commodity and forecasted currency transaction derivative contracts; incremental expenses related to the malware incident; losses on interest rate swaps no longer designated as accounting cash flow hedges due to changed financing and hedging plans; losses on debt extinguishment and related expenses; the benefit from the settlement of a Cadbury tax matter; gain on the equity method investment exchange;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For the Three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0.32</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0.29</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0.03</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0.10</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0.11</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15"/>
                <w:szCs w:val="15"/>
                <w:color w:val="auto"/>
              </w:rPr>
              <w:t>(2)</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(4)</w:t>
            </w: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5"/>
                <w:szCs w:val="15"/>
                <w:color w:val="auto"/>
              </w:rPr>
              <w:t>(5)</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Adjusted EPS</w:t>
            </w:r>
          </w:p>
        </w:tc>
        <w:tc>
          <w:tcPr>
            <w:tcW w:w="10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0.48</w:t>
            </w:r>
          </w:p>
        </w:tc>
        <w:tc>
          <w:tcPr>
            <w:tcW w:w="4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460" w:type="dxa"/>
            <w:vAlign w:val="bottom"/>
          </w:tcPr>
          <w:p>
            <w:pPr>
              <w:spacing w:after="0"/>
              <w:rPr>
                <w:sz w:val="18"/>
                <w:szCs w:val="18"/>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Adjusted EPS (constant currency)</w:t>
            </w:r>
          </w:p>
        </w:tc>
        <w:tc>
          <w:tcPr>
            <w:tcW w:w="10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0.51</w:t>
            </w:r>
          </w:p>
        </w:tc>
        <w:tc>
          <w:tcPr>
            <w:tcW w:w="4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4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60" w:type="dxa"/>
            <w:vAlign w:val="bottom"/>
            <w:vMerge w:val="restart"/>
          </w:tcPr>
          <w:p>
            <w:pPr>
              <w:jc w:val="right"/>
              <w:ind w:right="90"/>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Six Months Ended</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EPS attributable to Mondelēz International</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0.73</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0.64</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0.09</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2014-2018 Restructuring Program costs </w:t>
            </w:r>
            <w:r>
              <w:rPr>
                <w:rFonts w:ascii="Arial" w:cs="Arial" w:eastAsia="Arial" w:hAnsi="Arial"/>
                <w:sz w:val="15"/>
                <w:szCs w:val="15"/>
                <w:color w:val="auto"/>
              </w:rPr>
              <w:t>(2)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0.21</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0.22</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15"/>
                <w:szCs w:val="15"/>
                <w:color w:val="auto"/>
              </w:rPr>
              <w:t>(2)</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15"/>
                <w:szCs w:val="15"/>
                <w:color w:val="auto"/>
              </w:rPr>
              <w:t>(2)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15"/>
                <w:szCs w:val="15"/>
                <w:color w:val="auto"/>
              </w:rPr>
              <w:t>(2)</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15"/>
                <w:szCs w:val="15"/>
                <w:color w:val="auto"/>
              </w:rPr>
              <w:t>(2)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(0.02)</w:t>
            </w:r>
          </w:p>
        </w:tc>
        <w:tc>
          <w:tcPr>
            <w:tcW w:w="220" w:type="dxa"/>
            <w:vAlign w:val="bottom"/>
          </w:tcPr>
          <w:p>
            <w:pPr>
              <w:spacing w:after="0"/>
              <w:rPr>
                <w:sz w:val="17"/>
                <w:szCs w:val="17"/>
                <w:color w:val="auto"/>
              </w:rPr>
            </w:pP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on divestiture </w:t>
            </w:r>
            <w:r>
              <w:rPr>
                <w:rFonts w:ascii="Arial" w:cs="Arial" w:eastAsia="Arial" w:hAnsi="Arial"/>
                <w:sz w:val="15"/>
                <w:szCs w:val="15"/>
                <w:color w:val="auto"/>
              </w:rPr>
              <w:t>(2)</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15"/>
                <w:szCs w:val="15"/>
                <w:color w:val="auto"/>
              </w:rPr>
              <w:t>(2)</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0.06</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Malware incident incremental expenses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15"/>
                <w:szCs w:val="15"/>
                <w:color w:val="auto"/>
              </w:rPr>
              <w:t>(3)</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(0.04)</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5"/>
                <w:szCs w:val="15"/>
                <w:color w:val="auto"/>
              </w:rPr>
              <w:t>(4)</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Pr>
          <w:p>
            <w:pPr>
              <w:ind w:left="160"/>
              <w:spacing w:after="0" w:line="199" w:lineRule="exact"/>
              <w:rPr>
                <w:sz w:val="20"/>
                <w:szCs w:val="20"/>
                <w:color w:val="auto"/>
              </w:rPr>
            </w:pPr>
            <w:r>
              <w:rPr>
                <w:rFonts w:ascii="Arial" w:cs="Arial" w:eastAsia="Arial" w:hAnsi="Arial"/>
                <w:sz w:val="18"/>
                <w:szCs w:val="18"/>
                <w:color w:val="auto"/>
              </w:rPr>
              <w:t>Benefit from the settlement of a</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 xml:space="preserve">Cadbury tax matter </w:t>
            </w:r>
            <w:r>
              <w:rPr>
                <w:rFonts w:ascii="Arial" w:cs="Arial" w:eastAsia="Arial" w:hAnsi="Arial"/>
                <w:sz w:val="15"/>
                <w:szCs w:val="15"/>
                <w:color w:val="auto"/>
              </w:rPr>
              <w:t>(2)</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9"/>
                <w:szCs w:val="19"/>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 xml:space="preserve">Gain on equity method investment exchange </w:t>
            </w:r>
            <w:r>
              <w:rPr>
                <w:rFonts w:ascii="Arial" w:cs="Arial" w:eastAsia="Arial" w:hAnsi="Arial"/>
                <w:sz w:val="15"/>
                <w:szCs w:val="15"/>
                <w:color w:val="auto"/>
              </w:rPr>
              <w:t>(6)</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Pr>
          <w:p>
            <w:pPr>
              <w:ind w:left="160"/>
              <w:spacing w:after="0" w:line="199" w:lineRule="exact"/>
              <w:rPr>
                <w:sz w:val="20"/>
                <w:szCs w:val="20"/>
                <w:color w:val="auto"/>
              </w:rPr>
            </w:pPr>
            <w:r>
              <w:rPr>
                <w:rFonts w:ascii="Arial" w:cs="Arial" w:eastAsia="Arial" w:hAnsi="Arial"/>
                <w:sz w:val="18"/>
                <w:szCs w:val="18"/>
                <w:color w:val="auto"/>
              </w:rPr>
              <w:t>Equity method investee acquisition-related and</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5"/>
                <w:szCs w:val="15"/>
                <w:color w:val="auto"/>
              </w:rPr>
              <w:t>(5)</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1.01</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0.09</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tcPr>
          <w:p>
            <w:pPr>
              <w:ind w:left="160"/>
              <w:spacing w:after="0" w:line="202" w:lineRule="exact"/>
              <w:rPr>
                <w:sz w:val="20"/>
                <w:szCs w:val="20"/>
                <w:color w:val="auto"/>
              </w:rPr>
            </w:pPr>
            <w:r>
              <w:rPr>
                <w:rFonts w:ascii="Arial" w:cs="Arial" w:eastAsia="Arial" w:hAnsi="Arial"/>
                <w:sz w:val="18"/>
                <w:szCs w:val="18"/>
                <w:color w:val="auto"/>
              </w:rPr>
              <w:t>Impact of unfavorable currency</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22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0.03</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EPS (constant currency)</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1.04</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0.92</w:t>
            </w: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2" w:lineRule="exact"/>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0.12</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right="2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ind w:left="1460" w:right="20" w:hanging="318"/>
        <w:spacing w:after="0" w:line="241" w:lineRule="auto"/>
        <w:tabs>
          <w:tab w:leader="none" w:pos="14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three months ended June 30, 2017, taxes on the 2014-2018 Restructuring Program costs were $(58) million, taxes on intangible asset impairment charges were $(14) million, taxes on loss on debt extinguishment were $(4) million, taxes included in net earnings from divestitures were $4 million, taxes on divestiture-related costs were $(2) million, taxes on loss on divestiture were $4 million and taxes on equity method investee adjustments were $(2) million.</w:t>
      </w:r>
    </w:p>
    <w:p>
      <w:pPr>
        <w:spacing w:after="0" w:line="1" w:lineRule="exact"/>
        <w:rPr>
          <w:rFonts w:ascii="Arial" w:cs="Arial" w:eastAsia="Arial" w:hAnsi="Arial"/>
          <w:sz w:val="14"/>
          <w:szCs w:val="14"/>
          <w:color w:val="auto"/>
        </w:rPr>
      </w:pPr>
    </w:p>
    <w:p>
      <w:pPr>
        <w:ind w:left="1460" w:right="60" w:hanging="318"/>
        <w:spacing w:after="0" w:line="241" w:lineRule="auto"/>
        <w:tabs>
          <w:tab w:leader="none" w:pos="14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three months ended June 30, 2016, taxes on the 2014-2018 Restructuring Program costs were $(58) million, taxes on divestiture-related costs were $(20) million, taxes on mark-to-market gains from derivatives were $8 million, taxes included in net earnings from divestitures were $4 million and taxes on intangible asset impairment charges were $(3) million.</w:t>
      </w:r>
    </w:p>
    <w:p>
      <w:pPr>
        <w:spacing w:after="0" w:line="1" w:lineRule="exact"/>
        <w:rPr>
          <w:rFonts w:ascii="Arial" w:cs="Arial" w:eastAsia="Arial" w:hAnsi="Arial"/>
          <w:sz w:val="14"/>
          <w:szCs w:val="14"/>
          <w:color w:val="auto"/>
        </w:rPr>
      </w:pPr>
    </w:p>
    <w:p>
      <w:pPr>
        <w:ind w:left="1460" w:right="100" w:hanging="318"/>
        <w:spacing w:after="0" w:line="241" w:lineRule="auto"/>
        <w:tabs>
          <w:tab w:leader="none" w:pos="14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six months ended June 30, 2017, taxes on the 2014-2018 Restructuring Program costs were $(106) million, taxes on intangible asset impairment charges were $(14) million, taxes included in net earnings from divestitures were $9 million, taxes on equity method investee adjustments were $(6) million, taxes on loss on debt extinguishment were $(4) million, taxes on divestiture-related costs were $(5) million, taxes on loss on divestiture were $4 million and taxes on mark-to-market losses from derivatives were $3 million.</w:t>
      </w:r>
    </w:p>
    <w:p>
      <w:pPr>
        <w:spacing w:after="0" w:line="1" w:lineRule="exact"/>
        <w:rPr>
          <w:rFonts w:ascii="Arial" w:cs="Arial" w:eastAsia="Arial" w:hAnsi="Arial"/>
          <w:sz w:val="14"/>
          <w:szCs w:val="14"/>
          <w:color w:val="auto"/>
        </w:rPr>
      </w:pPr>
    </w:p>
    <w:p>
      <w:pPr>
        <w:ind w:left="1460" w:right="220" w:hanging="318"/>
        <w:spacing w:after="0" w:line="241" w:lineRule="auto"/>
        <w:tabs>
          <w:tab w:leader="none" w:pos="146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For the six months ended June 30, 2016, taxes on the 2014-2018 Restructuring Program costs were $(117) million, taxes on loss related to interest rate swaps were $(35) million, taxes on divestiture-related costs were $(20) million, taxes included in net earnings from divestitures were $10 million, taxes on intangible asset impairment charges were $(8) million, taxes on the gain on equity method investment exchange were $2 million and taxes on mark-to-market losses from derivatives were $(2) million.</w:t>
      </w:r>
    </w:p>
    <w:p>
      <w:pPr>
        <w:spacing w:after="0" w:line="1" w:lineRule="exact"/>
        <w:rPr>
          <w:rFonts w:ascii="Arial" w:cs="Arial" w:eastAsia="Arial" w:hAnsi="Arial"/>
          <w:sz w:val="14"/>
          <w:szCs w:val="14"/>
          <w:color w:val="auto"/>
        </w:rPr>
      </w:pP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1140" w:right="2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more information on our interest rate swaps, which we no longer designate as cash flow hedges during the first quarter of 2016 due to changes in financing and hedging plans.</w:t>
      </w:r>
    </w:p>
    <w:p>
      <w:pPr>
        <w:ind w:left="1140" w:right="20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our loss on debt extinguishment and related expenses in connection with our debt discharge.</w:t>
      </w:r>
    </w:p>
    <w:p>
      <w:pPr>
        <w:ind w:left="1140" w:right="220" w:hanging="335"/>
        <w:spacing w:after="0" w:line="241" w:lineRule="auto"/>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 recorded by our JDE and Keurig equity method investees.</w:t>
      </w:r>
    </w:p>
    <w:p>
      <w:pPr>
        <w:ind w:left="1140" w:hanging="335"/>
        <w:spacing w:after="0"/>
        <w:tabs>
          <w:tab w:leader="none" w:pos="11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 – Keurig Transaction</w:t>
      </w:r>
      <w:r>
        <w:rPr>
          <w:rFonts w:ascii="Arial" w:cs="Arial" w:eastAsia="Arial" w:hAnsi="Arial"/>
          <w:sz w:val="14"/>
          <w:szCs w:val="14"/>
          <w:color w:val="auto"/>
        </w:rPr>
        <w:t>, for more information on the 2016 acquisition of an interest in Keurig.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six months ended June 30, 2017. For additional information on the impact of currency policies, Brexit and recent currency volatility on our financial condition and results of operations, also see Note 1, </w:t>
      </w:r>
      <w:r>
        <w:rPr>
          <w:rFonts w:ascii="Arial" w:cs="Arial" w:eastAsia="Arial" w:hAnsi="Arial"/>
          <w:sz w:val="18"/>
          <w:szCs w:val="18"/>
          <w:i w:val="1"/>
          <w:iCs w:val="1"/>
          <w:color w:val="auto"/>
        </w:rPr>
        <w:t>Basis of Presentation – Currency Translation and Highly Inflationary</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w:t>
      </w:r>
    </w:p>
    <w:p>
      <w:pPr>
        <w:spacing w:after="0" w:line="20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London Interbank Offered Rates (“LIBOR”), Euro Interbank Offered Rate (“EURIBOR”) and commercial paper rates. We periodically use interest rate swaps and forward interest rate contracts to achieve a desired proportion of variable versus fixed rate debt based on current and projected market conditions. Our weighted-average interest rate on total debt was 2.1% as of June 30, 2017 and 2.2% as of December 31, 2016. For more information on our 2017 debt activity, see Note 7,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in the types of derivative instruments we use to hedge our exposures between</w:t>
      </w:r>
    </w:p>
    <w:p>
      <w:pPr>
        <w:ind w:right="140"/>
        <w:spacing w:after="0"/>
        <w:rPr>
          <w:sz w:val="20"/>
          <w:szCs w:val="20"/>
          <w:color w:val="auto"/>
        </w:rPr>
      </w:pPr>
      <w:r>
        <w:rPr>
          <w:rFonts w:ascii="Arial" w:cs="Arial" w:eastAsia="Arial" w:hAnsi="Arial"/>
          <w:sz w:val="18"/>
          <w:szCs w:val="18"/>
          <w:color w:val="auto"/>
        </w:rPr>
        <w:t xml:space="preserve">December 31, 2016 and June 30, 2017. See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2017 derivative activity. For additional information on our hedging strategies, policies and practices on an ongoing basis, also refer to our Annual Report on Form 10-K for the year ended December 31, 2016.</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June 30, 2017. Based on this evaluation, the CEO and CFO concluded that our disclosure controls and procedures were effective as of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2017. During the quarter ended June 30, 2017, due to the malware incident, we supplemented or temporarily replaced some of our normal control procedures in order to maintain our existing IT and financial controls over financial reporting. Additionally, we continued to work with outsourced partners to further simplify and standardize processes and focus on scalable, transactional processes across all regions. We migrated some of our human resource processes, including compensation administration, for a number of countries in AMEA and Europe to our shared service centers in Manila, Philippines and the U.K. Additionally, we continued to transition some of our transactional data processing as well as financial and local tax reporting for a number of countries across all regions to three outsourced partners.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June 30, 2017, that have materially affected, or are reasonably likely to materially affect, our internal control over financial reporting.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 xml:space="preserve">Information regarding legal proceedings is available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June 30, 2017 was: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Issuer Purchases of Equity Securities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8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Average</w:t>
            </w: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 Part of Publicly</w:t>
            </w:r>
          </w:p>
        </w:tc>
        <w:tc>
          <w:tcPr>
            <w:tcW w:w="8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Shares That May Yet</w:t>
            </w:r>
          </w:p>
        </w:tc>
        <w:tc>
          <w:tcPr>
            <w:tcW w:w="0" w:type="dxa"/>
            <w:vAlign w:val="bottom"/>
          </w:tcPr>
          <w:p>
            <w:pPr>
              <w:spacing w:after="0"/>
              <w:rPr>
                <w:sz w:val="1"/>
                <w:szCs w:val="1"/>
                <w:color w:val="auto"/>
              </w:rPr>
            </w:pPr>
          </w:p>
        </w:tc>
      </w:tr>
      <w:tr>
        <w:trPr>
          <w:trHeight w:val="172"/>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 Paid</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Announced Plans</w:t>
            </w:r>
          </w:p>
        </w:tc>
        <w:tc>
          <w:tcPr>
            <w:tcW w:w="80" w:type="dxa"/>
            <w:vAlign w:val="bottom"/>
          </w:tcPr>
          <w:p>
            <w:pPr>
              <w:spacing w:after="0"/>
              <w:rPr>
                <w:sz w:val="14"/>
                <w:szCs w:val="14"/>
                <w:color w:val="auto"/>
              </w:rPr>
            </w:pPr>
          </w:p>
        </w:tc>
        <w:tc>
          <w:tcPr>
            <w:tcW w:w="1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Be Purchased Under the</w:t>
            </w:r>
          </w:p>
        </w:tc>
        <w:tc>
          <w:tcPr>
            <w:tcW w:w="0" w:type="dxa"/>
            <w:vAlign w:val="bottom"/>
          </w:tcPr>
          <w:p>
            <w:pPr>
              <w:spacing w:after="0"/>
              <w:rPr>
                <w:sz w:val="1"/>
                <w:szCs w:val="1"/>
                <w:color w:val="auto"/>
              </w:rPr>
            </w:pPr>
          </w:p>
        </w:tc>
      </w:tr>
      <w:tr>
        <w:trPr>
          <w:trHeight w:val="172"/>
        </w:trPr>
        <w:tc>
          <w:tcPr>
            <w:tcW w:w="4120" w:type="dxa"/>
            <w:vAlign w:val="bottom"/>
            <w:gridSpan w:val="3"/>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19"/>
                <w:szCs w:val="19"/>
                <w:b w:val="1"/>
                <w:bCs w:val="1"/>
                <w:color w:val="auto"/>
                <w:vertAlign w:val="superscript"/>
              </w:rPr>
              <w:t>(1)</w:t>
            </w:r>
          </w:p>
        </w:tc>
        <w:tc>
          <w:tcPr>
            <w:tcW w:w="440" w:type="dxa"/>
            <w:vAlign w:val="bottom"/>
          </w:tcPr>
          <w:p>
            <w:pPr>
              <w:spacing w:after="0"/>
              <w:rPr>
                <w:sz w:val="14"/>
                <w:szCs w:val="14"/>
                <w:color w:val="auto"/>
              </w:rPr>
            </w:pPr>
          </w:p>
        </w:tc>
        <w:tc>
          <w:tcPr>
            <w:tcW w:w="1460" w:type="dxa"/>
            <w:vAlign w:val="bottom"/>
            <w:gridSpan w:val="3"/>
          </w:tcPr>
          <w:p>
            <w:pPr>
              <w:jc w:val="center"/>
              <w:ind w:right="440"/>
              <w:spacing w:after="0" w:line="165" w:lineRule="exact"/>
              <w:rPr>
                <w:sz w:val="20"/>
                <w:szCs w:val="20"/>
                <w:color w:val="auto"/>
              </w:rPr>
            </w:pPr>
            <w:r>
              <w:rPr>
                <w:rFonts w:ascii="Arial" w:cs="Arial" w:eastAsia="Arial" w:hAnsi="Arial"/>
                <w:sz w:val="12"/>
                <w:szCs w:val="12"/>
                <w:b w:val="1"/>
                <w:bCs w:val="1"/>
                <w:color w:val="auto"/>
              </w:rPr>
              <w:t xml:space="preserve">per Share </w:t>
            </w:r>
            <w:r>
              <w:rPr>
                <w:rFonts w:ascii="Arial" w:cs="Arial" w:eastAsia="Arial" w:hAnsi="Arial"/>
                <w:sz w:val="19"/>
                <w:szCs w:val="19"/>
                <w:b w:val="1"/>
                <w:bCs w:val="1"/>
                <w:color w:val="auto"/>
                <w:vertAlign w:val="superscript"/>
              </w:rPr>
              <w:t>(1)</w:t>
            </w:r>
          </w:p>
        </w:tc>
        <w:tc>
          <w:tcPr>
            <w:tcW w:w="1640" w:type="dxa"/>
            <w:vAlign w:val="bottom"/>
            <w:gridSpan w:val="2"/>
          </w:tcPr>
          <w:p>
            <w:pPr>
              <w:jc w:val="center"/>
              <w:ind w:right="400"/>
              <w:spacing w:after="0" w:line="165" w:lineRule="exact"/>
              <w:rPr>
                <w:sz w:val="20"/>
                <w:szCs w:val="20"/>
                <w:color w:val="auto"/>
              </w:rPr>
            </w:pPr>
            <w:r>
              <w:rPr>
                <w:rFonts w:ascii="Arial" w:cs="Arial" w:eastAsia="Arial" w:hAnsi="Arial"/>
                <w:sz w:val="12"/>
                <w:szCs w:val="12"/>
                <w:b w:val="1"/>
                <w:bCs w:val="1"/>
                <w:color w:val="auto"/>
              </w:rPr>
              <w:t xml:space="preserve">or Programs </w:t>
            </w:r>
            <w:r>
              <w:rPr>
                <w:rFonts w:ascii="Arial" w:cs="Arial" w:eastAsia="Arial" w:hAnsi="Arial"/>
                <w:sz w:val="19"/>
                <w:szCs w:val="19"/>
                <w:b w:val="1"/>
                <w:bCs w:val="1"/>
                <w:color w:val="auto"/>
                <w:vertAlign w:val="superscript"/>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80"/>
              <w:spacing w:after="0" w:line="165"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1-30, 2017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4,410,982</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44.44</w:t>
            </w:r>
          </w:p>
        </w:tc>
        <w:tc>
          <w:tcPr>
            <w:tcW w:w="16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4,394,421</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2,177,744,713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spacing w:after="0" w:line="202" w:lineRule="exact"/>
              <w:rPr>
                <w:sz w:val="20"/>
                <w:szCs w:val="20"/>
                <w:color w:val="auto"/>
              </w:rPr>
            </w:pPr>
            <w:r>
              <w:rPr>
                <w:rFonts w:ascii="Arial" w:cs="Arial" w:eastAsia="Arial" w:hAnsi="Arial"/>
                <w:sz w:val="18"/>
                <w:szCs w:val="18"/>
                <w:color w:val="auto"/>
              </w:rPr>
              <w:t>May 1-31, 2017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4,885,344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45.34</w:t>
            </w:r>
          </w:p>
        </w:tc>
        <w:tc>
          <w:tcPr>
            <w:tcW w:w="16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4,857,898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1,957,484,340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June 1-30, 2017</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4,871,543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45.69</w:t>
            </w:r>
          </w:p>
        </w:tc>
        <w:tc>
          <w:tcPr>
            <w:tcW w:w="16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4,864,003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1,735,234,924</w:t>
            </w:r>
          </w:p>
        </w:tc>
        <w:tc>
          <w:tcPr>
            <w:tcW w:w="0" w:type="dxa"/>
            <w:vAlign w:val="bottom"/>
          </w:tcPr>
          <w:p>
            <w:pPr>
              <w:spacing w:after="0"/>
              <w:rPr>
                <w:sz w:val="1"/>
                <w:szCs w:val="1"/>
                <w:color w:val="auto"/>
              </w:rPr>
            </w:pPr>
          </w:p>
        </w:tc>
      </w:tr>
      <w:tr>
        <w:trPr>
          <w:trHeight w:val="209"/>
        </w:trPr>
        <w:tc>
          <w:tcPr>
            <w:tcW w:w="4120" w:type="dxa"/>
            <w:vAlign w:val="bottom"/>
            <w:gridSpan w:val="3"/>
          </w:tcPr>
          <w:p>
            <w:pPr>
              <w:spacing w:after="0"/>
              <w:rPr>
                <w:sz w:val="20"/>
                <w:szCs w:val="20"/>
                <w:color w:val="auto"/>
              </w:rPr>
            </w:pPr>
            <w:r>
              <w:rPr>
                <w:rFonts w:ascii="Arial" w:cs="Arial" w:eastAsia="Arial" w:hAnsi="Arial"/>
                <w:sz w:val="18"/>
                <w:szCs w:val="18"/>
                <w:color w:val="auto"/>
              </w:rPr>
              <w:t>For the Quarter Ended</w:t>
            </w: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June 30, 2017</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14,167,869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45.18</w:t>
            </w:r>
          </w:p>
        </w:tc>
        <w:tc>
          <w:tcPr>
            <w:tcW w:w="164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14,116,322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1140" w:hanging="335"/>
        <w:spacing w:after="0"/>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w:t>
      </w:r>
    </w:p>
    <w:p>
      <w:pPr>
        <w:spacing w:after="0" w:line="1" w:lineRule="exact"/>
        <w:rPr>
          <w:rFonts w:ascii="Arial" w:cs="Arial" w:eastAsia="Arial" w:hAnsi="Arial"/>
          <w:sz w:val="14"/>
          <w:szCs w:val="14"/>
          <w:color w:val="auto"/>
        </w:rPr>
      </w:pPr>
    </w:p>
    <w:p>
      <w:pPr>
        <w:ind w:left="1140" w:right="200"/>
        <w:spacing w:after="0" w:line="241" w:lineRule="auto"/>
        <w:rPr>
          <w:rFonts w:ascii="Arial" w:cs="Arial" w:eastAsia="Arial" w:hAnsi="Arial"/>
          <w:sz w:val="14"/>
          <w:szCs w:val="14"/>
          <w:color w:val="auto"/>
        </w:rPr>
      </w:pPr>
      <w:r>
        <w:rPr>
          <w:rFonts w:ascii="Arial" w:cs="Arial" w:eastAsia="Arial" w:hAnsi="Arial"/>
          <w:sz w:val="14"/>
          <w:szCs w:val="14"/>
          <w:color w:val="auto"/>
        </w:rPr>
        <w:t>(2) below; and (ii) shares tendered to us by employees who used shares to exercise options and to pay the related taxes for grants of restricted and deferred stock that vested, totaling 16,561 shares, 27,446 shares and 7,540 shares for the fiscal months of April, May and June 2017, respectively.</w:t>
      </w:r>
    </w:p>
    <w:p>
      <w:pPr>
        <w:ind w:left="1140" w:hanging="335"/>
        <w:spacing w:after="0" w:line="244" w:lineRule="auto"/>
        <w:tabs>
          <w:tab w:leader="none" w:pos="11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Our Board of Directors authorized the repurchase of $13.7 billion of our Common Stock through December 31, 2018.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See related information in Note 10,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Arial" w:cs="Arial" w:eastAsia="Arial" w:hAnsi="Arial"/>
                <w:sz w:val="14"/>
                <w:szCs w:val="14"/>
                <w:color w:val="auto"/>
              </w:rPr>
              <w:t>Exhibit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Number</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60" w:type="dxa"/>
            <w:vAlign w:val="bottom"/>
          </w:tcPr>
          <w:p>
            <w:pPr>
              <w:ind w:left="720"/>
              <w:spacing w:after="0" w:line="157" w:lineRule="exact"/>
              <w:rPr>
                <w:sz w:val="20"/>
                <w:szCs w:val="20"/>
                <w:color w:val="auto"/>
              </w:rPr>
            </w:pPr>
            <w:r>
              <w:rPr>
                <w:rFonts w:ascii="Arial" w:cs="Arial" w:eastAsia="Arial" w:hAnsi="Arial"/>
                <w:sz w:val="14"/>
                <w:szCs w:val="14"/>
                <w:color w:val="auto"/>
              </w:rPr>
              <w:t>Description</w:t>
            </w:r>
          </w:p>
        </w:tc>
        <w:tc>
          <w:tcPr>
            <w:tcW w:w="3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1"/>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1"/>
                <w:szCs w:val="21"/>
                <w:color w:val="auto"/>
              </w:rPr>
            </w:pPr>
          </w:p>
        </w:tc>
        <w:tc>
          <w:tcPr>
            <w:tcW w:w="101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Amendment to the Master Ownership and License Agreement Regarding Trademarks and Related Intellectual Property, by and</w:t>
              </w:r>
            </w:hyperlink>
          </w:p>
        </w:tc>
        <w:tc>
          <w:tcPr>
            <w:tcW w:w="460" w:type="dxa"/>
            <w:vAlign w:val="bottom"/>
            <w:gridSpan w:val="8"/>
          </w:tcPr>
          <w:p>
            <w:pPr>
              <w:spacing w:after="0"/>
              <w:rPr>
                <w:sz w:val="21"/>
                <w:szCs w:val="21"/>
                <w:color w:val="auto"/>
              </w:rPr>
            </w:pPr>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80" w:type="dxa"/>
            <w:vAlign w:val="bottom"/>
            <w:gridSpan w:val="14"/>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between Intercontinental Great Brands LLC and Kraft Foods Group Brands LLC, effective as of September 28, 2016.</w:t>
              </w:r>
            </w:hyperlink>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4"/>
                <w:szCs w:val="24"/>
                <w:color w:val="auto"/>
              </w:rPr>
            </w:pPr>
          </w:p>
        </w:tc>
        <w:tc>
          <w:tcPr>
            <w:tcW w:w="1030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Addendum to Master Ownership and License Agreement Regarding Patents, Trade Secrets, and Related Intellectual Property, by</w:t>
              </w:r>
            </w:hyperlink>
          </w:p>
        </w:tc>
        <w:tc>
          <w:tcPr>
            <w:tcW w:w="280" w:type="dxa"/>
            <w:vAlign w:val="bottom"/>
            <w:gridSpan w:val="6"/>
          </w:tcPr>
          <w:p>
            <w:pPr>
              <w:spacing w:after="0"/>
              <w:rPr>
                <w:sz w:val="24"/>
                <w:szCs w:val="24"/>
                <w:color w:val="auto"/>
              </w:rPr>
            </w:pPr>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80" w:type="dxa"/>
            <w:vAlign w:val="bottom"/>
            <w:gridSpan w:val="14"/>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and among Intercontinental Great Brands, LLC, Mondelēz UK LTD, Kraft Foods R&amp;D Inc. and Kraft Foods Group Brands LLC, dated</w:t>
              </w:r>
            </w:hyperlink>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May 9, 2017.</w:t>
              </w:r>
            </w:hyperlink>
          </w:p>
        </w:tc>
        <w:tc>
          <w:tcPr>
            <w:tcW w:w="32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580" w:type="dxa"/>
            <w:vAlign w:val="bottom"/>
            <w:gridSpan w:val="1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Separation Agreement and General Release, between Mondelēz Global LLC and Roberto de Oliveira Marques, dated May 24, 2017</w:t>
              </w:r>
            </w:hyperlink>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5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16">
              <w:r>
                <w:rPr>
                  <w:rFonts w:ascii="Arial" w:cs="Arial" w:eastAsia="Arial" w:hAnsi="Arial"/>
                  <w:sz w:val="18"/>
                  <w:szCs w:val="18"/>
                  <w:color w:val="0000EE"/>
                </w:rPr>
                <w:t>(incorporated by reference to Exhibit 10.1 to the Registrant’s Current Report on Form 8-K filed with the SEC on May 26, 2017).+</w:t>
              </w:r>
            </w:hyperlink>
          </w:p>
        </w:tc>
        <w:tc>
          <w:tcPr>
            <w:tcW w:w="20" w:type="dxa"/>
            <w:vAlign w:val="bottom"/>
          </w:tcPr>
          <w:p>
            <w:pPr>
              <w:spacing w:after="0"/>
              <w:rPr>
                <w:sz w:val="15"/>
                <w:szCs w:val="15"/>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Computation of Ratios of Earnings to Fixed Charges.</w:t>
              </w:r>
            </w:hyperlink>
          </w:p>
        </w:tc>
        <w:tc>
          <w:tcPr>
            <w:tcW w:w="1860" w:type="dxa"/>
            <w:vAlign w:val="bottom"/>
            <w:tcBorders>
              <w:top w:val="single" w:sz="8" w:color="0000EE"/>
            </w:tcBorders>
          </w:tcPr>
          <w:p>
            <w:pPr>
              <w:spacing w:after="0"/>
              <w:rPr>
                <w:sz w:val="24"/>
                <w:szCs w:val="24"/>
                <w:color w:val="auto"/>
              </w:rPr>
            </w:pPr>
          </w:p>
        </w:tc>
        <w:tc>
          <w:tcPr>
            <w:tcW w:w="3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6080" w:type="dxa"/>
            <w:vAlign w:val="bottom"/>
            <w:gridSpan w:val="4"/>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Certification of Chief Executive Officer pursuant to Rule 13a-14(a)/15d-14(a)</w:t>
              </w:r>
            </w:hyperlink>
          </w:p>
        </w:tc>
        <w:tc>
          <w:tcPr>
            <w:tcW w:w="4500" w:type="dxa"/>
            <w:vAlign w:val="bottom"/>
            <w:gridSpan w:val="10"/>
          </w:tcPr>
          <w:p>
            <w:pPr>
              <w:ind w:left="80"/>
              <w:spacing w:after="0"/>
              <w:rPr>
                <w:rFonts w:ascii="Arial" w:cs="Arial" w:eastAsia="Arial" w:hAnsi="Arial"/>
                <w:sz w:val="18"/>
                <w:szCs w:val="18"/>
                <w:color w:val="0000EE"/>
              </w:rPr>
            </w:pPr>
            <w:hyperlink w:anchor="page68">
              <w:r>
                <w:rPr>
                  <w:rFonts w:ascii="Arial" w:cs="Arial" w:eastAsia="Arial" w:hAnsi="Arial"/>
                  <w:sz w:val="18"/>
                  <w:szCs w:val="18"/>
                  <w:color w:val="0000EE"/>
                </w:rPr>
                <w:t>of the Securities Exchange Act of 1934, as amended.</w:t>
              </w:r>
            </w:hyperlink>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6080" w:type="dxa"/>
            <w:vAlign w:val="bottom"/>
            <w:tcBorders>
              <w:top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Certification of Chief Financial Officer pursuant to Rule 13a-14(a)/15d-14(a)</w:t>
              </w:r>
            </w:hyperlink>
          </w:p>
        </w:tc>
        <w:tc>
          <w:tcPr>
            <w:tcW w:w="4320" w:type="dxa"/>
            <w:vAlign w:val="bottom"/>
            <w:tcBorders>
              <w:top w:val="single" w:sz="8" w:color="0000EE"/>
            </w:tcBorders>
            <w:gridSpan w:val="6"/>
          </w:tcPr>
          <w:p>
            <w:pPr>
              <w:ind w:left="20"/>
              <w:spacing w:after="0"/>
              <w:rPr>
                <w:rFonts w:ascii="Arial" w:cs="Arial" w:eastAsia="Arial" w:hAnsi="Arial"/>
                <w:sz w:val="18"/>
                <w:szCs w:val="18"/>
                <w:color w:val="0000EE"/>
              </w:rPr>
            </w:pPr>
            <w:hyperlink w:anchor="page69">
              <w:r>
                <w:rPr>
                  <w:rFonts w:ascii="Arial" w:cs="Arial" w:eastAsia="Arial" w:hAnsi="Arial"/>
                  <w:sz w:val="18"/>
                  <w:szCs w:val="18"/>
                  <w:color w:val="0000EE"/>
                </w:rPr>
                <w:t>of the Securities Exchange Act of 1934, as amended.</w:t>
              </w:r>
            </w:hyperlink>
          </w:p>
        </w:tc>
        <w:tc>
          <w:tcPr>
            <w:tcW w:w="180" w:type="dxa"/>
            <w:vAlign w:val="bottom"/>
            <w:gridSpan w:val="4"/>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7540" w:type="dxa"/>
            <w:vAlign w:val="bottom"/>
            <w:gridSpan w:val="7"/>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580" w:type="dxa"/>
            <w:vAlign w:val="bottom"/>
            <w:gridSpan w:val="1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Certifications of Chief Executive Officer and Chief Financial Officer pursuant to 18 U.S.C. 1350, as adopted pursuant to Section 906</w:t>
              </w:r>
            </w:hyperlink>
          </w:p>
        </w:tc>
      </w:tr>
      <w:tr>
        <w:trPr>
          <w:trHeight w:val="183"/>
        </w:trPr>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of the Sarbanes-Oxley Act of 2002.</w:t>
              </w:r>
            </w:hyperlink>
          </w:p>
        </w:tc>
        <w:tc>
          <w:tcPr>
            <w:tcW w:w="320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7780" w:type="dxa"/>
            <w:vAlign w:val="bottom"/>
            <w:gridSpan w:val="12"/>
          </w:tcPr>
          <w:p>
            <w:pPr>
              <w:spacing w:after="0" w:line="20" w:lineRule="exact"/>
              <w:rPr>
                <w:sz w:val="1"/>
                <w:szCs w:val="1"/>
                <w:color w:val="auto"/>
              </w:rPr>
            </w:pPr>
          </w:p>
        </w:tc>
      </w:tr>
      <w:tr>
        <w:trPr>
          <w:trHeight w:val="317"/>
        </w:trPr>
        <w:tc>
          <w:tcPr>
            <w:tcW w:w="520" w:type="dxa"/>
            <w:vAlign w:val="bottom"/>
          </w:tcPr>
          <w:p>
            <w:pPr>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24"/>
                <w:szCs w:val="24"/>
                <w:color w:val="auto"/>
              </w:rPr>
            </w:pPr>
          </w:p>
        </w:tc>
        <w:tc>
          <w:tcPr>
            <w:tcW w:w="10580" w:type="dxa"/>
            <w:vAlign w:val="bottom"/>
            <w:gridSpan w:val="14"/>
          </w:tcPr>
          <w:p>
            <w:pPr>
              <w:spacing w:after="0"/>
              <w:rPr>
                <w:sz w:val="20"/>
                <w:szCs w:val="20"/>
                <w:color w:val="auto"/>
              </w:rPr>
            </w:pPr>
            <w:r>
              <w:rPr>
                <w:rFonts w:ascii="Arial" w:cs="Arial" w:eastAsia="Arial" w:hAnsi="Arial"/>
                <w:sz w:val="18"/>
                <w:szCs w:val="18"/>
                <w:color w:val="auto"/>
              </w:rPr>
              <w:t>The following materials from Mondelēz International’s Quarterly Report on Form 10-Q for the quarter ended June 30, 2017 are</w:t>
            </w:r>
          </w:p>
        </w:tc>
      </w:tr>
      <w:tr>
        <w:trPr>
          <w:trHeight w:val="203"/>
        </w:trPr>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80" w:type="dxa"/>
            <w:vAlign w:val="bottom"/>
            <w:gridSpan w:val="14"/>
          </w:tcPr>
          <w:p>
            <w:pPr>
              <w:spacing w:after="0" w:line="202" w:lineRule="exact"/>
              <w:rPr>
                <w:sz w:val="20"/>
                <w:szCs w:val="20"/>
                <w:color w:val="auto"/>
              </w:rPr>
            </w:pPr>
            <w:r>
              <w:rPr>
                <w:rFonts w:ascii="Arial" w:cs="Arial" w:eastAsia="Arial" w:hAnsi="Arial"/>
                <w:sz w:val="18"/>
                <w:szCs w:val="18"/>
                <w:color w:val="auto"/>
              </w:rPr>
              <w:t>formatted in XBRL (eXtensible Business Reporting Language): (i) the Condensed Consolidated Statements of Earnings, (ii) the</w:t>
            </w:r>
          </w:p>
        </w:tc>
      </w:tr>
    </w:tbl>
    <w:p>
      <w:pPr>
        <w:jc w:val="both"/>
        <w:ind w:left="840" w:right="640"/>
        <w:spacing w:after="0"/>
        <w:rPr>
          <w:sz w:val="20"/>
          <w:szCs w:val="20"/>
          <w:color w:val="auto"/>
        </w:rPr>
      </w:pPr>
      <w:r>
        <w:rPr>
          <w:rFonts w:ascii="Arial" w:cs="Arial" w:eastAsia="Arial" w:hAnsi="Arial"/>
          <w:sz w:val="18"/>
          <w:szCs w:val="18"/>
          <w:color w:val="auto"/>
        </w:rPr>
        <w:t>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208" w:lineRule="exact"/>
        <w:rPr>
          <w:sz w:val="20"/>
          <w:szCs w:val="20"/>
          <w:color w:val="auto"/>
        </w:rPr>
      </w:pPr>
    </w:p>
    <w:p>
      <w:pPr>
        <w:ind w:left="800"/>
        <w:spacing w:after="0"/>
        <w:tabs>
          <w:tab w:leader="none" w:pos="1040" w:val="left"/>
        </w:tabs>
        <w:rPr>
          <w:sz w:val="20"/>
          <w:szCs w:val="20"/>
          <w:color w:val="auto"/>
        </w:rPr>
      </w:pPr>
      <w:r>
        <w:rPr>
          <w:rFonts w:ascii="Arial" w:cs="Arial" w:eastAsia="Arial" w:hAnsi="Arial"/>
          <w:sz w:val="14"/>
          <w:szCs w:val="14"/>
          <w:color w:val="auto"/>
        </w:rPr>
        <w:t>+</w:t>
        <w:tab/>
        <w:t>Indicates a management contract or compensatory plan or arrangement.</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MONDELĒZ INTERNATIONAL, INC.</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By: /s/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-1905</wp:posOffset>
            </wp:positionV>
            <wp:extent cx="24955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Brian T. Gladden</w:t>
      </w:r>
    </w:p>
    <w:p>
      <w:pPr>
        <w:ind w:left="7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 2017</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240" w:top="459" w:right="5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THE MASTER OWNERSHIP AND LICENSE AGREEMENT REGARDING TRADEMARKS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RELATED INTELLECTUAL PROPERTY</w:t>
      </w:r>
    </w:p>
    <w:p>
      <w:pPr>
        <w:spacing w:after="0" w:line="20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 xml:space="preserve">This Amendment to the Master Ownership and License Agreement regarding Trademarks and Related Intellectual Property (the </w:t>
      </w:r>
      <w:r>
        <w:rPr>
          <w:rFonts w:ascii="Arial" w:cs="Arial" w:eastAsia="Arial" w:hAnsi="Arial"/>
          <w:sz w:val="17"/>
          <w:szCs w:val="17"/>
          <w:b w:val="1"/>
          <w:bCs w:val="1"/>
          <w:color w:val="auto"/>
        </w:rPr>
        <w:t>“Amendment”</w:t>
      </w:r>
      <w:r>
        <w:rPr>
          <w:rFonts w:ascii="Arial" w:cs="Arial" w:eastAsia="Arial" w:hAnsi="Arial"/>
          <w:sz w:val="17"/>
          <w:szCs w:val="17"/>
          <w:color w:val="auto"/>
        </w:rPr>
        <w:t>) is effective as of September 28, 2016 (“Amendment Effective Date”) by and between Kraft Foods Group Brands LLC, a Delaware limited liability company (</w:t>
      </w:r>
      <w:r>
        <w:rPr>
          <w:rFonts w:ascii="Arial" w:cs="Arial" w:eastAsia="Arial" w:hAnsi="Arial"/>
          <w:sz w:val="17"/>
          <w:szCs w:val="17"/>
          <w:b w:val="1"/>
          <w:bCs w:val="1"/>
          <w:color w:val="auto"/>
        </w:rPr>
        <w:t>“GroceryCo IPCo”</w:t>
      </w:r>
      <w:r>
        <w:rPr>
          <w:rFonts w:ascii="Arial" w:cs="Arial" w:eastAsia="Arial" w:hAnsi="Arial"/>
          <w:sz w:val="17"/>
          <w:szCs w:val="17"/>
          <w:color w:val="auto"/>
        </w:rPr>
        <w:t>), and Intercontinental Great Brands LLC, a Delaware limited liability company (</w:t>
      </w:r>
      <w:r>
        <w:rPr>
          <w:rFonts w:ascii="Arial" w:cs="Arial" w:eastAsia="Arial" w:hAnsi="Arial"/>
          <w:sz w:val="17"/>
          <w:szCs w:val="17"/>
          <w:b w:val="1"/>
          <w:bCs w:val="1"/>
          <w:color w:val="auto"/>
        </w:rPr>
        <w:t>“SnackCo IPCo”</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GroceryCo IPCo and SnacKCo IPCo are parties to the Master Ownership and License Agreement Regarding Trademarks and Related Intellectual Property dated September 27, 2012 (as amended) (referred to herein as the </w:t>
      </w:r>
      <w:r>
        <w:rPr>
          <w:rFonts w:ascii="Arial" w:cs="Arial" w:eastAsia="Arial" w:hAnsi="Arial"/>
          <w:sz w:val="16"/>
          <w:szCs w:val="16"/>
          <w:b w:val="1"/>
          <w:bCs w:val="1"/>
          <w:color w:val="auto"/>
        </w:rPr>
        <w:t>“Agreement”</w:t>
      </w:r>
      <w:r>
        <w:rPr>
          <w:rFonts w:ascii="Arial" w:cs="Arial" w:eastAsia="Arial" w:hAnsi="Arial"/>
          <w:sz w:val="16"/>
          <w:szCs w:val="16"/>
          <w:color w:val="auto"/>
        </w:rPr>
        <w:t>). The parties now wish to enter into a further amendment of the Agreement.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of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parties agree as follows:</w:t>
      </w:r>
    </w:p>
    <w:p>
      <w:pPr>
        <w:spacing w:after="0" w:line="127"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13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1.1.  Section 3.2(e)(i) is hereby deleted in its entirety and replaced with the new Section 3.2(e)(i) as set forth on the attached Exhibit A.</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1.2.  Section 3.2(e)(ii) is hereby deleted in its entirety and replaced with the new Section 3.2(e)(ii) as set forth on the attached Exhibit A.</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1.3.  Section 3.6(b) is hereby deleted in its entirety and replaced with the new Section 3.6(b) as set forth on the attached Exhibit A.</w:t>
      </w:r>
    </w:p>
    <w:p>
      <w:pPr>
        <w:spacing w:after="0" w:line="126" w:lineRule="exact"/>
        <w:rPr>
          <w:rFonts w:ascii="Arial" w:cs="Arial" w:eastAsia="Arial" w:hAnsi="Arial"/>
          <w:sz w:val="18"/>
          <w:szCs w:val="18"/>
          <w:b w:val="1"/>
          <w:bCs w:val="1"/>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2.1.  Full Force and Effect. </w:t>
      </w:r>
      <w:r>
        <w:rPr>
          <w:rFonts w:ascii="Arial" w:cs="Arial" w:eastAsia="Arial" w:hAnsi="Arial"/>
          <w:sz w:val="17"/>
          <w:szCs w:val="17"/>
          <w:color w:val="auto"/>
        </w:rPr>
        <w:t>Except as expressly provided in this Amendment, the Agreement remains unchanged and in full force and effect.</w:t>
      </w:r>
    </w:p>
    <w:p>
      <w:pPr>
        <w:spacing w:after="0" w:line="14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Counterparts. </w:t>
      </w:r>
      <w:r>
        <w:rPr>
          <w:rFonts w:ascii="Arial" w:cs="Arial" w:eastAsia="Arial" w:hAnsi="Arial"/>
          <w:sz w:val="18"/>
          <w:szCs w:val="18"/>
          <w:color w:val="auto"/>
        </w:rPr>
        <w:t>This Amendment may be executed in counterparts. Facsimile signatures are binding.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Amendment as of the date noted in the first Paragraph.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KRAFT FOODS GROUP BRANDS LLC</w:t>
            </w: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INTERCONTINENTAL GREAT BRANDS LLC</w:t>
            </w:r>
          </w:p>
        </w:tc>
      </w:tr>
      <w:tr>
        <w:trPr>
          <w:trHeight w:val="216"/>
        </w:trPr>
        <w:tc>
          <w:tcPr>
            <w:tcW w:w="2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By: Intercontinental Brands LLC</w:t>
            </w:r>
          </w:p>
        </w:tc>
      </w:tr>
      <w:tr>
        <w:trPr>
          <w:trHeight w:val="230"/>
        </w:trPr>
        <w:tc>
          <w:tcPr>
            <w:tcW w:w="2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Its sole member</w:t>
            </w:r>
          </w:p>
        </w:tc>
      </w:tr>
      <w:tr>
        <w:trPr>
          <w:trHeight w:val="446"/>
        </w:trPr>
        <w:tc>
          <w:tcPr>
            <w:tcW w:w="5280" w:type="dxa"/>
            <w:vAlign w:val="bottom"/>
            <w:gridSpan w:val="2"/>
          </w:tcPr>
          <w:p>
            <w:pPr>
              <w:spacing w:after="0"/>
              <w:rPr>
                <w:sz w:val="20"/>
                <w:szCs w:val="20"/>
                <w:color w:val="auto"/>
              </w:rPr>
            </w:pPr>
            <w:r>
              <w:rPr>
                <w:rFonts w:ascii="Arial" w:cs="Arial" w:eastAsia="Arial" w:hAnsi="Arial"/>
                <w:sz w:val="18"/>
                <w:szCs w:val="18"/>
                <w:color w:val="auto"/>
              </w:rPr>
              <w:t>By:  /s/ Sabrina Hudson</w:t>
            </w: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Name:  /s/ Geraldine Llewellyn</w:t>
            </w:r>
          </w:p>
        </w:tc>
      </w:tr>
      <w:tr>
        <w:trPr>
          <w:trHeight w:val="20"/>
        </w:trPr>
        <w:tc>
          <w:tcPr>
            <w:tcW w:w="28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412"/>
        </w:trPr>
        <w:tc>
          <w:tcPr>
            <w:tcW w:w="5280" w:type="dxa"/>
            <w:vAlign w:val="bottom"/>
            <w:gridSpan w:val="2"/>
          </w:tcPr>
          <w:p>
            <w:pPr>
              <w:spacing w:after="0"/>
              <w:rPr>
                <w:sz w:val="20"/>
                <w:szCs w:val="20"/>
                <w:color w:val="auto"/>
              </w:rPr>
            </w:pPr>
            <w:r>
              <w:rPr>
                <w:rFonts w:ascii="Arial" w:cs="Arial" w:eastAsia="Arial" w:hAnsi="Arial"/>
                <w:sz w:val="18"/>
                <w:szCs w:val="18"/>
                <w:color w:val="auto"/>
              </w:rPr>
              <w:t>Its:  Assistant Secretary</w:t>
            </w:r>
          </w:p>
        </w:tc>
        <w:tc>
          <w:tcPr>
            <w:tcW w:w="6140" w:type="dxa"/>
            <w:vAlign w:val="bottom"/>
            <w:gridSpan w:val="2"/>
          </w:tcPr>
          <w:p>
            <w:pPr>
              <w:ind w:left="640"/>
              <w:spacing w:after="0"/>
              <w:rPr>
                <w:sz w:val="20"/>
                <w:szCs w:val="20"/>
                <w:color w:val="auto"/>
              </w:rPr>
            </w:pPr>
            <w:r>
              <w:rPr>
                <w:rFonts w:ascii="Arial" w:cs="Arial" w:eastAsia="Arial" w:hAnsi="Arial"/>
                <w:sz w:val="18"/>
                <w:szCs w:val="18"/>
                <w:color w:val="auto"/>
              </w:rPr>
              <w:t>Title:   Vice President</w:t>
            </w:r>
          </w:p>
        </w:tc>
      </w:tr>
      <w:tr>
        <w:trPr>
          <w:trHeight w:val="20"/>
        </w:trPr>
        <w:tc>
          <w:tcPr>
            <w:tcW w:w="280" w:type="dxa"/>
            <w:vAlign w:val="bottom"/>
          </w:tcPr>
          <w:p>
            <w:pPr>
              <w:spacing w:after="0" w:line="20" w:lineRule="exact"/>
              <w:rPr>
                <w:sz w:val="1"/>
                <w:szCs w:val="1"/>
                <w:color w:val="auto"/>
              </w:rPr>
            </w:pPr>
          </w:p>
        </w:tc>
        <w:tc>
          <w:tcPr>
            <w:tcW w:w="5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3.2(e)(i)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Two-Year License of SnackCo Marks Used for Ingredients to GroceryCo IPCo</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Subject to the terms and conditions of this Agreement, SnackCo IPCo hereby grants to GroceryCo IPCo from the fourth anniversary of the Distribution Date until the sixth anniversary of the Distribution Date a non-exclusive, non-sublicensable and nontransferable royalty-free license to use and display in the NA Countries the “Oreo”, “Chips Ahoy!”, “Honey Maid”, “Ritz” (and “Ritz Bits”), “Teddy Grahams,” and “Nilla” SnackCo Marks as an ingredient indicator on retail LUNCHABLES branded meal kits in the same relative size or smaller on the principle display as used on the Distribution Date on which such SnackCo Marks appear as an ingredient indicator on such date in such jurisdictions (or, in the case of “Teddy Grahams” in the manner shown in Exhibit B of the First Amendment) including such retail LUNCHABLES branded meal kits that are sold in packaging sizes or flavors that are different from the packaging sizes or flavors used prior to the Distribution Date, and in connection with the production, manufacturing, advertising, promotion, marketing, distribution and sale of such retail LUNCHABLES branded meal kits in such jurisdictions. For the avoidance of doubt, the licenses granted under this Section 3.2(e)(i), shall be subject to Section 2.10. For the avoidance of doubt, this Section 3.2(e)(i) does not apply to the use of the OREO SnackCo Mark on GroceryCo Products in the retail categories of ready-to-eat pudding and dry packaged pudding mix or the retail OREO dessert product in the JELLO No Bake subline described in 3.2(e) (ii).</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3.2(e)(ii)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Two-Year License of SnackCo “Oreo Mark” to GroceryCo IP Co</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Subject to the terms and conditions of this Agreement, SnackCo IPCo hereby grants to GroceryCo IPCo from the fourth anniversary of the Distribution Date until the sixth anniversary of the Distribution Date a non-sublicensable, nontransferable royalty bearing license at three percent (3%) of all net revenues to use and display the OREO SnackCo Mark on GroceryCo Products in the countries listed below in (i) the retail product categories of ready-to-eat pudding and dry packaged pudding mix; and (ii) the retail OREO dessert product in the JELLO No Bake subline and in connection with the production, manufacturing, advertising, promotion, marketing, distribution and sale of such GroceryCo Products in such jurisdictions. The license granted to GroceryCo IPCo in this Section 3.2(e)(ii) shall be exclusive for the retail product categories of ready-to-eat pudding and dry packaged pudding mix. For the avoidance of doubt, the retail product categories of ready-to-eat pudding and dry packaged pudding mix exclude custard, mousse, flan, cake mix, cupcake mix, custard mix, shelf stable frosting, frosting mix, cookie mix and brownie mix, frozen and refrigerated desserts. Further, and for the avoidance of doubt, the license granted under, and the exclusivity described in, this Section 3.2(e)(ii), shall be subject to Section 2.10. GroceryCo IPCo shall pay such royalties on a quarterly basis to SnackCo IPCo as set forth on Schedule O.</w:t>
      </w:r>
    </w:p>
    <w:p>
      <w:pPr>
        <w:spacing w:after="0" w:line="178"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The exclusive license described in this Section 3.2(e)(ii) is only for the following countries: USA, Canada, Algeria, Angola, Antigua, Bahamas, Bahrain, Barbados, Belize, Bermuda, Cambodia, Cayman Islands, Chile, Colombia, Congo, Costa Rica, Curacao-Netherland West Indies, Dominican Republic, Ethiopia, Gambia, Ghana, Grenada-Windward Islands, Guatemala, Haiti, Honduras, Hong Kong, Jamaica, Kenya, Kuwait, Lebanon, Liberia, Libya ,Malaysia, Nepal, Nigeria, Oman, Panama ,Philippines, Puerto Rico, Singapore, St Kitts – Leeward Islands, St Lucia – Windward Islands, St Maarten, St Vincent and the Grenadines, Suriname, Thailand, Turks &amp; Caicos Islands and United Arab Emirates.</w:t>
      </w:r>
    </w:p>
    <w:p>
      <w:pPr>
        <w:sectPr>
          <w:pgSz w:w="11900" w:h="16838" w:orient="portrait"/>
          <w:cols w:equalWidth="0" w:num="1">
            <w:col w:w="11400"/>
          </w:cols>
          <w:pgMar w:left="240" w:top="27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3.6(b)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Use of Trademarks in Recipe Titles and Recipe Collections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GroceryCo IPCo may continue to use SnackCo’s OREO and RITZ Trademarks in the titles of recipes or recipe collections in the NA Countries – including recipe video titles – existing on the Distribution Date. By way of example, GroceryCo IPCo may continue to use a recipe title such as “Oreo Cheesecake”. GroceryCo IPCo shall not create new recipes or recipe collections using the OREO or RITZ trademarks without first obtaining the prior written consent of SnackCo. SnackCo grants GroceryCo this license from the fourth anniversary of the Distribution Date until the sixth anniversary of the Distribution Date.</w:t>
      </w:r>
    </w:p>
    <w:p>
      <w:pPr>
        <w:sectPr>
          <w:pgSz w:w="11900" w:h="16838" w:orient="portrait"/>
          <w:cols w:equalWidth="0" w:num="1">
            <w:col w:w="11160"/>
          </w:cols>
          <w:pgMar w:left="240" w:top="270" w:right="4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 Master Ownership and License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Patents, Trade Secrets, and Related Intellectual Property</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Addendum, dated May 9, 2017, is between Intercontinental Great Brands, LLC (formerly Kraft Foods Global Brands LLC), a Delaware limited liability company having an address of 100 DeForest Ave, East Hanover, NJ 07936, Mondelēz UK LTD (formerly Kraft Foods UK LTD), a England and Wales limited by shares (LTD) company having an address of Uxbridge Business Park, Sanderson Road, Uxbridge, Middlesex, UB8 1DH, United Kingdom, and Kraft Foods R&amp;D Inc., a Delaware corporation having an address of Three Parkway North, Deerfield, IL 60015 (collectively herein “IGB”) and Kraft Foods Group Brands LLC, a Delaware limited liability company with an address of 200 East Randolph Street, Suite 7600, Chicago, IL, 60601 (hereinafter “Group Brands”), parties to the Master Ownership and License Agreement Regarding Patents, Trade Secrets, and Related Intellectual Property (hereafter “the Agreement”).</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WHEREAS Group Brands is currently asserting patents related to LCRB technology, including but not limited to U.S. Patent No. 8,293,299; U.S. Patent No. 8,511,472; and U.S. Patent No. 8,603,557 (collectively “LCRB Patents”), in litigation against TC Heartland and Heartland Foods Products Group (“LCRB Litigation”);</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WHEREAS IGB is currently asserting patents related to Snack N Seal technology, including but not limited to U.S. Patent No. 6,918,532 B2 (collectively, “Snack N Seal Patents”), in litigation against Kellogg North America Company, Kellogg USA, Inc., Keebler Company, Keebler Foods Company, and Kellogg Sales Company (“Snack N Seal Litigation”);</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WHEREAS Group Brands and IGB recognize that settlement of the Snack N Seal Litigation or the LCRB Litigation may involve granting licenses to the underlying patents, and corresponding foreign patents, which would otherwise be restricted under the Agreement;</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WHEREAS the Parties have agreed to amend the Agreement to provide for such licenses should they become part of a settlement of the Snack N Seal Litigation and/or the LCRB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 hereby agree as follows:</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With respect to the Snack N Seal Patents, the provisions of Article VIII of the Agreement, entitled Enforcement and Litigation of Licensed Intellectual Property, do not apply as to the claims or litigation against Kellogg North America Company, Kellogg USA, Inc., Keebler Company, Keebler Foods Company, and Kellogg Sales Company (and any other Kellogg or Keebler Company).</w:t>
      </w:r>
    </w:p>
    <w:p>
      <w:pPr>
        <w:spacing w:after="0" w:line="181" w:lineRule="exact"/>
        <w:rPr>
          <w:sz w:val="20"/>
          <w:szCs w:val="20"/>
          <w:color w:val="auto"/>
        </w:rPr>
      </w:pPr>
    </w:p>
    <w:p>
      <w:pPr>
        <w:jc w:val="both"/>
        <w:ind w:left="460" w:right="420"/>
        <w:spacing w:after="0" w:line="312" w:lineRule="auto"/>
        <w:rPr>
          <w:sz w:val="20"/>
          <w:szCs w:val="20"/>
          <w:color w:val="auto"/>
        </w:rPr>
      </w:pPr>
      <w:r>
        <w:rPr>
          <w:rFonts w:ascii="Arial" w:cs="Arial" w:eastAsia="Arial" w:hAnsi="Arial"/>
          <w:sz w:val="16"/>
          <w:szCs w:val="16"/>
          <w:color w:val="auto"/>
        </w:rPr>
        <w:t>Additionally, with respect to the Snack N Seal Patents, the licensing restrictions of Section 3.5(b) of the Agreement do not apply as to the claims, litigation, or settlement between IGB and Kellogg North America Company, Kellogg USA, Inc., Keebler Company, Keebler Foods Company, and Kellogg Sales Company (and any other Kellogg or Keebler Company). Group Brands waives and disclaims any and all rights related to the</w:t>
      </w:r>
    </w:p>
    <w:p>
      <w:pPr>
        <w:sectPr>
          <w:pgSz w:w="11900" w:h="16838" w:orient="portrait"/>
          <w:cols w:equalWidth="0" w:num="1">
            <w:col w:w="11420"/>
          </w:cols>
          <w:pgMar w:left="240" w:top="121" w:right="239" w:bottom="1440" w:gutter="0" w:footer="0" w:header="0"/>
        </w:sectPr>
      </w:pPr>
    </w:p>
    <w:bookmarkStart w:id="63" w:name="page64"/>
    <w:bookmarkEnd w:id="63"/>
    <w:p>
      <w:pPr>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enforcement and litigation of the Snack N Seal Patents, including any and all rights related to consent, initiation, control, management, costs, recoveries, and settlement or litigation against Kellogg North America Company, Kellogg USA, Inc., Keebler Company, Keebler Foods Company, and Kellogg Sales Company.</w:t>
      </w:r>
    </w:p>
    <w:p>
      <w:pPr>
        <w:spacing w:after="0" w:line="181"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With respect to LCRB Patents, the provisions of Article VIII of the Agreement, entitled Enforcement and Litigation of Licensed Intellectual Property, do not apply as to the claims or litigation against TC Heartland and Heartland Foods Products Group (and any other Heartland Company).</w:t>
      </w:r>
    </w:p>
    <w:p>
      <w:pPr>
        <w:spacing w:after="0" w:line="124" w:lineRule="exact"/>
        <w:rPr>
          <w:sz w:val="20"/>
          <w:szCs w:val="20"/>
          <w:color w:val="auto"/>
        </w:rPr>
      </w:pPr>
    </w:p>
    <w:p>
      <w:pPr>
        <w:ind w:left="460" w:right="240"/>
        <w:spacing w:after="0" w:line="302" w:lineRule="auto"/>
        <w:rPr>
          <w:sz w:val="20"/>
          <w:szCs w:val="20"/>
          <w:color w:val="auto"/>
        </w:rPr>
      </w:pPr>
      <w:r>
        <w:rPr>
          <w:rFonts w:ascii="Arial" w:cs="Arial" w:eastAsia="Arial" w:hAnsi="Arial"/>
          <w:sz w:val="16"/>
          <w:szCs w:val="16"/>
          <w:color w:val="auto"/>
        </w:rPr>
        <w:t>Additionally, with respect to LCRB Patents, the licensing restrictions of Section 5.1(f) of the Agreement do not apply as to the claims, litigation, or settlement between Group Brands and TC Heartland and Heartland Foods Products Group (and any other Heartland Company). IGB waives and disclaims any and all rights related to the enforcement, litigation, and licensing of the LCRB Patents, including any and all rights related to consent, initiation, control, management, costs, recoveries, and settlement or litigation against TC Heartland and Heartland Foods Products Group.</w:t>
      </w:r>
    </w:p>
    <w:p>
      <w:pPr>
        <w:spacing w:after="0" w:line="25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IN WITNESS </w:t>
      </w:r>
      <w:r>
        <w:rPr>
          <w:rFonts w:ascii="Arial" w:cs="Arial" w:eastAsia="Arial" w:hAnsi="Arial"/>
          <w:sz w:val="18"/>
          <w:szCs w:val="18"/>
          <w:color w:val="auto"/>
        </w:rPr>
        <w:t>whereof the Parties have executed this Addendum. The parties’ authorized representatives execute this document by signing below, either</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physically or electronically (if legally valid), and may sign separate copies.</w:t>
      </w:r>
    </w:p>
    <w:p>
      <w:pPr>
        <w:sectPr>
          <w:pgSz w:w="11900" w:h="16838" w:orient="portrait"/>
          <w:cols w:equalWidth="0" w:num="1">
            <w:col w:w="11340"/>
          </w:cols>
          <w:pgMar w:left="240" w:top="274" w:right="319" w:bottom="1440" w:gutter="0" w:footer="0" w:header="0"/>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Intercontinental Great Brands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Matthew J. Golden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13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Matthew J. Golden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131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Interncontinental Brands,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131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5/10/2017</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4131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Signed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Intercontinental Great Brands LLC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Intercontinental Brands,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2">
            <w:col w:w="5340" w:space="720"/>
            <w:col w:w="5280"/>
          </w:cols>
          <w:pgMar w:left="240" w:top="274" w:right="3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Mondelēz UK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Michael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Michael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UK Managing Director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17 May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Kraft Foods R&amp;D Inc.</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 Matthew J. Golden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Matthew J. Golden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Asst.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5/10/2017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-194310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/s/ T. Bainbridge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Taz Bainbrigde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Personal Asst.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4734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2">
            <w:col w:w="5340" w:space="720"/>
            <w:col w:w="4159"/>
          </w:cols>
          <w:pgMar w:left="240" w:top="270" w:right="1440"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Kraft Foods Group Brands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T.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Daniel T. Conrad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Deputy GC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May 9,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66" w:name="page67"/>
    <w:bookmarkEnd w:id="66"/>
    <w:tbl>
      <w:tblPr>
        <w:tblLayout w:type="fixed"/>
        <w:tblInd w:w="6" w:type="dxa"/>
        <w:tblCellMar>
          <w:top w:w="0" w:type="dxa"/>
          <w:left w:w="0" w:type="dxa"/>
          <w:bottom w:w="0" w:type="dxa"/>
          <w:right w:w="0" w:type="dxa"/>
        </w:tblCellMar>
      </w:tblPr>
      <w:tr>
        <w:trPr>
          <w:trHeight w:val="233"/>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320"/>
              <w:spacing w:after="0"/>
              <w:rPr>
                <w:sz w:val="20"/>
                <w:szCs w:val="20"/>
                <w:color w:val="auto"/>
              </w:rPr>
            </w:pPr>
            <w:r>
              <w:rPr>
                <w:rFonts w:ascii="Arial" w:cs="Arial" w:eastAsia="Arial" w:hAnsi="Arial"/>
                <w:sz w:val="18"/>
                <w:szCs w:val="18"/>
                <w:b w:val="1"/>
                <w:bCs w:val="1"/>
                <w:color w:val="auto"/>
                <w:w w:val="95"/>
              </w:rPr>
              <w:t>EXHIBIT 12.1</w:t>
            </w:r>
          </w:p>
        </w:tc>
      </w:tr>
      <w:tr>
        <w:trPr>
          <w:trHeight w:val="334"/>
        </w:trPr>
        <w:tc>
          <w:tcPr>
            <w:tcW w:w="7520" w:type="dxa"/>
            <w:vAlign w:val="bottom"/>
          </w:tcPr>
          <w:p>
            <w:pPr>
              <w:jc w:val="center"/>
              <w:ind w:left="2912"/>
              <w:spacing w:after="0"/>
              <w:rPr>
                <w:sz w:val="20"/>
                <w:szCs w:val="20"/>
                <w:color w:val="auto"/>
              </w:rPr>
            </w:pPr>
            <w:r>
              <w:rPr>
                <w:rFonts w:ascii="Arial" w:cs="Arial" w:eastAsia="Arial" w:hAnsi="Arial"/>
                <w:sz w:val="18"/>
                <w:szCs w:val="18"/>
                <w:b w:val="1"/>
                <w:bCs w:val="1"/>
                <w:color w:val="auto"/>
                <w:w w:val="97"/>
              </w:rPr>
              <w:t>Mondelēz International, Inc. and Subsidiaries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7520" w:type="dxa"/>
            <w:vAlign w:val="bottom"/>
          </w:tcPr>
          <w:p>
            <w:pPr>
              <w:jc w:val="center"/>
              <w:ind w:left="2892"/>
              <w:spacing w:after="0" w:line="202" w:lineRule="exact"/>
              <w:rPr>
                <w:sz w:val="20"/>
                <w:szCs w:val="20"/>
                <w:color w:val="auto"/>
              </w:rPr>
            </w:pPr>
            <w:r>
              <w:rPr>
                <w:rFonts w:ascii="Arial" w:cs="Arial" w:eastAsia="Arial" w:hAnsi="Arial"/>
                <w:sz w:val="18"/>
                <w:szCs w:val="18"/>
                <w:b w:val="1"/>
                <w:bCs w:val="1"/>
                <w:color w:val="auto"/>
                <w:w w:val="97"/>
              </w:rPr>
              <w:t>Computation of Ratios of Earnings to Fixed Charges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3"/>
        </w:trPr>
        <w:tc>
          <w:tcPr>
            <w:tcW w:w="7520" w:type="dxa"/>
            <w:vAlign w:val="bottom"/>
          </w:tcPr>
          <w:p>
            <w:pPr>
              <w:jc w:val="center"/>
              <w:ind w:left="2892"/>
              <w:spacing w:after="0"/>
              <w:rPr>
                <w:sz w:val="20"/>
                <w:szCs w:val="20"/>
                <w:color w:val="auto"/>
              </w:rPr>
            </w:pPr>
            <w:r>
              <w:rPr>
                <w:rFonts w:ascii="Arial" w:cs="Arial" w:eastAsia="Arial" w:hAnsi="Arial"/>
                <w:sz w:val="18"/>
                <w:szCs w:val="18"/>
                <w:b w:val="1"/>
                <w:bCs w:val="1"/>
                <w:color w:val="auto"/>
                <w:w w:val="97"/>
              </w:rPr>
              <w:t>(in millions of dollars, except ratio)</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23"/>
        </w:trPr>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For the Six</w:t>
            </w:r>
          </w:p>
        </w:tc>
      </w:tr>
      <w:tr>
        <w:trPr>
          <w:trHeight w:val="149"/>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4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Months Ended</w:t>
            </w:r>
          </w:p>
        </w:tc>
      </w:tr>
      <w:tr>
        <w:trPr>
          <w:trHeight w:val="165"/>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2017</w:t>
            </w:r>
          </w:p>
        </w:tc>
        <w:tc>
          <w:tcPr>
            <w:tcW w:w="420" w:type="dxa"/>
            <w:vAlign w:val="bottom"/>
          </w:tcPr>
          <w:p>
            <w:pPr>
              <w:spacing w:after="0"/>
              <w:rPr>
                <w:sz w:val="14"/>
                <w:szCs w:val="14"/>
                <w:color w:val="auto"/>
              </w:rPr>
            </w:pPr>
          </w:p>
        </w:tc>
        <w:tc>
          <w:tcPr>
            <w:tcW w:w="1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June 30, 2017</w:t>
            </w:r>
          </w:p>
        </w:tc>
      </w:tr>
      <w:tr>
        <w:trPr>
          <w:trHeight w:val="88"/>
        </w:trPr>
        <w:tc>
          <w:tcPr>
            <w:tcW w:w="7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203"/>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from continuing operations before income taxes</w:t>
            </w:r>
          </w:p>
        </w:tc>
        <w:tc>
          <w:tcPr>
            <w:tcW w:w="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311"/>
        </w:trPr>
        <w:tc>
          <w:tcPr>
            <w:tcW w:w="7520" w:type="dxa"/>
            <w:vAlign w:val="bottom"/>
          </w:tcPr>
          <w:p>
            <w:pPr>
              <w:spacing w:after="0"/>
              <w:rPr>
                <w:sz w:val="20"/>
                <w:szCs w:val="20"/>
                <w:color w:val="auto"/>
              </w:rPr>
            </w:pPr>
            <w:r>
              <w:rPr>
                <w:rFonts w:ascii="Arial" w:cs="Arial" w:eastAsia="Arial" w:hAnsi="Arial"/>
                <w:sz w:val="18"/>
                <w:szCs w:val="18"/>
                <w:color w:val="auto"/>
              </w:rPr>
              <w:t>Add/(Deduct):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7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Distributed income from less than 50% owned affiliates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20" w:type="dxa"/>
            <w:vAlign w:val="bottom"/>
          </w:tcPr>
          <w:p>
            <w:pPr>
              <w:ind w:left="220"/>
              <w:spacing w:after="0" w:line="202" w:lineRule="exact"/>
              <w:rPr>
                <w:sz w:val="20"/>
                <w:szCs w:val="20"/>
                <w:color w:val="auto"/>
              </w:rPr>
            </w:pPr>
            <w:r>
              <w:rPr>
                <w:rFonts w:ascii="Arial" w:cs="Arial" w:eastAsia="Arial" w:hAnsi="Arial"/>
                <w:sz w:val="18"/>
                <w:szCs w:val="18"/>
                <w:color w:val="auto"/>
              </w:rPr>
              <w:t>Fixed charges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capitalized, net of amortization</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7520" w:type="dxa"/>
            <w:vAlign w:val="bottom"/>
          </w:tcPr>
          <w:p>
            <w:pPr>
              <w:ind w:left="440"/>
              <w:spacing w:after="0"/>
              <w:rPr>
                <w:sz w:val="20"/>
                <w:szCs w:val="20"/>
                <w:color w:val="auto"/>
              </w:rPr>
            </w:pPr>
            <w:r>
              <w:rPr>
                <w:rFonts w:ascii="Arial" w:cs="Arial" w:eastAsia="Arial" w:hAnsi="Arial"/>
                <w:sz w:val="18"/>
                <w:szCs w:val="18"/>
                <w:color w:val="auto"/>
              </w:rPr>
              <w:t>Earnings available for fixed charges</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678</w:t>
            </w:r>
          </w:p>
        </w:tc>
        <w:tc>
          <w:tcPr>
            <w:tcW w:w="50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7"/>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20" w:type="dxa"/>
            <w:vAlign w:val="bottom"/>
          </w:tcPr>
          <w:p>
            <w:pPr>
              <w:ind w:left="220"/>
              <w:spacing w:after="0" w:line="202" w:lineRule="exact"/>
              <w:rPr>
                <w:sz w:val="20"/>
                <w:szCs w:val="20"/>
                <w:color w:val="auto"/>
              </w:rPr>
            </w:pPr>
            <w:r>
              <w:rPr>
                <w:rFonts w:ascii="Arial" w:cs="Arial" w:eastAsia="Arial" w:hAnsi="Arial"/>
                <w:sz w:val="18"/>
                <w:szCs w:val="18"/>
                <w:color w:val="auto"/>
              </w:rPr>
              <w:t>Interest incurred:</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752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2"/>
                <w:szCs w:val="22"/>
                <w:color w:val="auto"/>
                <w:vertAlign w:val="superscript"/>
              </w:rPr>
              <w:t>(1)</w:t>
            </w:r>
          </w:p>
        </w:tc>
        <w:tc>
          <w:tcPr>
            <w:tcW w:w="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7520" w:type="dxa"/>
            <w:vAlign w:val="bottom"/>
          </w:tcPr>
          <w:p>
            <w:pPr>
              <w:ind w:left="440"/>
              <w:spacing w:after="0" w:line="202" w:lineRule="exact"/>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r>
      <w:tr>
        <w:trPr>
          <w:trHeight w:val="203"/>
        </w:trPr>
        <w:tc>
          <w:tcPr>
            <w:tcW w:w="7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7520" w:type="dxa"/>
            <w:vAlign w:val="bottom"/>
          </w:tcPr>
          <w:p>
            <w:pPr>
              <w:spacing w:after="0" w:line="202" w:lineRule="exact"/>
              <w:rPr>
                <w:sz w:val="20"/>
                <w:szCs w:val="20"/>
                <w:color w:val="auto"/>
              </w:rPr>
            </w:pPr>
            <w:r>
              <w:rPr>
                <w:rFonts w:ascii="Arial" w:cs="Arial" w:eastAsia="Arial" w:hAnsi="Arial"/>
                <w:sz w:val="18"/>
                <w:szCs w:val="18"/>
                <w:color w:val="auto"/>
              </w:rPr>
              <w:t>Portion of rent expense deemed to represent interest factor</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3"/>
        </w:trPr>
        <w:tc>
          <w:tcPr>
            <w:tcW w:w="75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Fixed charges</w:t>
            </w:r>
          </w:p>
        </w:tc>
        <w:tc>
          <w:tcPr>
            <w:tcW w:w="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5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7"/>
        </w:trPr>
        <w:tc>
          <w:tcPr>
            <w:tcW w:w="7520" w:type="dxa"/>
            <w:vAlign w:val="bottom"/>
          </w:tcPr>
          <w:p>
            <w:pPr>
              <w:spacing w:after="0" w:line="196" w:lineRule="exact"/>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w:t>
            </w:r>
          </w:p>
        </w:tc>
        <w:tc>
          <w:tcPr>
            <w:tcW w:w="460" w:type="dxa"/>
            <w:vAlign w:val="bottom"/>
          </w:tcPr>
          <w:p>
            <w:pPr>
              <w:spacing w:after="0"/>
              <w:rPr>
                <w:sz w:val="17"/>
                <w:szCs w:val="17"/>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74" w:lineRule="exact"/>
        <w:rPr>
          <w:sz w:val="20"/>
          <w:szCs w:val="20"/>
          <w:color w:val="auto"/>
        </w:rPr>
      </w:pPr>
    </w:p>
    <w:p>
      <w:pPr>
        <w:ind w:left="6"/>
        <w:spacing w:after="0"/>
        <w:rPr>
          <w:sz w:val="20"/>
          <w:szCs w:val="20"/>
          <w:color w:val="auto"/>
        </w:rPr>
      </w:pPr>
      <w:r>
        <w:rPr>
          <w:rFonts w:ascii="Arial" w:cs="Arial" w:eastAsia="Arial" w:hAnsi="Arial"/>
          <w:sz w:val="18"/>
          <w:szCs w:val="18"/>
          <w:color w:val="auto"/>
        </w:rPr>
        <w:t>Notes:</w:t>
      </w:r>
    </w:p>
    <w:p>
      <w:pPr>
        <w:ind w:left="446" w:hanging="446"/>
        <w:spacing w:after="0"/>
        <w:tabs>
          <w:tab w:leader="none" w:pos="446"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interest related to uncertain tax positions, which is recorded in our tax provision.</w:t>
      </w:r>
    </w:p>
    <w:p>
      <w:pPr>
        <w:sectPr>
          <w:pgSz w:w="11900" w:h="16838" w:orient="portrait"/>
          <w:cols w:equalWidth="0" w:num="1">
            <w:col w:w="10966"/>
          </w:cols>
          <w:pgMar w:left="694"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Irene B. Rosenfeld, certify that:</w:t>
      </w:r>
    </w:p>
    <w:p>
      <w:pPr>
        <w:spacing w:after="0" w:line="198" w:lineRule="exact"/>
        <w:rPr>
          <w:sz w:val="20"/>
          <w:szCs w:val="20"/>
          <w:color w:val="auto"/>
        </w:rPr>
      </w:pPr>
    </w:p>
    <w:p>
      <w:pPr>
        <w:ind w:left="580" w:hanging="575"/>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80" w:right="520" w:hanging="575"/>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580" w:right="140" w:hanging="575"/>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20" w:right="20" w:hanging="448"/>
        <w:spacing w:after="0" w:line="281"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020" w:right="420" w:hanging="448"/>
        <w:spacing w:after="0" w:line="281"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020" w:right="200" w:hanging="448"/>
        <w:spacing w:after="0" w:line="23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020" w:right="280" w:hanging="448"/>
        <w:spacing w:after="0" w:line="281"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80" w:right="540" w:hanging="575"/>
        <w:spacing w:after="0" w:line="23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020" w:right="340" w:hanging="448"/>
        <w:spacing w:after="0" w:line="23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020" w:right="660" w:hanging="448"/>
        <w:spacing w:after="0" w:line="239"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2, 2017</w:t>
      </w:r>
    </w:p>
    <w:p>
      <w:pPr>
        <w:ind w:left="6060"/>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-4445</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Irene B. Rosenfeld</w:t>
      </w:r>
    </w:p>
    <w:p>
      <w:pPr>
        <w:ind w:left="60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0620"/>
          </w:cols>
          <w:pgMar w:left="10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Brian T. Gladden, certify that:</w:t>
      </w:r>
    </w:p>
    <w:p>
      <w:pPr>
        <w:spacing w:after="0" w:line="198" w:lineRule="exact"/>
        <w:rPr>
          <w:sz w:val="20"/>
          <w:szCs w:val="20"/>
          <w:color w:val="auto"/>
        </w:rPr>
      </w:pPr>
    </w:p>
    <w:p>
      <w:pPr>
        <w:ind w:left="580" w:hanging="575"/>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Mondelēz International, Inc.;</w:t>
      </w:r>
    </w:p>
    <w:p>
      <w:pPr>
        <w:spacing w:after="0" w:line="198" w:lineRule="exact"/>
        <w:rPr>
          <w:rFonts w:ascii="Arial" w:cs="Arial" w:eastAsia="Arial" w:hAnsi="Arial"/>
          <w:sz w:val="18"/>
          <w:szCs w:val="18"/>
          <w:color w:val="auto"/>
        </w:rPr>
      </w:pPr>
    </w:p>
    <w:p>
      <w:pPr>
        <w:ind w:left="580" w:right="160" w:hanging="575"/>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80" w:right="520" w:hanging="575"/>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4" w:lineRule="exact"/>
        <w:rPr>
          <w:rFonts w:ascii="Arial" w:cs="Arial" w:eastAsia="Arial" w:hAnsi="Arial"/>
          <w:sz w:val="18"/>
          <w:szCs w:val="18"/>
          <w:color w:val="auto"/>
        </w:rPr>
      </w:pPr>
    </w:p>
    <w:p>
      <w:pPr>
        <w:ind w:left="580" w:right="140" w:hanging="575"/>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20" w:right="20" w:hanging="448"/>
        <w:spacing w:after="0" w:line="28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020" w:right="420" w:hanging="448"/>
        <w:spacing w:after="0" w:line="28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Arial" w:cs="Arial" w:eastAsia="Arial" w:hAnsi="Arial"/>
          <w:sz w:val="16"/>
          <w:szCs w:val="16"/>
          <w:color w:val="auto"/>
        </w:rPr>
      </w:pPr>
    </w:p>
    <w:p>
      <w:pPr>
        <w:ind w:left="1020" w:right="200" w:hanging="448"/>
        <w:spacing w:after="0" w:line="23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8"/>
          <w:szCs w:val="18"/>
          <w:color w:val="auto"/>
        </w:rPr>
      </w:pPr>
    </w:p>
    <w:p>
      <w:pPr>
        <w:ind w:left="1020" w:right="280" w:hanging="448"/>
        <w:spacing w:after="0" w:line="281"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580" w:right="540" w:hanging="575"/>
        <w:spacing w:after="0" w:line="23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8"/>
          <w:szCs w:val="18"/>
          <w:color w:val="auto"/>
        </w:rPr>
      </w:pPr>
    </w:p>
    <w:p>
      <w:pPr>
        <w:jc w:val="both"/>
        <w:ind w:left="1020" w:right="340" w:hanging="448"/>
        <w:spacing w:after="0" w:line="23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8"/>
          <w:szCs w:val="18"/>
          <w:color w:val="auto"/>
        </w:rPr>
      </w:pPr>
    </w:p>
    <w:p>
      <w:pPr>
        <w:ind w:left="1020" w:right="660" w:hanging="448"/>
        <w:spacing w:after="0" w:line="239"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2, 2017</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-4445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Brian T. Gladden</w:t>
      </w: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620"/>
          </w:cols>
          <w:pgMar w:left="10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w:t>
      </w:r>
    </w:p>
    <w:p>
      <w:pPr>
        <w:jc w:val="center"/>
        <w:spacing w:after="0" w:line="235"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 Irene B. Rosenfeld,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June 30, 2017, fully complies with the requirements of Section 13(a) or 15(d) of the Securities Exchange Act of 1934 and that the information contained in Mondelēz International’s Annual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IRENE B. ROSENFELD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Irene B. Rosenfeld</w:t>
      </w:r>
    </w:p>
    <w:p>
      <w:pPr>
        <w:spacing w:after="0" w:line="234" w:lineRule="auto"/>
        <w:rPr>
          <w:sz w:val="20"/>
          <w:szCs w:val="20"/>
          <w:color w:val="auto"/>
        </w:rPr>
      </w:pPr>
      <w:r>
        <w:rPr>
          <w:rFonts w:ascii="Arial" w:cs="Arial" w:eastAsia="Arial" w:hAnsi="Arial"/>
          <w:sz w:val="18"/>
          <w:szCs w:val="18"/>
          <w:color w:val="auto"/>
        </w:rPr>
        <w:t>Chairman and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pacing w:after="0" w:line="1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 Brian T. Gladden,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June 30, 2017, fully complies with the requirements of Section 13(a) or 15(d) of the Securities Exchange Act of 1934 and that the information contained in Mondelēz International’s Annual Report on Form 10-Q fairly presents in all material respects Mondelēz International’s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BRIAN T. GLADDEN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Brian T. Gladden</w:t>
      </w:r>
    </w:p>
    <w:p>
      <w:pPr>
        <w:spacing w:after="0" w:line="234" w:lineRule="auto"/>
        <w:rPr>
          <w:sz w:val="20"/>
          <w:szCs w:val="20"/>
          <w:color w:val="auto"/>
        </w:rPr>
      </w:pPr>
      <w:r>
        <w:rPr>
          <w:rFonts w:ascii="Arial" w:cs="Arial" w:eastAsia="Arial" w:hAnsi="Arial"/>
          <w:sz w:val="18"/>
          <w:szCs w:val="18"/>
          <w:color w:val="auto"/>
        </w:rPr>
        <w:t>Executive Vice President and</w:t>
      </w:r>
    </w:p>
    <w:p>
      <w:pPr>
        <w:spacing w:after="0" w:line="235"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 2017</w:t>
      </w:r>
    </w:p>
    <w:p>
      <w:pPr>
        <w:spacing w:after="0" w:line="3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8"/>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2)"/>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
    </w:lvl>
    <w:lvl w:ilvl="1">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16" Type="http://schemas.openxmlformats.org/officeDocument/2006/relationships/hyperlink" Target="http://www.sec.gov/Archives/edgar/data/1103982/000119312517185515/d39197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2019-12-29T06:17:10Z</dcterms:created>
  <dcterms:modified xsi:type="dcterms:W3CDTF">2019-12-29T06:17:10Z</dcterms:modified>
</cp:coreProperties>
</file>