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center"/>
        <w:rPr>
          <w:rFonts w:ascii="Arial;sans-serif" w:hAnsi="Arial;sans-serif"/>
          <w:b/>
          <w:color w:val="000000"/>
          <w:sz w:val="36"/>
        </w:rPr>
      </w:pPr>
      <w:r>
        <w:rPr>
          <w:rFonts w:ascii="Arial;sans-serif" w:hAnsi="Arial;sans-serif"/>
          <w:b/>
          <w:color w:val="000000"/>
          <w:sz w:val="36"/>
        </w:rPr>
        <w:t>UNITED STATES</w:t>
      </w:r>
    </w:p>
    <w:p>
      <w:pPr>
        <w:pStyle w:val="TextBody"/>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spacing w:lineRule="auto" w:line="288" w:before="100" w:after="283"/>
        <w:jc w:val="center"/>
        <w:rPr>
          <w:rFonts w:ascii="Arial;sans-serif" w:hAnsi="Arial;sans-serif"/>
          <w:b/>
          <w:color w:val="000000"/>
          <w:sz w:val="36"/>
        </w:rPr>
      </w:pPr>
      <w:r>
        <w:rPr>
          <w:rFonts w:ascii="Arial;sans-serif" w:hAnsi="Arial;sans-serif"/>
          <w:b/>
          <w:color w:val="000000"/>
          <w:sz w:val="36"/>
        </w:rPr>
        <w:t xml:space="preserve">FORM 10-Q </w:t>
      </w:r>
    </w:p>
    <w:p>
      <w:pPr>
        <w:pStyle w:val="TextBody"/>
        <w:spacing w:lineRule="auto" w:line="288" w:before="60" w:after="283"/>
        <w:rPr>
          <w:rFonts w:ascii="Arial;sans-serif" w:hAnsi="Arial;sans-serif"/>
          <w:b/>
          <w:color w:val="000000"/>
          <w:sz w:val="18"/>
        </w:rPr>
      </w:pPr>
      <w:r>
        <w:rPr>
          <w:rFonts w:ascii="Arial;sans-serif" w:hAnsi="Arial;sans-serif"/>
          <w:b/>
          <w:color w:val="000000"/>
          <w:sz w:val="18"/>
        </w:rPr>
        <w:t>(Mark One)</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March 31, 2023 </w:t>
      </w:r>
    </w:p>
    <w:p>
      <w:pPr>
        <w:pStyle w:val="TextBody"/>
        <w:spacing w:lineRule="auto" w:line="288" w:before="60" w:after="283"/>
        <w:jc w:val="center"/>
        <w:rPr>
          <w:rFonts w:ascii="Arial;sans-serif" w:hAnsi="Arial;sans-serif"/>
          <w:b/>
          <w:color w:val="000000"/>
          <w:sz w:val="18"/>
        </w:rPr>
      </w:pPr>
      <w:r>
        <w:rPr>
          <w:rFonts w:ascii="Arial;sans-serif" w:hAnsi="Arial;sans-serif"/>
          <w:b/>
          <w:color w:val="000000"/>
          <w:sz w:val="18"/>
        </w:rPr>
        <w:t>OR</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to                </w:t>
      </w:r>
    </w:p>
    <w:p>
      <w:pPr>
        <w:pStyle w:val="TextBody"/>
        <w:spacing w:lineRule="auto" w:line="288" w:before="60" w:after="283"/>
        <w:jc w:val="center"/>
        <w:rPr>
          <w:rFonts w:ascii="Arial;sans-serif" w:hAnsi="Arial;sans-serif"/>
          <w:b/>
          <w:color w:val="000000"/>
          <w:sz w:val="18"/>
        </w:rPr>
      </w:pPr>
      <w:r>
        <w:rPr>
          <w:rFonts w:ascii="Arial;sans-serif" w:hAnsi="Arial;sans-serif"/>
          <w:b/>
          <w:color w:val="000000"/>
          <w:sz w:val="18"/>
        </w:rPr>
        <w:t xml:space="preserve">Commission file number 1-16483 </w:t>
      </w:r>
    </w:p>
    <w:p>
      <w:pPr>
        <w:pStyle w:val="TextBody"/>
        <w:spacing w:before="60" w:after="283"/>
        <w:jc w:val="center"/>
        <w:rPr/>
      </w:pPr>
      <w:r>
        <w:rPr/>
        <w:drawing>
          <wp:inline distT="0" distB="63500" distL="0" distR="0">
            <wp:extent cx="126682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314325"/>
                    </a:xfrm>
                    <a:prstGeom prst="rect">
                      <a:avLst/>
                    </a:prstGeom>
                  </pic:spPr>
                </pic:pic>
              </a:graphicData>
            </a:graphic>
          </wp:inline>
        </w:drawing>
      </w:r>
    </w:p>
    <w:p>
      <w:pPr>
        <w:pStyle w:val="TextBody"/>
        <w:spacing w:lineRule="auto" w:line="288" w:before="60" w:after="283"/>
        <w:jc w:val="center"/>
        <w:rPr>
          <w:rFonts w:ascii="Arial;sans-serif" w:hAnsi="Arial;sans-serif"/>
          <w:b/>
          <w:color w:val="000000"/>
          <w:sz w:val="36"/>
        </w:rPr>
      </w:pPr>
      <w:r>
        <w:rPr>
          <w:rFonts w:ascii="Arial;sans-serif" w:hAnsi="Arial;sans-serif"/>
          <w:b/>
          <w:color w:val="000000"/>
          <w:sz w:val="36"/>
        </w:rPr>
        <w:t xml:space="preserve">Mondelēz International, Inc. </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4825" w:type="dxa"/>
        <w:jc w:val="center"/>
        <w:tblInd w:w="0" w:type="dxa"/>
        <w:tblCellMar>
          <w:top w:w="28" w:type="dxa"/>
          <w:left w:w="28" w:type="dxa"/>
          <w:bottom w:w="28" w:type="dxa"/>
          <w:right w:w="28" w:type="dxa"/>
        </w:tblCellMar>
      </w:tblPr>
      <w:tblGrid>
        <w:gridCol w:w="599"/>
        <w:gridCol w:w="525"/>
        <w:gridCol w:w="525"/>
        <w:gridCol w:w="525"/>
        <w:gridCol w:w="525"/>
        <w:gridCol w:w="552"/>
        <w:gridCol w:w="459"/>
        <w:gridCol w:w="459"/>
        <w:gridCol w:w="656"/>
      </w:tblGrid>
      <w:tr>
        <w:trPr/>
        <w:tc>
          <w:tcPr>
            <w:tcW w:w="59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r>
      <w:tr>
        <w:trPr/>
        <w:tc>
          <w:tcPr>
            <w:tcW w:w="32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Virginia</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52-2284372</w:t>
            </w:r>
          </w:p>
        </w:tc>
      </w:tr>
      <w:tr>
        <w:trPr/>
        <w:tc>
          <w:tcPr>
            <w:tcW w:w="32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 or organization)</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w:t>
              <w:br/>
              <w:t>Identification No.)</w:t>
            </w:r>
          </w:p>
        </w:tc>
      </w:tr>
      <w:tr>
        <w:trPr/>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905 West Fulton Market, Suite 200</w:t>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Chicago,</w:t>
            </w:r>
          </w:p>
        </w:tc>
        <w:tc>
          <w:tcPr>
            <w:tcW w:w="16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Illinois</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60607</w:t>
            </w:r>
          </w:p>
        </w:tc>
      </w:tr>
      <w:tr>
        <w:trPr/>
        <w:tc>
          <w:tcPr>
            <w:tcW w:w="32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spacing w:lineRule="auto" w:line="288" w:before="0" w:after="0"/>
        <w:jc w:val="center"/>
        <w:rPr/>
      </w:pPr>
      <w:r>
        <w:rPr>
          <w:rFonts w:ascii="Arial;sans-serif" w:hAnsi="Arial;sans-serif"/>
          <w:b w:val="false"/>
          <w:color w:val="000000"/>
          <w:sz w:val="18"/>
        </w:rPr>
        <w:t xml:space="preserve">(Registrant’s telephone number, including area code) </w:t>
      </w:r>
      <w:r>
        <w:rPr>
          <w:rFonts w:ascii="Arial;sans-serif" w:hAnsi="Arial;sans-serif"/>
          <w:b/>
          <w:color w:val="000000"/>
          <w:sz w:val="18"/>
        </w:rPr>
        <w:t xml:space="preserve">(847) 943-4000 </w:t>
      </w:r>
    </w:p>
    <w:p>
      <w:pPr>
        <w:pStyle w:val="TextBody"/>
        <w:spacing w:before="60" w:after="283"/>
        <w:jc w:val="center"/>
        <w:rPr/>
      </w:pPr>
      <w:r>
        <w:rPr/>
      </w:r>
    </w:p>
    <w:p>
      <w:pPr>
        <w:pStyle w:val="TextBody"/>
        <w:spacing w:lineRule="auto" w:line="288" w:before="60" w:after="283"/>
        <w:jc w:val="center"/>
        <w:rPr>
          <w:rFonts w:ascii="Arial;sans-serif" w:hAnsi="Arial;sans-serif"/>
          <w:b/>
          <w:color w:val="000000"/>
          <w:sz w:val="18"/>
        </w:rPr>
      </w:pPr>
      <w:r>
        <w:rPr>
          <w:rFonts w:ascii="Arial;sans-serif" w:hAnsi="Arial;sans-serif"/>
          <w:b/>
          <w:color w:val="000000"/>
          <w:sz w:val="18"/>
        </w:rPr>
        <w:t>Not Applicable</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p>
      <w:pPr>
        <w:pStyle w:val="TextBody"/>
        <w:spacing w:before="0" w:after="0"/>
        <w:jc w:val="center"/>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722" w:type="dxa"/>
        <w:jc w:val="center"/>
        <w:tblInd w:w="0" w:type="dxa"/>
        <w:tblCellMar>
          <w:top w:w="28" w:type="dxa"/>
          <w:left w:w="28" w:type="dxa"/>
          <w:bottom w:w="28" w:type="dxa"/>
          <w:right w:w="28" w:type="dxa"/>
        </w:tblCellMar>
      </w:tblPr>
      <w:tblGrid>
        <w:gridCol w:w="1139"/>
        <w:gridCol w:w="999"/>
        <w:gridCol w:w="1011"/>
        <w:gridCol w:w="109"/>
        <w:gridCol w:w="109"/>
        <w:gridCol w:w="109"/>
        <w:gridCol w:w="324"/>
        <w:gridCol w:w="324"/>
        <w:gridCol w:w="326"/>
        <w:gridCol w:w="109"/>
        <w:gridCol w:w="109"/>
        <w:gridCol w:w="109"/>
        <w:gridCol w:w="1154"/>
        <w:gridCol w:w="1154"/>
        <w:gridCol w:w="1637"/>
      </w:tblGrid>
      <w:tr>
        <w:trPr/>
        <w:tc>
          <w:tcPr>
            <w:tcW w:w="1139"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Trading</w:t>
              <w:b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no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1.625% Notes due 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0.250% Notes due 2028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0.750% Notes due 2033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2.375% Notes due 2035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4.500% Notes due 2035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MDLZ35A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1.375% Notes due 2041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3.875% Notes due 2045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spacing w:lineRule="auto" w:line="288" w:before="20" w:after="283"/>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Arial;sans-serif" w:hAnsi="Arial;sans-serif"/>
          <w:b w:val="false"/>
          <w:color w:val="000000"/>
          <w:sz w:val="18"/>
        </w:rPr>
        <w:t>No  </w:t>
      </w:r>
      <w:r>
        <w:rPr>
          <w:color w:val="000000"/>
        </w:rPr>
        <w:t>☐</w:t>
      </w:r>
    </w:p>
    <w:p>
      <w:pPr>
        <w:pStyle w:val="TextBody"/>
        <w:spacing w:lineRule="auto" w:line="288" w:before="80" w:after="283"/>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Arial;sans-serif" w:hAnsi="Arial;sans-serif"/>
          <w:b w:val="false"/>
          <w:color w:val="000000"/>
          <w:sz w:val="18"/>
        </w:rPr>
        <w:t>No  </w:t>
      </w:r>
      <w:r>
        <w:rPr>
          <w:color w:val="000000"/>
        </w:rPr>
        <w:t>☐</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8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58" w:type="dxa"/>
        <w:jc w:val="left"/>
        <w:tblInd w:w="0" w:type="dxa"/>
        <w:tblCellMar>
          <w:top w:w="28" w:type="dxa"/>
          <w:left w:w="28" w:type="dxa"/>
          <w:bottom w:w="28" w:type="dxa"/>
          <w:right w:w="28" w:type="dxa"/>
        </w:tblCellMar>
      </w:tblPr>
      <w:tblGrid>
        <w:gridCol w:w="705"/>
        <w:gridCol w:w="620"/>
        <w:gridCol w:w="624"/>
        <w:gridCol w:w="109"/>
        <w:gridCol w:w="109"/>
        <w:gridCol w:w="109"/>
        <w:gridCol w:w="109"/>
        <w:gridCol w:w="109"/>
        <w:gridCol w:w="109"/>
        <w:gridCol w:w="109"/>
        <w:gridCol w:w="109"/>
        <w:gridCol w:w="109"/>
        <w:gridCol w:w="784"/>
        <w:gridCol w:w="784"/>
        <w:gridCol w:w="788"/>
        <w:gridCol w:w="109"/>
        <w:gridCol w:w="109"/>
        <w:gridCol w:w="154"/>
      </w:tblGrid>
      <w:tr>
        <w:trPr/>
        <w:tc>
          <w:tcPr>
            <w:tcW w:w="70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8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603"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20" w:after="283"/>
        <w:jc w:val="both"/>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80" w:after="283"/>
        <w:jc w:val="both"/>
        <w:rPr/>
      </w:pPr>
      <w:r>
        <w:rPr>
          <w:rFonts w:ascii="Arial;sans-serif" w:hAnsi="Arial;sans-serif"/>
          <w:b w:val="false"/>
          <w:color w:val="000000"/>
          <w:sz w:val="18"/>
        </w:rPr>
        <w:t>Indicate by check mark whether the registrant is a shell company (as defined in Rule 12b-2 of the Exchange Act). Yes  </w:t>
      </w:r>
      <w:r>
        <w:rPr>
          <w:color w:val="000000"/>
        </w:rPr>
        <w:t xml:space="preserve"> ☐  </w:t>
      </w:r>
      <w:r>
        <w:rPr>
          <w:rFonts w:ascii="Arial;sans-serif" w:hAnsi="Arial;sans-serif"/>
          <w:b w:val="false"/>
          <w:color w:val="000000"/>
          <w:sz w:val="18"/>
        </w:rPr>
        <w:t>No  </w:t>
      </w:r>
      <w:r>
        <w:rPr>
          <w:rFonts w:ascii="Wingdings;sans-serif" w:hAnsi="Wingdings;sans-serif"/>
          <w:b w:val="false"/>
          <w:color w:val="000000"/>
          <w:sz w:val="16"/>
        </w:rPr>
        <w:t>x</w:t>
      </w:r>
    </w:p>
    <w:p>
      <w:pPr>
        <w:pStyle w:val="TextBody"/>
        <w:spacing w:before="80" w:after="283"/>
        <w:jc w:val="both"/>
        <w:rPr/>
      </w:pPr>
      <w:r>
        <w:rPr/>
      </w:r>
    </w:p>
    <w:p>
      <w:pPr>
        <w:pStyle w:val="TextBody"/>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At April 24, 2023, there were 1,361,853,497 shares of the registrant’s Class A Common Stock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w:t>
      </w:r>
    </w:p>
    <w:p>
      <w:pPr>
        <w:pStyle w:val="TextBody"/>
        <w:spacing w:lineRule="auto" w:line="288" w:before="180" w:after="283"/>
        <w:jc w:val="center"/>
        <w:rPr>
          <w:rFonts w:ascii="Arial;sans-serif" w:hAnsi="Arial;sans-serif"/>
          <w:b/>
          <w:color w:val="000000"/>
          <w:sz w:val="20"/>
        </w:rPr>
      </w:pPr>
      <w:r>
        <w:rPr>
          <w:rFonts w:ascii="Arial;sans-serif" w:hAnsi="Arial;sans-serif"/>
          <w:b/>
          <w:color w:val="000000"/>
          <w:sz w:val="20"/>
        </w:rPr>
        <w:t>Table of Contents</w:t>
      </w:r>
    </w:p>
    <w:p>
      <w:pPr>
        <w:pStyle w:val="TextBody"/>
        <w:spacing w:lineRule="auto" w:line="288" w:before="0" w:after="0"/>
        <w:rPr>
          <w:color w:val="000000"/>
        </w:rPr>
      </w:pPr>
      <w:r>
        <w:rPr>
          <w:color w:val="000000"/>
        </w:rPr>
        <w:t> </w:t>
      </w:r>
    </w:p>
    <w:tbl>
      <w:tblPr>
        <w:tblW w:w="9705" w:type="dxa"/>
        <w:jc w:val="left"/>
        <w:tblInd w:w="0" w:type="dxa"/>
        <w:tblCellMar>
          <w:top w:w="28" w:type="dxa"/>
          <w:left w:w="28" w:type="dxa"/>
          <w:bottom w:w="28" w:type="dxa"/>
          <w:right w:w="28" w:type="dxa"/>
        </w:tblCellMar>
      </w:tblPr>
      <w:tblGrid>
        <w:gridCol w:w="364"/>
        <w:gridCol w:w="319"/>
        <w:gridCol w:w="322"/>
        <w:gridCol w:w="2613"/>
        <w:gridCol w:w="2613"/>
        <w:gridCol w:w="2618"/>
        <w:gridCol w:w="250"/>
        <w:gridCol w:w="250"/>
        <w:gridCol w:w="356"/>
      </w:tblGrid>
      <w:tr>
        <w:trPr/>
        <w:tc>
          <w:tcPr>
            <w:tcW w:w="36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2613" w:type="dxa"/>
            <w:tcBorders/>
            <w:shd w:fill="auto" w:val="clear"/>
            <w:vAlign w:val="center"/>
          </w:tcPr>
          <w:p>
            <w:pPr>
              <w:pStyle w:val="TableContents"/>
              <w:spacing w:before="0" w:after="283"/>
              <w:rPr>
                <w:sz w:val="4"/>
                <w:szCs w:val="4"/>
              </w:rPr>
            </w:pPr>
            <w:r>
              <w:rPr>
                <w:sz w:val="4"/>
                <w:szCs w:val="4"/>
              </w:rPr>
            </w:r>
          </w:p>
        </w:tc>
        <w:tc>
          <w:tcPr>
            <w:tcW w:w="2613" w:type="dxa"/>
            <w:tcBorders/>
            <w:shd w:fill="auto" w:val="clear"/>
            <w:vAlign w:val="center"/>
          </w:tcPr>
          <w:p>
            <w:pPr>
              <w:pStyle w:val="TableContents"/>
              <w:spacing w:before="0" w:after="283"/>
              <w:rPr>
                <w:sz w:val="4"/>
                <w:szCs w:val="4"/>
              </w:rPr>
            </w:pPr>
            <w:r>
              <w:rPr>
                <w:sz w:val="4"/>
                <w:szCs w:val="4"/>
              </w:rPr>
            </w:r>
          </w:p>
        </w:tc>
        <w:tc>
          <w:tcPr>
            <w:tcW w:w="261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Page No.</w:t>
            </w:r>
          </w:p>
        </w:tc>
      </w:tr>
      <w:tr>
        <w:trPr/>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PART I - </w:t>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FINANCIAL INFORMATION</w:t>
            </w:r>
          </w:p>
        </w:tc>
        <w:tc>
          <w:tcPr>
            <w:tcW w:w="8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Statements (Unaudited)</w:t>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857567ba8d654b33b371666775a41902_16">
              <w:r>
                <w:rPr>
                  <w:rStyle w:val="InternetLink"/>
                  <w:rFonts w:ascii="Arial;sans-serif" w:hAnsi="Arial;sans-serif"/>
                  <w:b w:val="false"/>
                  <w:color w:val="0000FF"/>
                  <w:sz w:val="20"/>
                  <w:u w:val="single"/>
                </w:rPr>
                <w:t>Condensed Consolidated Statements of Earnings</w:t>
              </w:r>
            </w:hyperlink>
          </w:p>
          <w:p>
            <w:pPr>
              <w:pStyle w:val="TableContents"/>
              <w:spacing w:lineRule="auto" w:line="240" w:before="0" w:after="0"/>
              <w:ind w:left="0" w:right="0" w:hanging="180"/>
              <w:jc w:val="left"/>
              <w:rPr/>
            </w:pPr>
            <w:r>
              <w:rPr>
                <w:color w:val="000000"/>
              </w:rPr>
              <w:t>   </w:t>
            </w:r>
            <w:hyperlink w:anchor="i857567ba8d654b33b371666775a41902_16">
              <w:r>
                <w:rPr>
                  <w:rStyle w:val="InternetLink"/>
                  <w:rFonts w:ascii="Arial;sans-serif" w:hAnsi="Arial;sans-serif"/>
                  <w:b w:val="false"/>
                  <w:color w:val="0000FF"/>
                  <w:sz w:val="20"/>
                  <w:u w:val="single"/>
                </w:rPr>
                <w:t>for the Three Months Ended March 31, 2023 and 2022</w:t>
              </w:r>
            </w:hyperlink>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57567ba8d654b33b371666775a41902_16">
              <w:r>
                <w:rPr>
                  <w:rStyle w:val="InternetLink"/>
                  <w:rFonts w:ascii="Arial;sans-serif" w:hAnsi="Arial;sans-serif"/>
                  <w:b w:val="false"/>
                  <w:strike w:val="false"/>
                  <w:dstrike w:val="false"/>
                  <w:color w:val="000000"/>
                  <w:sz w:val="20"/>
                  <w:u w:val="none"/>
                  <w:effect w:val="none"/>
                </w:rPr>
                <w:t>1</w:t>
              </w:r>
            </w:hyperlink>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857567ba8d654b33b371666775a41902_19">
              <w:r>
                <w:rPr>
                  <w:rStyle w:val="InternetLink"/>
                  <w:rFonts w:ascii="Arial;sans-serif" w:hAnsi="Arial;sans-serif"/>
                  <w:b w:val="false"/>
                  <w:color w:val="0000FF"/>
                  <w:sz w:val="20"/>
                  <w:u w:val="single"/>
                </w:rPr>
                <w:t>Condensed Consolidated Statements of Comprehensive Earnings</w:t>
              </w:r>
            </w:hyperlink>
          </w:p>
          <w:p>
            <w:pPr>
              <w:pStyle w:val="TableContents"/>
              <w:spacing w:lineRule="auto" w:line="240" w:before="0" w:after="0"/>
              <w:ind w:left="0" w:right="0" w:hanging="180"/>
              <w:jc w:val="left"/>
              <w:rPr/>
            </w:pPr>
            <w:r>
              <w:rPr>
                <w:color w:val="000000"/>
              </w:rPr>
              <w:t>   </w:t>
            </w:r>
            <w:hyperlink w:anchor="i857567ba8d654b33b371666775a41902_19">
              <w:r>
                <w:rPr>
                  <w:rStyle w:val="InternetLink"/>
                  <w:rFonts w:ascii="Arial;sans-serif" w:hAnsi="Arial;sans-serif"/>
                  <w:b w:val="false"/>
                  <w:color w:val="0000FF"/>
                  <w:sz w:val="20"/>
                  <w:u w:val="single"/>
                </w:rPr>
                <w:t>for the Three Months Ended March 31, 2023 and 2022</w:t>
              </w:r>
            </w:hyperlink>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57567ba8d654b33b371666775a41902_19">
              <w:r>
                <w:rPr>
                  <w:rStyle w:val="InternetLink"/>
                  <w:rFonts w:ascii="Arial;sans-serif" w:hAnsi="Arial;sans-serif"/>
                  <w:b w:val="false"/>
                  <w:strike w:val="false"/>
                  <w:dstrike w:val="false"/>
                  <w:color w:val="000000"/>
                  <w:sz w:val="20"/>
                  <w:u w:val="none"/>
                  <w:effect w:val="none"/>
                </w:rPr>
                <w:t>2</w:t>
              </w:r>
            </w:hyperlink>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857567ba8d654b33b371666775a41902_22">
              <w:r>
                <w:rPr>
                  <w:rStyle w:val="InternetLink"/>
                  <w:rFonts w:ascii="Arial;sans-serif" w:hAnsi="Arial;sans-serif"/>
                  <w:b w:val="false"/>
                  <w:color w:val="0000FF"/>
                  <w:sz w:val="20"/>
                  <w:u w:val="single"/>
                </w:rPr>
                <w:t xml:space="preserve">Condensed Consolidated Balance Sheets </w:t>
              </w:r>
            </w:hyperlink>
          </w:p>
          <w:p>
            <w:pPr>
              <w:pStyle w:val="TableContents"/>
              <w:spacing w:lineRule="auto" w:line="240" w:before="0" w:after="0"/>
              <w:ind w:left="0" w:right="0" w:hanging="180"/>
              <w:jc w:val="left"/>
              <w:rPr/>
            </w:pPr>
            <w:r>
              <w:rPr>
                <w:color w:val="000000"/>
              </w:rPr>
              <w:t>   </w:t>
            </w:r>
            <w:hyperlink w:anchor="i857567ba8d654b33b371666775a41902_22">
              <w:r>
                <w:rPr>
                  <w:rStyle w:val="InternetLink"/>
                  <w:rFonts w:ascii="Arial;sans-serif" w:hAnsi="Arial;sans-serif"/>
                  <w:b w:val="false"/>
                  <w:color w:val="0000FF"/>
                  <w:sz w:val="20"/>
                  <w:u w:val="single"/>
                </w:rPr>
                <w:t>at March 31, 2023 and December 31, 2022</w:t>
              </w:r>
            </w:hyperlink>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57567ba8d654b33b371666775a41902_22">
              <w:r>
                <w:rPr>
                  <w:rStyle w:val="InternetLink"/>
                  <w:rFonts w:ascii="Arial;sans-serif" w:hAnsi="Arial;sans-serif"/>
                  <w:b w:val="false"/>
                  <w:strike w:val="false"/>
                  <w:dstrike w:val="false"/>
                  <w:color w:val="000000"/>
                  <w:sz w:val="20"/>
                  <w:u w:val="none"/>
                  <w:effect w:val="none"/>
                </w:rPr>
                <w:t>3</w:t>
              </w:r>
            </w:hyperlink>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857567ba8d654b33b371666775a41902_25">
              <w:r>
                <w:rPr>
                  <w:rStyle w:val="InternetLink"/>
                  <w:rFonts w:ascii="Arial;sans-serif" w:hAnsi="Arial;sans-serif"/>
                  <w:b w:val="false"/>
                  <w:color w:val="0000FF"/>
                  <w:sz w:val="20"/>
                  <w:u w:val="single"/>
                </w:rPr>
                <w:t>Condensed Consolidated Statements of Equity</w:t>
              </w:r>
            </w:hyperlink>
          </w:p>
          <w:p>
            <w:pPr>
              <w:pStyle w:val="TableContents"/>
              <w:spacing w:lineRule="auto" w:line="240" w:before="0" w:after="0"/>
              <w:ind w:left="0" w:right="0" w:hanging="180"/>
              <w:jc w:val="left"/>
              <w:rPr/>
            </w:pPr>
            <w:r>
              <w:rPr>
                <w:color w:val="000000"/>
              </w:rPr>
              <w:t>   </w:t>
            </w:r>
            <w:hyperlink w:anchor="i857567ba8d654b33b371666775a41902_25">
              <w:r>
                <w:rPr>
                  <w:rStyle w:val="InternetLink"/>
                  <w:rFonts w:ascii="Arial;sans-serif" w:hAnsi="Arial;sans-serif"/>
                  <w:b w:val="false"/>
                  <w:color w:val="0000FF"/>
                  <w:sz w:val="20"/>
                  <w:u w:val="single"/>
                </w:rPr>
                <w:t>for the Three Months Ended March 31, 2023 and 2022</w:t>
              </w:r>
            </w:hyperlink>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57567ba8d654b33b371666775a41902_25">
              <w:r>
                <w:rPr>
                  <w:rStyle w:val="InternetLink"/>
                  <w:rFonts w:ascii="Arial;sans-serif" w:hAnsi="Arial;sans-serif"/>
                  <w:b w:val="false"/>
                  <w:strike w:val="false"/>
                  <w:dstrike w:val="false"/>
                  <w:color w:val="000000"/>
                  <w:sz w:val="20"/>
                  <w:u w:val="none"/>
                  <w:effect w:val="none"/>
                </w:rPr>
                <w:t>4</w:t>
              </w:r>
            </w:hyperlink>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857567ba8d654b33b371666775a41902_28">
              <w:r>
                <w:rPr>
                  <w:rStyle w:val="InternetLink"/>
                  <w:rFonts w:ascii="Arial;sans-serif" w:hAnsi="Arial;sans-serif"/>
                  <w:b w:val="false"/>
                  <w:color w:val="0000FF"/>
                  <w:sz w:val="20"/>
                  <w:u w:val="single"/>
                </w:rPr>
                <w:t>Condensed Consolidated Statements of Cash Flows</w:t>
              </w:r>
            </w:hyperlink>
          </w:p>
          <w:p>
            <w:pPr>
              <w:pStyle w:val="TableContents"/>
              <w:spacing w:lineRule="auto" w:line="240" w:before="0" w:after="0"/>
              <w:ind w:left="0" w:right="0" w:hanging="180"/>
              <w:jc w:val="left"/>
              <w:rPr/>
            </w:pPr>
            <w:r>
              <w:rPr>
                <w:color w:val="000000"/>
              </w:rPr>
              <w:t>   </w:t>
            </w:r>
            <w:hyperlink w:anchor="i857567ba8d654b33b371666775a41902_28">
              <w:r>
                <w:rPr>
                  <w:rStyle w:val="InternetLink"/>
                  <w:rFonts w:ascii="Arial;sans-serif" w:hAnsi="Arial;sans-serif"/>
                  <w:b w:val="false"/>
                  <w:color w:val="0000FF"/>
                  <w:sz w:val="20"/>
                  <w:u w:val="single"/>
                </w:rPr>
                <w:t>for the Three Months Ended March 31, 2023 and 2022</w:t>
              </w:r>
            </w:hyperlink>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57567ba8d654b33b371666775a41902_28">
              <w:r>
                <w:rPr>
                  <w:rStyle w:val="InternetLink"/>
                  <w:rFonts w:ascii="Arial;sans-serif" w:hAnsi="Arial;sans-serif"/>
                  <w:b w:val="false"/>
                  <w:strike w:val="false"/>
                  <w:dstrike w:val="false"/>
                  <w:color w:val="000000"/>
                  <w:sz w:val="20"/>
                  <w:u w:val="none"/>
                  <w:effect w:val="none"/>
                </w:rPr>
                <w:t>5</w:t>
              </w:r>
            </w:hyperlink>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857567ba8d654b33b371666775a41902_31">
              <w:r>
                <w:rPr>
                  <w:rStyle w:val="InternetLink"/>
                  <w:rFonts w:ascii="Arial;sans-serif" w:hAnsi="Arial;sans-serif"/>
                  <w:b w:val="false"/>
                  <w:color w:val="0000FF"/>
                  <w:sz w:val="20"/>
                  <w:u w:val="single"/>
                </w:rPr>
                <w:t>Notes to Condensed Consolidated Financial Statements</w:t>
              </w:r>
            </w:hyperlink>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57567ba8d654b33b371666775a41902_31">
              <w:r>
                <w:rPr>
                  <w:rStyle w:val="InternetLink"/>
                  <w:rFonts w:ascii="Arial;sans-serif" w:hAnsi="Arial;sans-serif"/>
                  <w:b w:val="false"/>
                  <w:strike w:val="false"/>
                  <w:dstrike w:val="false"/>
                  <w:color w:val="000000"/>
                  <w:sz w:val="20"/>
                  <w:u w:val="none"/>
                  <w:effect w:val="none"/>
                </w:rPr>
                <w:t>6</w:t>
              </w:r>
            </w:hyperlink>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857567ba8d654b33b371666775a41902_85">
              <w:r>
                <w:rPr>
                  <w:rStyle w:val="InternetLink"/>
                  <w:rFonts w:ascii="Arial;sans-serif" w:hAnsi="Arial;sans-serif"/>
                  <w:b w:val="false"/>
                  <w:color w:val="0000FF"/>
                  <w:sz w:val="20"/>
                  <w:u w:val="single"/>
                </w:rPr>
                <w:t>Management’s Discussion and Analysis of Financial Condition and Results of Operations</w:t>
              </w:r>
            </w:hyperlink>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57567ba8d654b33b371666775a41902_85">
              <w:r>
                <w:rPr>
                  <w:rStyle w:val="InternetLink"/>
                  <w:rFonts w:ascii="Arial;sans-serif" w:hAnsi="Arial;sans-serif"/>
                  <w:b w:val="false"/>
                  <w:strike w:val="false"/>
                  <w:dstrike w:val="false"/>
                  <w:color w:val="000000"/>
                  <w:sz w:val="20"/>
                  <w:u w:val="none"/>
                  <w:effect w:val="none"/>
                </w:rPr>
                <w:t>30</w:t>
              </w:r>
            </w:hyperlink>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57567ba8d654b33b371666775a41902_127">
              <w:r>
                <w:rPr>
                  <w:rStyle w:val="InternetLink"/>
                  <w:rFonts w:ascii="Arial;sans-serif" w:hAnsi="Arial;sans-serif"/>
                  <w:b w:val="false"/>
                  <w:color w:val="0000FF"/>
                  <w:sz w:val="20"/>
                  <w:u w:val="single"/>
                </w:rPr>
                <w:t>Quantitative and Qualitative Disclosures about Market Risk</w:t>
              </w:r>
            </w:hyperlink>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57567ba8d654b33b371666775a41902_127">
              <w:r>
                <w:rPr>
                  <w:rStyle w:val="InternetLink"/>
                  <w:rFonts w:ascii="Arial;sans-serif" w:hAnsi="Arial;sans-serif"/>
                  <w:b w:val="false"/>
                  <w:strike w:val="false"/>
                  <w:dstrike w:val="false"/>
                  <w:color w:val="000000"/>
                  <w:sz w:val="20"/>
                  <w:u w:val="none"/>
                  <w:effect w:val="none"/>
                </w:rPr>
                <w:t>50</w:t>
              </w:r>
            </w:hyperlink>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57567ba8d654b33b371666775a41902_130">
              <w:r>
                <w:rPr>
                  <w:rStyle w:val="InternetLink"/>
                  <w:rFonts w:ascii="Arial;sans-serif" w:hAnsi="Arial;sans-serif"/>
                  <w:b w:val="false"/>
                  <w:color w:val="0000FF"/>
                  <w:sz w:val="20"/>
                  <w:u w:val="single"/>
                </w:rPr>
                <w:t>Controls and Procedures</w:t>
              </w:r>
            </w:hyperlink>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57567ba8d654b33b371666775a41902_130">
              <w:r>
                <w:rPr>
                  <w:rStyle w:val="InternetLink"/>
                  <w:rFonts w:ascii="Arial;sans-serif" w:hAnsi="Arial;sans-serif"/>
                  <w:b w:val="false"/>
                  <w:strike w:val="false"/>
                  <w:dstrike w:val="false"/>
                  <w:color w:val="000000"/>
                  <w:sz w:val="20"/>
                  <w:u w:val="none"/>
                  <w:effect w:val="none"/>
                </w:rPr>
                <w:t>50</w:t>
              </w:r>
            </w:hyperlink>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PART II - </w:t>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INFORMATION</w:t>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57567ba8d654b33b371666775a41902_136">
              <w:r>
                <w:rPr>
                  <w:rStyle w:val="InternetLink"/>
                  <w:rFonts w:ascii="Arial;sans-serif" w:hAnsi="Arial;sans-serif"/>
                  <w:b w:val="false"/>
                  <w:color w:val="0000FF"/>
                  <w:sz w:val="20"/>
                  <w:u w:val="single"/>
                </w:rPr>
                <w:t>Legal Proceedings</w:t>
              </w:r>
            </w:hyperlink>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57567ba8d654b33b371666775a41902_136">
              <w:r>
                <w:rPr>
                  <w:rStyle w:val="InternetLink"/>
                  <w:rFonts w:ascii="Arial;sans-serif" w:hAnsi="Arial;sans-serif"/>
                  <w:b w:val="false"/>
                  <w:strike w:val="false"/>
                  <w:dstrike w:val="false"/>
                  <w:color w:val="000000"/>
                  <w:sz w:val="20"/>
                  <w:u w:val="none"/>
                  <w:effect w:val="none"/>
                </w:rPr>
                <w:t>52</w:t>
              </w:r>
            </w:hyperlink>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57567ba8d654b33b371666775a41902_139">
              <w:r>
                <w:rPr>
                  <w:rStyle w:val="InternetLink"/>
                  <w:rFonts w:ascii="Arial;sans-serif" w:hAnsi="Arial;sans-serif"/>
                  <w:b w:val="false"/>
                  <w:color w:val="0000FF"/>
                  <w:sz w:val="20"/>
                  <w:u w:val="single"/>
                </w:rPr>
                <w:t>Risk Factors</w:t>
              </w:r>
            </w:hyperlink>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57567ba8d654b33b371666775a41902_139">
              <w:r>
                <w:rPr>
                  <w:rStyle w:val="InternetLink"/>
                  <w:rFonts w:ascii="Arial;sans-serif" w:hAnsi="Arial;sans-serif"/>
                  <w:b w:val="false"/>
                  <w:strike w:val="false"/>
                  <w:dstrike w:val="false"/>
                  <w:color w:val="000000"/>
                  <w:sz w:val="20"/>
                  <w:u w:val="none"/>
                  <w:effect w:val="none"/>
                </w:rPr>
                <w:t>52</w:t>
              </w:r>
            </w:hyperlink>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57567ba8d654b33b371666775a41902_142">
              <w:r>
                <w:rPr>
                  <w:rStyle w:val="InternetLink"/>
                  <w:rFonts w:ascii="Arial;sans-serif" w:hAnsi="Arial;sans-serif"/>
                  <w:b w:val="false"/>
                  <w:color w:val="0000FF"/>
                  <w:sz w:val="20"/>
                  <w:u w:val="single"/>
                </w:rPr>
                <w:t>Unregistered Sales of Equity Securities and Use of Proceeds</w:t>
              </w:r>
            </w:hyperlink>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57567ba8d654b33b371666775a41902_142">
              <w:r>
                <w:rPr>
                  <w:rStyle w:val="InternetLink"/>
                  <w:rFonts w:ascii="Arial;sans-serif" w:hAnsi="Arial;sans-serif"/>
                  <w:b w:val="false"/>
                  <w:strike w:val="false"/>
                  <w:dstrike w:val="false"/>
                  <w:color w:val="000000"/>
                  <w:sz w:val="20"/>
                  <w:u w:val="none"/>
                  <w:effect w:val="none"/>
                </w:rPr>
                <w:t>52</w:t>
              </w:r>
            </w:hyperlink>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57567ba8d654b33b371666775a41902_145">
              <w:r>
                <w:rPr>
                  <w:rStyle w:val="InternetLink"/>
                  <w:rFonts w:ascii="Arial;sans-serif" w:hAnsi="Arial;sans-serif"/>
                  <w:b w:val="false"/>
                  <w:color w:val="0000FF"/>
                  <w:sz w:val="20"/>
                  <w:u w:val="single"/>
                </w:rPr>
                <w:t>Exhibits</w:t>
              </w:r>
            </w:hyperlink>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57567ba8d654b33b371666775a41902_145">
              <w:r>
                <w:rPr>
                  <w:rStyle w:val="InternetLink"/>
                  <w:rFonts w:ascii="Arial;sans-serif" w:hAnsi="Arial;sans-serif"/>
                  <w:b w:val="false"/>
                  <w:strike w:val="false"/>
                  <w:dstrike w:val="false"/>
                  <w:color w:val="000000"/>
                  <w:sz w:val="20"/>
                  <w:u w:val="none"/>
                  <w:effect w:val="none"/>
                </w:rPr>
                <w:t>53</w:t>
              </w:r>
            </w:hyperlink>
          </w:p>
        </w:tc>
      </w:tr>
      <w:tr>
        <w:trPr/>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9"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57567ba8d654b33b371666775a41902_148">
              <w:r>
                <w:rPr>
                  <w:rStyle w:val="InternetLink"/>
                  <w:rFonts w:ascii="Arial;sans-serif" w:hAnsi="Arial;sans-serif"/>
                  <w:b w:val="false"/>
                  <w:color w:val="0000FF"/>
                  <w:sz w:val="20"/>
                  <w:u w:val="single"/>
                </w:rPr>
                <w:t>Signature</w:t>
              </w:r>
            </w:hyperlink>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57567ba8d654b33b371666775a41902_148">
              <w:r>
                <w:rPr>
                  <w:rStyle w:val="InternetLink"/>
                  <w:rFonts w:ascii="Arial;sans-serif" w:hAnsi="Arial;sans-serif"/>
                  <w:b w:val="false"/>
                  <w:strike w:val="false"/>
                  <w:dstrike w:val="false"/>
                  <w:color w:val="000000"/>
                  <w:sz w:val="20"/>
                  <w:u w:val="none"/>
                  <w:effect w:val="none"/>
                </w:rPr>
                <w:t>54</w:t>
              </w:r>
            </w:hyperlink>
          </w:p>
        </w:tc>
      </w:tr>
    </w:tbl>
    <w:p>
      <w:pPr>
        <w:pStyle w:val="TextBody"/>
        <w:spacing w:before="0" w:after="0"/>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 this report, for all periods presented, “we,” “us,” “our,” “the Company” and “Mondelēz International” refer to Mondelēz International, Inc. and subsidiaries. References to “Common Stock” refer to our Class A Common Stock.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Earnings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per share data)</w:t>
      </w:r>
    </w:p>
    <w:p>
      <w:pPr>
        <w:pStyle w:val="TextBody"/>
        <w:spacing w:lineRule="auto" w:line="288" w:before="0" w:after="0"/>
        <w:jc w:val="center"/>
        <w:rPr/>
      </w:pPr>
      <w:r>
        <w:rPr>
          <w:rFonts w:ascii="Arial;sans-serif" w:hAnsi="Arial;sans-serif"/>
          <w:b/>
          <w:color w:val="000000"/>
          <w:sz w:val="20"/>
        </w:rPr>
        <w:t>(Unaudited)</w:t>
      </w:r>
      <w:r>
        <w:rPr>
          <w:color w:val="000000"/>
        </w:rPr>
        <w:t xml:space="preserve"> </w:t>
      </w:r>
    </w:p>
    <w:tbl>
      <w:tblPr>
        <w:tblW w:w="7619" w:type="dxa"/>
        <w:jc w:val="center"/>
        <w:tblInd w:w="0" w:type="dxa"/>
        <w:tblCellMar>
          <w:top w:w="28" w:type="dxa"/>
          <w:left w:w="28" w:type="dxa"/>
          <w:bottom w:w="28" w:type="dxa"/>
          <w:right w:w="28" w:type="dxa"/>
        </w:tblCellMar>
      </w:tblPr>
      <w:tblGrid>
        <w:gridCol w:w="1728"/>
        <w:gridCol w:w="1514"/>
        <w:gridCol w:w="1528"/>
        <w:gridCol w:w="221"/>
        <w:gridCol w:w="678"/>
        <w:gridCol w:w="114"/>
        <w:gridCol w:w="114"/>
        <w:gridCol w:w="114"/>
        <w:gridCol w:w="114"/>
        <w:gridCol w:w="221"/>
        <w:gridCol w:w="678"/>
        <w:gridCol w:w="114"/>
        <w:gridCol w:w="109"/>
        <w:gridCol w:w="109"/>
        <w:gridCol w:w="109"/>
        <w:gridCol w:w="154"/>
      </w:tblGrid>
      <w:tr>
        <w:trPr/>
        <w:tc>
          <w:tcPr>
            <w:tcW w:w="1728"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 and exit costs</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plan non-service income</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marketable securities</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Gain/(loss) on equity method investment transactions</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 net earnings</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 earnings</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earnings attributable to </w:t>
              <w:br/>
              <w:t>   Mondelēz International</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 share data:</w:t>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earnings per share attributable to </w:t>
              <w:br/>
              <w:t>   Mondelēz International</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Diluted earnings per share attributable to </w:t>
              <w:br/>
              <w:t>   Mondelēz International</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0.61 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Earnings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7378" w:type="dxa"/>
        <w:jc w:val="left"/>
        <w:tblInd w:w="0" w:type="dxa"/>
        <w:tblCellMar>
          <w:top w:w="28" w:type="dxa"/>
          <w:left w:w="28" w:type="dxa"/>
          <w:bottom w:w="28" w:type="dxa"/>
          <w:right w:w="28" w:type="dxa"/>
        </w:tblCellMar>
      </w:tblPr>
      <w:tblGrid>
        <w:gridCol w:w="1638"/>
        <w:gridCol w:w="1436"/>
        <w:gridCol w:w="1455"/>
        <w:gridCol w:w="221"/>
        <w:gridCol w:w="678"/>
        <w:gridCol w:w="114"/>
        <w:gridCol w:w="114"/>
        <w:gridCol w:w="114"/>
        <w:gridCol w:w="114"/>
        <w:gridCol w:w="221"/>
        <w:gridCol w:w="678"/>
        <w:gridCol w:w="114"/>
        <w:gridCol w:w="109"/>
        <w:gridCol w:w="109"/>
        <w:gridCol w:w="109"/>
        <w:gridCol w:w="154"/>
      </w:tblGrid>
      <w:tr>
        <w:trPr/>
        <w:tc>
          <w:tcPr>
            <w:tcW w:w="1638" w:type="dxa"/>
            <w:tcBorders/>
            <w:shd w:fill="auto" w:val="clear"/>
            <w:vAlign w:val="center"/>
          </w:tcPr>
          <w:p>
            <w:pPr>
              <w:pStyle w:val="TableContents"/>
              <w:spacing w:before="0" w:after="283"/>
              <w:rPr>
                <w:sz w:val="4"/>
                <w:szCs w:val="4"/>
              </w:rPr>
            </w:pPr>
            <w:r>
              <w:rPr>
                <w:sz w:val="4"/>
                <w:szCs w:val="4"/>
              </w:rPr>
            </w:r>
          </w:p>
        </w:tc>
        <w:tc>
          <w:tcPr>
            <w:tcW w:w="1436"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earnings/(losses), net of tax:</w:t>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other benefit plans</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cash flow hedges</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earnings/(losses)</w:t>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earnings/(losses)</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less: Comprehensive earnings/(losses) </w:t>
              <w:br/>
              <w:t>   attributable to noncontrolling interests</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Comprehensive earnings/(losses) attributable to </w:t>
            </w:r>
          </w:p>
          <w:p>
            <w:pPr>
              <w:pStyle w:val="TableContents"/>
              <w:spacing w:lineRule="auto" w:line="240" w:before="0" w:after="0"/>
              <w:ind w:left="0" w:right="0" w:hanging="180"/>
              <w:jc w:val="left"/>
              <w:rPr>
                <w:color w:val="000000"/>
              </w:rPr>
            </w:pPr>
            <w:r>
              <w:rPr>
                <w:color w:val="000000"/>
              </w:rPr>
              <w:t>   </w:t>
            </w:r>
            <w:r>
              <w:rPr>
                <w:rFonts w:ascii="Arial;sans-serif" w:hAnsi="Arial;sans-serif"/>
                <w:b w:val="false"/>
                <w:color w:val="000000"/>
                <w:sz w:val="20"/>
              </w:rPr>
              <w:t>Mondelēz International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share data)</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646" w:type="dxa"/>
        <w:jc w:val="center"/>
        <w:tblInd w:w="0" w:type="dxa"/>
        <w:tblCellMar>
          <w:top w:w="28" w:type="dxa"/>
          <w:left w:w="28" w:type="dxa"/>
          <w:bottom w:w="28" w:type="dxa"/>
          <w:right w:w="28" w:type="dxa"/>
        </w:tblCellMar>
      </w:tblPr>
      <w:tblGrid>
        <w:gridCol w:w="2398"/>
        <w:gridCol w:w="2101"/>
        <w:gridCol w:w="2130"/>
        <w:gridCol w:w="211"/>
        <w:gridCol w:w="751"/>
        <w:gridCol w:w="109"/>
        <w:gridCol w:w="109"/>
        <w:gridCol w:w="109"/>
        <w:gridCol w:w="109"/>
        <w:gridCol w:w="306"/>
        <w:gridCol w:w="1090"/>
        <w:gridCol w:w="223"/>
      </w:tblGrid>
      <w:tr>
        <w:trPr/>
        <w:tc>
          <w:tcPr>
            <w:tcW w:w="2398"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c>
          <w:tcPr>
            <w:tcW w:w="21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1,923 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Trade receivables (net of allowances of $60 at March 31, 2023 </w:t>
            </w:r>
          </w:p>
          <w:p>
            <w:pPr>
              <w:pStyle w:val="TableContents"/>
              <w:spacing w:lineRule="auto" w:line="240" w:before="0" w:after="0"/>
              <w:ind w:left="0" w:right="0" w:hanging="180"/>
              <w:jc w:val="left"/>
              <w:rPr>
                <w:color w:val="000000"/>
              </w:rPr>
            </w:pPr>
            <w:r>
              <w:rPr>
                <w:color w:val="000000"/>
              </w:rPr>
              <w:t>   </w:t>
            </w:r>
            <w:r>
              <w:rPr>
                <w:rFonts w:ascii="Arial;sans-serif" w:hAnsi="Arial;sans-serif"/>
                <w:b w:val="false"/>
                <w:color w:val="000000"/>
                <w:sz w:val="20"/>
              </w:rPr>
              <w:t>and $45 at December 31, 2022)</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3,088 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Other receivables (net of allowances of $65 at March 31, 2023 </w:t>
            </w:r>
          </w:p>
          <w:p>
            <w:pPr>
              <w:pStyle w:val="TableContents"/>
              <w:spacing w:lineRule="auto" w:line="240" w:before="0" w:after="0"/>
              <w:ind w:left="0" w:right="0" w:hanging="180"/>
              <w:jc w:val="left"/>
              <w:rPr>
                <w:color w:val="000000"/>
              </w:rPr>
            </w:pPr>
            <w:r>
              <w:rPr>
                <w:color w:val="000000"/>
              </w:rPr>
              <w:t>   </w:t>
            </w:r>
            <w:r>
              <w:rPr>
                <w:rFonts w:ascii="Arial;sans-serif" w:hAnsi="Arial;sans-serif"/>
                <w:b w:val="false"/>
                <w:color w:val="000000"/>
                <w:sz w:val="20"/>
              </w:rPr>
              <w:t>and $59 at December 31, 2022)</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9,020 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23,450 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19,710 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pension assets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1,862 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71,161 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borrowings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2,299 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7,562 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marketing</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2,370 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employment costs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3,168 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16,731 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20,251 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operating lease liabilities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pension costs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postretirement health care costs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2,688 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44,241 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12)</w:t>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Common Stock, no par value (5,000,000,000 shares authorized and </w:t>
            </w:r>
          </w:p>
          <w:p>
            <w:pPr>
              <w:pStyle w:val="TableContents"/>
              <w:spacing w:lineRule="auto" w:line="240" w:before="0" w:after="0"/>
              <w:ind w:left="0" w:right="0" w:hanging="180"/>
              <w:jc w:val="left"/>
              <w:rPr>
                <w:color w:val="000000"/>
              </w:rPr>
            </w:pPr>
            <w:r>
              <w:rPr>
                <w:color w:val="000000"/>
              </w:rPr>
              <w:t>   </w:t>
            </w:r>
            <w:r>
              <w:rPr>
                <w:rFonts w:ascii="Arial;sans-serif" w:hAnsi="Arial;sans-serif"/>
                <w:b w:val="false"/>
                <w:color w:val="000000"/>
                <w:sz w:val="20"/>
              </w:rPr>
              <w:t>1,996,537,778 shares issued at March 31, 2023 and December 31, 2022)</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32,143 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31,481 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(10,947)</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Treasury stock, at cost (634,260,938 shares at March 31, 2023 and </w:t>
            </w:r>
          </w:p>
          <w:p>
            <w:pPr>
              <w:pStyle w:val="TableContents"/>
              <w:spacing w:lineRule="auto" w:line="240" w:before="0" w:after="0"/>
              <w:ind w:left="0" w:right="0" w:hanging="180"/>
              <w:jc w:val="left"/>
              <w:rPr>
                <w:color w:val="000000"/>
              </w:rPr>
            </w:pPr>
            <w:r>
              <w:rPr>
                <w:color w:val="000000"/>
              </w:rPr>
              <w:t>   </w:t>
            </w:r>
            <w:r>
              <w:rPr>
                <w:rFonts w:ascii="Arial;sans-serif" w:hAnsi="Arial;sans-serif"/>
                <w:b w:val="false"/>
                <w:color w:val="000000"/>
                <w:sz w:val="20"/>
              </w:rPr>
              <w:t>630,646,687 shares at December 31, 2022)</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(25,794)</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Mondelēz International Shareholders’ Equity</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26,883 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71,161 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Equity</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per share data)</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CellMar>
          <w:top w:w="28" w:type="dxa"/>
          <w:left w:w="28" w:type="dxa"/>
          <w:bottom w:w="28" w:type="dxa"/>
          <w:right w:w="28" w:type="dxa"/>
        </w:tblCellMar>
      </w:tblPr>
      <w:tblGrid>
        <w:gridCol w:w="765"/>
        <w:gridCol w:w="528"/>
        <w:gridCol w:w="534"/>
        <w:gridCol w:w="211"/>
        <w:gridCol w:w="406"/>
        <w:gridCol w:w="109"/>
        <w:gridCol w:w="109"/>
        <w:gridCol w:w="109"/>
        <w:gridCol w:w="109"/>
        <w:gridCol w:w="181"/>
        <w:gridCol w:w="571"/>
        <w:gridCol w:w="109"/>
        <w:gridCol w:w="109"/>
        <w:gridCol w:w="109"/>
        <w:gridCol w:w="109"/>
        <w:gridCol w:w="181"/>
        <w:gridCol w:w="571"/>
        <w:gridCol w:w="109"/>
        <w:gridCol w:w="109"/>
        <w:gridCol w:w="109"/>
        <w:gridCol w:w="109"/>
        <w:gridCol w:w="230"/>
        <w:gridCol w:w="726"/>
        <w:gridCol w:w="140"/>
        <w:gridCol w:w="109"/>
        <w:gridCol w:w="109"/>
        <w:gridCol w:w="109"/>
        <w:gridCol w:w="181"/>
        <w:gridCol w:w="592"/>
        <w:gridCol w:w="109"/>
        <w:gridCol w:w="109"/>
        <w:gridCol w:w="109"/>
        <w:gridCol w:w="109"/>
        <w:gridCol w:w="331"/>
        <w:gridCol w:w="550"/>
        <w:gridCol w:w="200"/>
        <w:gridCol w:w="109"/>
        <w:gridCol w:w="109"/>
        <w:gridCol w:w="109"/>
        <w:gridCol w:w="181"/>
        <w:gridCol w:w="571"/>
        <w:gridCol w:w="157"/>
      </w:tblGrid>
      <w:tr>
        <w:trPr/>
        <w:tc>
          <w:tcPr>
            <w:tcW w:w="76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3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Mondelēz International Shareholders’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Common</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Earnings/</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Non-controlling</w:t>
              <w:br/>
              <w:t>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br/>
              <w:t>Equity</w:t>
            </w:r>
          </w:p>
        </w:tc>
      </w:tr>
      <w:tr>
        <w:trPr/>
        <w:tc>
          <w:tcPr>
            <w:tcW w:w="18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Three Months Ended March 31, 2023</w:t>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January 1,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(10,947)</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26,920 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Exercise of stock options and issuance of</w:t>
            </w:r>
          </w:p>
          <w:p>
            <w:pPr>
              <w:pStyle w:val="TableContents"/>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Cash dividends declared ($0.390 per share)</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(528)</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March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(10,814)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Three Months Ended March 31, 2022</w:t>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January 1, 2022</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(10,624)</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28,323 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Exercise of stock options and issuance of </w:t>
            </w:r>
          </w:p>
          <w:p>
            <w:pPr>
              <w:pStyle w:val="TableContents"/>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Cash dividends declared ($0.315 per share)</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March 31, 2022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(10,425)</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28,216 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r>
        <w:trPr/>
        <w:tc>
          <w:tcPr>
            <w:tcW w:w="18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8322" w:type="dxa"/>
        <w:jc w:val="left"/>
        <w:tblInd w:w="0" w:type="dxa"/>
        <w:tblCellMar>
          <w:top w:w="28" w:type="dxa"/>
          <w:left w:w="28" w:type="dxa"/>
          <w:bottom w:w="28" w:type="dxa"/>
          <w:right w:w="28" w:type="dxa"/>
        </w:tblCellMar>
      </w:tblPr>
      <w:tblGrid>
        <w:gridCol w:w="2138"/>
        <w:gridCol w:w="1880"/>
        <w:gridCol w:w="1891"/>
        <w:gridCol w:w="221"/>
        <w:gridCol w:w="677"/>
        <w:gridCol w:w="114"/>
        <w:gridCol w:w="114"/>
        <w:gridCol w:w="114"/>
        <w:gridCol w:w="114"/>
        <w:gridCol w:w="221"/>
        <w:gridCol w:w="677"/>
        <w:gridCol w:w="161"/>
      </w:tblGrid>
      <w:tr>
        <w:trPr/>
        <w:tc>
          <w:tcPr>
            <w:tcW w:w="2138"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r>
      <w:tr>
        <w:trPr/>
        <w:tc>
          <w:tcPr>
            <w:tcW w:w="5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BY/(USED IN) OPERATING ACTIVITIES</w:t>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earnings to operating cash flows:</w:t>
            </w:r>
          </w:p>
        </w:tc>
        <w:tc>
          <w:tcPr>
            <w:tcW w:w="10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provision/(benefit)</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impairments and accelerated depreciation</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(Gain)/loss on equity method investment transactions</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 net earnings</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from equity method investments</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derivative contracts</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marketable securities</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items, net</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Change in assets and liabilities, </w:t>
              <w:br/>
              <w:t>   net of acquisitions and divestitures:</w:t>
            </w:r>
          </w:p>
        </w:tc>
        <w:tc>
          <w:tcPr>
            <w:tcW w:w="10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pension and postretirement assets and liabilities, net</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BY/(USED IN) INVESTING ACTIVITIES</w:t>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 net of cash received</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divestitures including equity method investments</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(Payments)/proceeds from investments and derivative settlements</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by/(used in) investing activities</w:t>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BY/(USED IN) FINANCING ACTIVITIES</w:t>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r>
      <w:tr>
        <w:trPr/>
        <w:tc>
          <w:tcPr>
            <w:tcW w:w="5909"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issuances/(repayments) of short-term borrowings</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proceeds</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repayments</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(2,306)</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Effect of exchange rate changes on cash, cash equivalents </w:t>
              <w:br/>
              <w:t>   and restricted cash</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w:t>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(Decrease)/Increase</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1. Basis of Presentation </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2022.</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Principles of Consolidation</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with readily determinable fair values for which we do not have the ability to exercise significant influence are measured at fair value.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War in Ukraine</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February 2022, Russia began a military invasion of Ukraine and we closed our operations and facilities in Ukraine. In March 2022, our two Ukrainian manufacturing facilities in Trostyanets and Vyshhorod were significantly damaged. During the first quarter of 2022, we evaluated and impaired these and other related assets. We recorded $143 million of total expenses ($145 million after-tax) incurred as a direct result of the war. We reversed $22 million during the remainder of 2022 and $3 million during the first quarter of 2023 of previously recorded charges primarily as a result of higher than expected collection of trade receivables and inventory recoveries. We continue to make targeted repairs on both our plants and have partially reopened and restarted limited production in both plants. We also continue to support our Ukraine employees, including paying salaries to those not yet able to return to work until full production returns. We continue to consolidate both our Ukrainian and Russian subsidiaries and continue to evaluate our ability to control our operating activities and businesses on an ongoing basis. We base our estimates on historical experience, expectations of future impacts and other assumptions that we believe are reasonable. Given the uncertainty of the ongoing effects of the war in Ukraine, and its impact on the global economic environment, our estimates could be significantly different than future performance.</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Highly Inflationary Accounting</w:t>
      </w:r>
    </w:p>
    <w:p>
      <w:pPr>
        <w:pStyle w:val="TextBody"/>
        <w:spacing w:lineRule="auto" w:line="288" w:before="0" w:after="0"/>
        <w:jc w:val="both"/>
        <w:rPr/>
      </w:pPr>
      <w:r>
        <w:rPr>
          <w:rFonts w:ascii="Arial;sans-serif" w:hAnsi="Arial;sans-serif"/>
          <w:b w:val="false"/>
          <w:color w:val="000000"/>
          <w:sz w:val="20"/>
        </w:rPr>
        <w:t xml:space="preserve">Within our consolidated entities, Argentina and </w:t>
      </w:r>
      <w:r>
        <w:rPr>
          <w:rFonts w:ascii="Arial;sans-serif" w:hAnsi="Arial;sans-serif"/>
          <w:b w:val="false"/>
          <w:i/>
          <w:color w:val="000000"/>
          <w:sz w:val="20"/>
        </w:rPr>
        <w:t xml:space="preserve">Türkiye </w:t>
      </w:r>
      <w:r>
        <w:rPr>
          <w:rFonts w:ascii="Arial;sans-serif" w:hAnsi="Arial;sans-serif"/>
          <w:b w:val="false"/>
          <w:color w:val="000000"/>
          <w:sz w:val="20"/>
        </w:rPr>
        <w:t>(Turkey)</w:t>
      </w:r>
      <w:r>
        <w:rPr>
          <w:color w:val="000000"/>
        </w:rPr>
        <w:t xml:space="preserve"> </w:t>
      </w:r>
      <w:r>
        <w:rPr>
          <w:rFonts w:ascii="Arial;sans-serif" w:hAnsi="Arial;sans-serif"/>
          <w:b w:val="false"/>
          <w:color w:val="000000"/>
          <w:sz w:val="20"/>
        </w:rPr>
        <w:t>are accounted for as highly inflationary economies. Argentina and Türkiye represent 1.5% and 1.0% of our consolidated net revenues with remeasurement losses of $11 million and $1 million for the period ended March 31, 2023, respectively.</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Cash Equivalents and Restricted Cash</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and cash equivalents include demand deposits with banks and all highly liquid investments with original maturities of three months or less. We also have restricted cash within other current assets of $22 million as of March 31, 2023 and $25 million as of December 31, 2022. Total cash, cash equivalents and restricted cash was $1,939 million as of March 31, 2023 and $1,948 million as of December 31, 2022.</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Allowances for Credit Losses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allowances for credit losses consisted of:</w:t>
      </w:r>
    </w:p>
    <w:tbl>
      <w:tblPr>
        <w:tblW w:w="10205" w:type="dxa"/>
        <w:jc w:val="center"/>
        <w:tblInd w:w="0" w:type="dxa"/>
        <w:tblCellMar>
          <w:top w:w="28" w:type="dxa"/>
          <w:left w:w="28" w:type="dxa"/>
          <w:bottom w:w="28" w:type="dxa"/>
          <w:right w:w="28" w:type="dxa"/>
        </w:tblCellMar>
      </w:tblPr>
      <w:tblGrid>
        <w:gridCol w:w="1390"/>
        <w:gridCol w:w="883"/>
        <w:gridCol w:w="887"/>
        <w:gridCol w:w="581"/>
        <w:gridCol w:w="1037"/>
        <w:gridCol w:w="303"/>
        <w:gridCol w:w="109"/>
        <w:gridCol w:w="109"/>
        <w:gridCol w:w="109"/>
        <w:gridCol w:w="685"/>
        <w:gridCol w:w="1223"/>
        <w:gridCol w:w="358"/>
        <w:gridCol w:w="109"/>
        <w:gridCol w:w="109"/>
        <w:gridCol w:w="109"/>
        <w:gridCol w:w="626"/>
        <w:gridCol w:w="1116"/>
        <w:gridCol w:w="462"/>
      </w:tblGrid>
      <w:tr>
        <w:trPr/>
        <w:tc>
          <w:tcPr>
            <w:tcW w:w="1390"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r>
      <w:tr>
        <w:trPr/>
        <w:tc>
          <w:tcPr>
            <w:tcW w:w="3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Allowance for Trade Receivables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Allowance for Other Current Receivables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Allowance for Long-Term Receivables</w:t>
            </w:r>
          </w:p>
        </w:tc>
      </w:tr>
      <w:tr>
        <w:trPr/>
        <w:tc>
          <w:tcPr>
            <w:tcW w:w="3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04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2023</w:t>
            </w:r>
          </w:p>
        </w:tc>
        <w:tc>
          <w:tcPr>
            <w:tcW w:w="5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4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period provision for expected credit losses</w:t>
            </w:r>
          </w:p>
        </w:tc>
        <w:tc>
          <w:tcPr>
            <w:tcW w:w="16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Write-offs charged against the allowance</w:t>
            </w:r>
          </w:p>
        </w:tc>
        <w:tc>
          <w:tcPr>
            <w:tcW w:w="16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0" w:type="dxa"/>
            <w:gridSpan w:val="3"/>
            <w:tcBorders/>
            <w:shd w:fill="auto" w:val="clear"/>
            <w:vAlign w:val="center"/>
          </w:tcPr>
          <w:p>
            <w:pPr>
              <w:pStyle w:val="TableContents"/>
              <w:spacing w:before="0" w:after="283"/>
              <w:rPr>
                <w:sz w:val="4"/>
                <w:szCs w:val="4"/>
              </w:rPr>
            </w:pPr>
            <w:r>
              <w:rPr>
                <w:sz w:val="4"/>
                <w:szCs w:val="4"/>
              </w:rPr>
            </w:r>
          </w:p>
        </w:tc>
        <w:tc>
          <w:tcPr>
            <w:tcW w:w="19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r>
      <w:tr>
        <w:trPr/>
        <w:tc>
          <w:tcPr>
            <w:tcW w:w="3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16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2023</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Transfers of Financial Assets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outstanding principal amount of receivables under our uncommitted revolving non-recourse accounts receivable factoring arrangements amounted to $858 million as of March 31, 2023 and $516 million as of December 31, 2022. The incremental cost of factoring receivables under this arrangement was not material for all periods presented. The proceeds from the sales of receivables are included in cash from operating activities in the condensed consolidated statements of cash flows.</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Non-Cash Lease Transactions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recorded $39 million in operating lease and $27 million in finance lease right-of-use assets obtained in exchange for lease obligations during the three months ended March 31, 2023 and $95 million in operating lease and $56 million in finance lease right-of-use assets obtained in exchange for lease obligations during the three months ended March 31, 2022.</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Supply Chain Financing</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part of our continued efforts to improve our working capital efficiency, we have worked with our suppliers over the past several years to optimize our terms and conditions, which include the extension of payment terms. Our current payment terms with a majority of our suppliers are from 30 to 180 days, which we deem to be commercially reasonable. We also facilitate voluntary supply chain financing (“SCF”) programs through several participating financial institutions. Under these programs, our suppliers, at their sole discretion, determine invoices that they want to sell to participating financial institutions. Our suppliers’ voluntary inclusion of invoices in SCF programs has no bearing on our payment terms or amounts due. Our responsibility is limited to making payments based upon the agreed-upon contractual terms. No guarantees are provided by the Company or any of our subsidiaries under the SCF programs and we have no economic interest in the suppliers’ decision to participate in the SCF programs. Amounts due to our suppliers that elected to participate in the SCF program are included in accounts payable in our consolidated balance sheet. We have been informed by the participating financial institutions that as of March 31, 2023 and December 31, 2022, $2.5 billion and $2.4 billion, respectively, of our outstanding accounts payable related to suppliers that participate in the SCF programs.</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New Accounting Pronouncements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October 2021, the Financial Accounting Standards Board (“FASB”) issued an Accounting Standards Update (“ASU”) which requires companies to recognize and measure customer contract assets and contract liabilities acquired in a business combination as if the acquiring company originated the related revenue contracts. Prior to adopting this ASU, acquired contract assets and liabilities were measured at fair value. This ASU is effective for fiscal years beginning after December 15, 2022 and early adoption is permitted. We adopted this standard in the first quarter of 2023 and it did not have an impact on our consolidated financial statements.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September 2022, the FASB issued an ASU which enhances the transparency of supplier finance programs by requiring additional disclosure about the key terms of these programs and a roll-forward of the related obligations to understand the effects of these programs on working capital, liquidity and cash flows. The ASU is effective for fiscal years beginning after December 15, 2022, except for the roll-forward requirement, which is effective for fiscal years beginning after December 15, 2023. Early adoption is permitted. We adopted, with the exception of the roll-forward requirement, this standard in the first quarter of 2023 and it did not have a material impact on our consolidated financial statements and related disclosures.</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2. Acquisitions and Divestitures </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Acquisitions</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Ricolino</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On November 1, 2022, we acquired 100% of the equity of Grupo Bimbo's confectionery business, Ricolino, located primarily in Mexico. The acquisition of Ricolino builds on our continued prioritization of fast-growing snacking segments in key geographies. The cash consideration paid for Ricolino totaled $26 billion Mexican pesos ($1.3 billion), net of cash received.</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working to complete the valuation of assets acquired and liabilities assumed and have recorded a preliminary purchase price allocation of:</w:t>
      </w:r>
    </w:p>
    <w:p>
      <w:pPr>
        <w:pStyle w:val="TextBody"/>
        <w:spacing w:before="0" w:after="0"/>
        <w:jc w:val="both"/>
        <w:rPr/>
      </w:pPr>
      <w:r>
        <w:rPr/>
      </w:r>
    </w:p>
    <w:tbl>
      <w:tblPr>
        <w:tblW w:w="4154" w:type="dxa"/>
        <w:jc w:val="left"/>
        <w:tblInd w:w="0" w:type="dxa"/>
        <w:tblCellMar>
          <w:top w:w="28" w:type="dxa"/>
          <w:left w:w="28" w:type="dxa"/>
          <w:bottom w:w="28" w:type="dxa"/>
          <w:right w:w="28" w:type="dxa"/>
        </w:tblCellMar>
      </w:tblPr>
      <w:tblGrid>
        <w:gridCol w:w="1095"/>
        <w:gridCol w:w="963"/>
        <w:gridCol w:w="971"/>
        <w:gridCol w:w="238"/>
        <w:gridCol w:w="713"/>
        <w:gridCol w:w="174"/>
      </w:tblGrid>
      <w:tr>
        <w:trPr/>
        <w:tc>
          <w:tcPr>
            <w:tcW w:w="1095"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 right of use assets</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Definite-life intangible assets</w:t>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Indefinite-life intangible assets</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 acquired</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1,613</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liability</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purchase price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1,330</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cash received</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Paid</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1,308</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Within </w:t>
      </w:r>
      <w:r>
        <w:rPr>
          <w:rFonts w:ascii="Arial;sans-serif" w:hAnsi="Arial;sans-serif"/>
          <w:b w:val="false"/>
          <w:color w:val="000000"/>
          <w:sz w:val="20"/>
          <w:highlight w:val="white"/>
        </w:rPr>
        <w:t>identifiable</w:t>
      </w:r>
      <w:r>
        <w:rPr>
          <w:color w:val="000000"/>
        </w:rPr>
        <w:t xml:space="preserve"> </w:t>
      </w:r>
      <w:r>
        <w:rPr>
          <w:rFonts w:ascii="Arial;sans-serif" w:hAnsi="Arial;sans-serif"/>
          <w:b w:val="false"/>
          <w:color w:val="000000"/>
          <w:sz w:val="20"/>
        </w:rPr>
        <w:t xml:space="preserve">intangible assets, we allocated $339 million to trade names, which have an indefinite life. The fair value for the </w:t>
      </w:r>
      <w:r>
        <w:rPr>
          <w:rFonts w:ascii="Arial;sans-serif" w:hAnsi="Arial;sans-serif"/>
          <w:b w:val="false"/>
          <w:i/>
          <w:color w:val="000000"/>
          <w:sz w:val="20"/>
        </w:rPr>
        <w:t xml:space="preserve">Ricolino, Dulces Vero, LaCorona and Coronado </w:t>
      </w:r>
      <w:r>
        <w:rPr>
          <w:rFonts w:ascii="Arial;sans-serif" w:hAnsi="Arial;sans-serif"/>
          <w:b w:val="false"/>
          <w:color w:val="000000"/>
          <w:sz w:val="20"/>
        </w:rPr>
        <w:t xml:space="preserve">trade names were determined using the Relief from Royalty method, a form of the income approach, at the acquisition date. The fair value measurement of indefinite-life intangible assets are based on significant </w:t>
      </w:r>
      <w:r>
        <w:rPr>
          <w:rFonts w:ascii="Arial;sans-serif" w:hAnsi="Arial;sans-serif"/>
          <w:b w:val="false"/>
          <w:color w:val="000000"/>
          <w:sz w:val="20"/>
          <w:highlight w:val="white"/>
        </w:rPr>
        <w:t>unobservable inputs, and thus represent Leve</w:t>
      </w:r>
      <w:r>
        <w:rPr>
          <w:rFonts w:ascii="Arial;sans-serif" w:hAnsi="Arial;sans-serif"/>
          <w:b w:val="false"/>
          <w:color w:val="000000"/>
          <w:sz w:val="20"/>
        </w:rPr>
        <w:t>l 3 inputs. Significant assumptions used in assessing the fair values of intangible assets include estimates of future sales, discount and royalty rates.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Goodwill was determined as the excess of the purchase price over the fair value of the net assets acquired and arises principally as a result of expansion opportunities and synergies across both new and legacy product categories in Mexico. None of the goodwill recognized is expected to be deductible for income tax purposes. All of the goodwill was assigned to the Latin American operating segment.</w:t>
      </w:r>
    </w:p>
    <w:p>
      <w:pPr>
        <w:pStyle w:val="TextBody"/>
        <w:spacing w:before="0" w:after="0"/>
        <w:jc w:val="both"/>
        <w:rPr/>
      </w:pPr>
      <w:r>
        <w:rPr/>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 xml:space="preserve">Ricolino added incremental net revenues of $171 million and operating income of $9 million during the three months ended March 31, 2023. We incurred acquisition integration costs of $6 million during the three months ended March 31, 2023.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Clif Bar</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August 1, 2022, we acquired 100% of the equity of Clif Bar &amp; Company (“Clif Bar”), a leading U.S. maker of nutritious energy bars with organic ingredients. The acquisition expands our global snack bar business and complements our refrigerated snacking and performance nutrition bar portfolios. The total cash payment of $2.9 billion includes purchase price consideration of $2.6 billion, net of cash received, and one-time compensation expense of $0.3 billion related to the buyout of the non-vested employee stock ownership plan ("ESOP") shares. This compensation expense is considered an acquisition-related cost. The acquisition of Clif Bar includes a contingent consideration arrangement that may require us to pay additional consideration to the sellers for achieving certain revenue and earnings targets in 2025 and 2026 that exceed our base financial projections for the business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implied in the upfront purchase price. The possible payments range from zero to a maximum total of $2.4 billion, with higher payouts requiring the achievement of targets that generate rates of returns in excess of the base financial projections. The estimated fair value of the contingent consideration obligation at the acquisition date was $440 million determined using a Monte Carlo simulation. Significant assumptions used in assessing the fair value of the liability include financial projections for net revenue, gross profit, and earnings before interest, tax, depreciation and amortization ("EBITDA"), as well as discount and volatility rates. </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working to complete the valuation of assets acquired and liabilities assumed and have recorded a preliminary purchase price allocation of:</w:t>
      </w:r>
    </w:p>
    <w:p>
      <w:pPr>
        <w:pStyle w:val="TextBody"/>
        <w:spacing w:before="0" w:after="0"/>
        <w:rPr/>
      </w:pPr>
      <w:r>
        <w:rPr/>
      </w:r>
    </w:p>
    <w:tbl>
      <w:tblPr>
        <w:tblW w:w="4154" w:type="dxa"/>
        <w:jc w:val="left"/>
        <w:tblInd w:w="0" w:type="dxa"/>
        <w:tblCellMar>
          <w:top w:w="28" w:type="dxa"/>
          <w:left w:w="28" w:type="dxa"/>
          <w:bottom w:w="28" w:type="dxa"/>
          <w:right w:w="28" w:type="dxa"/>
        </w:tblCellMar>
      </w:tblPr>
      <w:tblGrid>
        <w:gridCol w:w="1095"/>
        <w:gridCol w:w="963"/>
        <w:gridCol w:w="971"/>
        <w:gridCol w:w="238"/>
        <w:gridCol w:w="713"/>
        <w:gridCol w:w="174"/>
      </w:tblGrid>
      <w:tr>
        <w:trPr/>
        <w:tc>
          <w:tcPr>
            <w:tcW w:w="1095"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 right of use assets</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Definite-life intangible assets</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Indefinite-life intangible assets</w:t>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 acquired</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3,289</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purchase price</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2,675</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cash received</w:t>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Paid</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2,576</w:t>
            </w: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pPr>
      <w:r>
        <w:rPr>
          <w:rFonts w:ascii="Arial;sans-serif" w:hAnsi="Arial;sans-serif"/>
          <w:b w:val="false"/>
          <w:color w:val="000000"/>
          <w:sz w:val="20"/>
          <w:highlight w:val="white"/>
        </w:rPr>
        <w:t xml:space="preserve">Within identifiable intangible assets, we allocated $1,450 million to trade names, which have an indefinite life. The fair value for the </w:t>
      </w:r>
      <w:r>
        <w:rPr>
          <w:rFonts w:ascii="Arial;sans-serif" w:hAnsi="Arial;sans-serif"/>
          <w:b w:val="false"/>
          <w:i/>
          <w:color w:val="000000"/>
          <w:sz w:val="20"/>
          <w:highlight w:val="white"/>
        </w:rPr>
        <w:t xml:space="preserve">Clif </w:t>
      </w:r>
      <w:r>
        <w:rPr>
          <w:rFonts w:ascii="Arial;sans-serif" w:hAnsi="Arial;sans-serif"/>
          <w:b w:val="false"/>
          <w:color w:val="000000"/>
          <w:sz w:val="20"/>
          <w:highlight w:val="white"/>
        </w:rPr>
        <w:t>and</w:t>
      </w:r>
      <w:r>
        <w:rPr>
          <w:color w:val="000000"/>
          <w:highlight w:val="white"/>
        </w:rPr>
        <w:t xml:space="preserve"> </w:t>
      </w:r>
      <w:r>
        <w:rPr>
          <w:rFonts w:ascii="Arial;sans-serif" w:hAnsi="Arial;sans-serif"/>
          <w:b w:val="false"/>
          <w:i/>
          <w:color w:val="000000"/>
          <w:sz w:val="20"/>
          <w:highlight w:val="white"/>
        </w:rPr>
        <w:t>Luna</w:t>
      </w:r>
      <w:r>
        <w:rPr>
          <w:color w:val="000000"/>
          <w:highlight w:val="white"/>
        </w:rPr>
        <w:t xml:space="preserve"> </w:t>
      </w:r>
      <w:r>
        <w:rPr>
          <w:rFonts w:ascii="Arial;sans-serif" w:hAnsi="Arial;sans-serif"/>
          <w:b w:val="false"/>
          <w:color w:val="000000"/>
          <w:sz w:val="20"/>
          <w:highlight w:val="white"/>
        </w:rPr>
        <w:t>trade names, were determined using the Relief from Royalty method, a form of the income approach, at the acquisition date. The fair value measurement of intangible assets are based on significant unobservable inputs, and thus represent Leve</w:t>
      </w:r>
      <w:r>
        <w:rPr>
          <w:rFonts w:ascii="Arial;sans-serif" w:hAnsi="Arial;sans-serif"/>
          <w:b w:val="false"/>
          <w:color w:val="000000"/>
          <w:sz w:val="20"/>
        </w:rPr>
        <w:t>l 3 inputs. Significant assumptions used in assessing the fair values of intangible assets include forecasted future revenue, discount and royalty rates. We expect to generate a meaningful cash tax benefit over time from the amortization of acquisition-related intangibles.</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Goodwill was determined as the excess of the purchase price over the fair value of the net assets acquired and arises principally as a result of expansion opportunities and synergies across the U.S. and other key markets. All of the goodwill was assigned to the North America operating segment. Tax deductible goodwill is expected to be $1.4 billion and will be amortized.</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Clif Bar added incremental net revenues of $218 million and operating income of $35 million during the three months ended March 31, 2023. We incurred acquisition integration costs of $39 million during the three months ended March 31, 2023. These acquisition integration costs include an increase to the contingent consideration liability due to changes to underlying assumptions. Refer to Note 9,</w:t>
      </w:r>
      <w:r>
        <w:rPr>
          <w:color w:val="000000"/>
        </w:rPr>
        <w:t xml:space="preserve"> </w:t>
      </w:r>
      <w:r>
        <w:rPr>
          <w:rFonts w:ascii="Arial;sans-serif" w:hAnsi="Arial;sans-serif"/>
          <w:b w:val="false"/>
          <w:i/>
          <w:color w:val="000000"/>
          <w:sz w:val="20"/>
        </w:rPr>
        <w:t>Financial Instruments</w:t>
      </w:r>
      <w:r>
        <w:rPr>
          <w:color w:val="000000"/>
        </w:rPr>
        <w:t xml:space="preserve"> </w:t>
      </w:r>
      <w:r>
        <w:rPr>
          <w:rFonts w:ascii="Arial;sans-serif" w:hAnsi="Arial;sans-serif"/>
          <w:b w:val="false"/>
          <w:color w:val="000000"/>
          <w:sz w:val="20"/>
        </w:rPr>
        <w:t xml:space="preserve">for additional information.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Chipita</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January 3, 2022, we acquired 100% of the equity of Chipita Global S.A. (“Chipita”), a leading croissants and baked snacks company in the Central and Eastern European markets. The acquisition of Chipita offers a strategic complement to our existing portfolio and advances our strategy to become the global leader in broader snacking. The cash consideration paid for Chipita totaled €1.2 billion ($1.4 billion), net of cash received, plus the assumption of Chipita’s debt of €0.5 billion ($0.4 billion) for a total purchase price of €1.7 billion ($1.8 billion). </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recorded a purchase price allocation of net tangible and intangible assets acquired and liabilities assumed as follows:</w:t>
      </w:r>
    </w:p>
    <w:tbl>
      <w:tblPr>
        <w:tblW w:w="4113" w:type="dxa"/>
        <w:jc w:val="left"/>
        <w:tblInd w:w="0" w:type="dxa"/>
        <w:tblCellMar>
          <w:top w:w="28" w:type="dxa"/>
          <w:left w:w="28" w:type="dxa"/>
          <w:bottom w:w="28" w:type="dxa"/>
          <w:right w:w="28" w:type="dxa"/>
        </w:tblCellMar>
      </w:tblPr>
      <w:tblGrid>
        <w:gridCol w:w="1041"/>
        <w:gridCol w:w="916"/>
        <w:gridCol w:w="923"/>
        <w:gridCol w:w="239"/>
        <w:gridCol w:w="717"/>
        <w:gridCol w:w="123"/>
        <w:gridCol w:w="154"/>
      </w:tblGrid>
      <w:tr>
        <w:trPr/>
        <w:tc>
          <w:tcPr>
            <w:tcW w:w="104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 right of use assets</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Definite-life intangible assets</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Indefinite-life intangible assets</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 acquired</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2,210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liability</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liabilities</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purchase price</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1,890</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long-term debt</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cash received</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Paid</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1,402</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highlight w:val="white"/>
        </w:rPr>
        <w:t xml:space="preserve">Within identifiable intangible assets, we allocated $686 million to trade names, which have an indefinite life. The fair value for the </w:t>
      </w:r>
      <w:r>
        <w:rPr>
          <w:rFonts w:ascii="Arial;sans-serif" w:hAnsi="Arial;sans-serif"/>
          <w:b w:val="false"/>
          <w:i/>
          <w:color w:val="000000"/>
          <w:sz w:val="20"/>
          <w:highlight w:val="white"/>
        </w:rPr>
        <w:t>7 Days</w:t>
      </w:r>
      <w:r>
        <w:rPr>
          <w:color w:val="000000"/>
          <w:highlight w:val="white"/>
        </w:rPr>
        <w:t xml:space="preserve"> </w:t>
      </w:r>
      <w:r>
        <w:rPr>
          <w:rFonts w:ascii="Arial;sans-serif" w:hAnsi="Arial;sans-serif"/>
          <w:b w:val="false"/>
          <w:color w:val="000000"/>
          <w:sz w:val="20"/>
          <w:highlight w:val="white"/>
        </w:rPr>
        <w:t>trade name, which is the primary asset acquired, was determined using the multi-period excess earnings method under the income approach at the acquisition date. The fair value measurements of intangible assets are based on significant unobservable inputs, and thus represent Leve</w:t>
      </w:r>
      <w:r>
        <w:rPr>
          <w:rFonts w:ascii="Arial;sans-serif" w:hAnsi="Arial;sans-serif"/>
          <w:b w:val="false"/>
          <w:color w:val="000000"/>
          <w:sz w:val="20"/>
        </w:rPr>
        <w:t>l 3 inputs. Significant assumptions used in assessing the fair values of intangible assets include forecasted future cash flows and discount rates.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Goodwill was determined as the excess of the purchase price over the fair value of the net assets acquired and arises principally as a result of expansion opportunities and synergies across both new and legacy product categories. None of the goodwill recognized is expected to be deductible for income tax purposes. All of the goodwill was assigned to the Europe operating segment.</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We incurred acquisition integration costs </w:t>
      </w:r>
      <w:r>
        <w:rPr>
          <w:rFonts w:ascii="Arial;sans-serif" w:hAnsi="Arial;sans-serif"/>
          <w:b w:val="false"/>
          <w:color w:val="000000"/>
          <w:sz w:val="20"/>
          <w:highlight w:val="white"/>
        </w:rPr>
        <w:t xml:space="preserve">of $6 million </w:t>
      </w:r>
      <w:r>
        <w:rPr>
          <w:rFonts w:ascii="Arial;sans-serif" w:hAnsi="Arial;sans-serif"/>
          <w:b w:val="false"/>
          <w:color w:val="000000"/>
          <w:sz w:val="20"/>
        </w:rPr>
        <w:t>during the three months ended March 31, 2023. We incurred acquisition-related costs of $21 million and acquisition integration costs of $35 million during the three months ended March 31, 2022.</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68" w:before="0" w:after="0"/>
        <w:jc w:val="both"/>
        <w:rPr>
          <w:rFonts w:ascii="Arial;sans-serif" w:hAnsi="Arial;sans-serif"/>
          <w:b/>
          <w:color w:val="000000"/>
          <w:sz w:val="20"/>
          <w:highlight w:val="white"/>
        </w:rPr>
      </w:pPr>
      <w:r>
        <w:rPr>
          <w:rFonts w:ascii="Arial;sans-serif" w:hAnsi="Arial;sans-serif"/>
          <w:b/>
          <w:color w:val="000000"/>
          <w:sz w:val="20"/>
          <w:highlight w:val="white"/>
        </w:rPr>
        <w:t>Divestitures</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Developed Market Gum - Held for Sale</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December 16, 2022, Mondelēz entered into an agreement to sell its developed market gum business in North America and Europe for $1.4 billion. It is expected to close in Q4 2023, subject to relevant antitrust approvals and closing conditions. In connection with these agreements, we concluded that the disposal group met the held for sale criteria as of December 31, 2022. The disposal group is included as part of the North America and Europe operating segments. </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incurred divestiture-related costs of $30 million during the three months ended March 31, 2023.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assets and liabilities held for sale are comprised of the following:</w:t>
      </w:r>
    </w:p>
    <w:p>
      <w:pPr>
        <w:pStyle w:val="TextBody"/>
        <w:spacing w:before="0" w:after="0"/>
        <w:rPr/>
      </w:pPr>
      <w:r>
        <w:rPr/>
      </w:r>
    </w:p>
    <w:tbl>
      <w:tblPr>
        <w:tblW w:w="7240" w:type="dxa"/>
        <w:jc w:val="left"/>
        <w:tblInd w:w="0" w:type="dxa"/>
        <w:tblCellMar>
          <w:top w:w="28" w:type="dxa"/>
          <w:left w:w="28" w:type="dxa"/>
          <w:bottom w:w="28" w:type="dxa"/>
          <w:right w:w="28" w:type="dxa"/>
        </w:tblCellMar>
      </w:tblPr>
      <w:tblGrid>
        <w:gridCol w:w="1271"/>
        <w:gridCol w:w="1116"/>
        <w:gridCol w:w="1122"/>
        <w:gridCol w:w="288"/>
        <w:gridCol w:w="883"/>
        <w:gridCol w:w="149"/>
        <w:gridCol w:w="109"/>
        <w:gridCol w:w="109"/>
        <w:gridCol w:w="109"/>
        <w:gridCol w:w="435"/>
        <w:gridCol w:w="1332"/>
        <w:gridCol w:w="317"/>
      </w:tblGrid>
      <w:tr>
        <w:trPr/>
        <w:tc>
          <w:tcPr>
            <w:tcW w:w="1271"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20"/>
              </w:rPr>
              <w:t xml:space="preserve">Current assets held for sale </w:t>
            </w:r>
            <w:r>
              <w:rPr>
                <w:rFonts w:ascii="Arial;sans-serif" w:hAnsi="Arial;sans-serif"/>
                <w:b/>
                <w:color w:val="000000"/>
                <w:sz w:val="13"/>
              </w:rPr>
              <w:t>(1)</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3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w:t>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3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w:t>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3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w:t>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20"/>
              </w:rPr>
              <w:t xml:space="preserve">Noncurrent assets held for sale </w:t>
            </w:r>
            <w:r>
              <w:rPr>
                <w:rFonts w:ascii="Arial;sans-serif" w:hAnsi="Arial;sans-serif"/>
                <w:b/>
                <w:color w:val="000000"/>
                <w:sz w:val="13"/>
              </w:rPr>
              <w:t>(2)</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employment costs</w:t>
            </w:r>
          </w:p>
        </w:tc>
        <w:tc>
          <w:tcPr>
            <w:tcW w:w="13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20"/>
              </w:rPr>
              <w:t xml:space="preserve">Current liabilities held for sale </w:t>
            </w:r>
            <w:r>
              <w:rPr>
                <w:rFonts w:ascii="Arial;sans-serif" w:hAnsi="Arial;sans-serif"/>
                <w:b/>
                <w:color w:val="000000"/>
                <w:sz w:val="13"/>
              </w:rPr>
              <w:t>(3)</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3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20"/>
              </w:rPr>
              <w:t xml:space="preserve">Noncurrent liabilities held for sale </w:t>
            </w:r>
            <w:r>
              <w:rPr>
                <w:rFonts w:ascii="Arial;sans-serif" w:hAnsi="Arial;sans-serif"/>
                <w:b/>
                <w:color w:val="000000"/>
                <w:sz w:val="13"/>
              </w:rPr>
              <w:t>(4)</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40" w:after="283"/>
        <w:ind w:left="0" w:right="0" w:hanging="270"/>
        <w:jc w:val="both"/>
        <w:rPr>
          <w:rFonts w:ascii="Arial;sans-serif" w:hAnsi="Arial;sans-serif"/>
          <w:b w:val="false"/>
          <w:color w:val="000000"/>
          <w:sz w:val="16"/>
        </w:rPr>
      </w:pPr>
      <w:r>
        <w:rPr>
          <w:rFonts w:ascii="Arial;sans-serif" w:hAnsi="Arial;sans-serif"/>
          <w:b w:val="false"/>
          <w:color w:val="000000"/>
          <w:sz w:val="16"/>
        </w:rPr>
        <w:t>(1)Reported in Other current assets on the condensed consolidated balance sheets.</w:t>
      </w:r>
    </w:p>
    <w:p>
      <w:pPr>
        <w:pStyle w:val="TextBody"/>
        <w:spacing w:lineRule="auto" w:line="288" w:before="0" w:after="0"/>
        <w:ind w:left="0" w:right="0" w:hanging="270"/>
        <w:rPr>
          <w:rFonts w:ascii="Arial;sans-serif" w:hAnsi="Arial;sans-serif"/>
          <w:b w:val="false"/>
          <w:color w:val="000000"/>
          <w:sz w:val="16"/>
        </w:rPr>
      </w:pPr>
      <w:r>
        <w:rPr>
          <w:rFonts w:ascii="Arial;sans-serif" w:hAnsi="Arial;sans-serif"/>
          <w:b w:val="false"/>
          <w:color w:val="000000"/>
          <w:sz w:val="16"/>
        </w:rPr>
        <w:t>(2)Reported in Other assets on the condensed consolidated balance sheets.</w:t>
      </w:r>
    </w:p>
    <w:p>
      <w:pPr>
        <w:pStyle w:val="TextBody"/>
        <w:spacing w:lineRule="auto" w:line="288" w:before="0" w:after="0"/>
        <w:ind w:left="0" w:right="0" w:hanging="270"/>
        <w:rPr>
          <w:rFonts w:ascii="Arial;sans-serif" w:hAnsi="Arial;sans-serif"/>
          <w:b w:val="false"/>
          <w:color w:val="000000"/>
          <w:sz w:val="16"/>
        </w:rPr>
      </w:pPr>
      <w:r>
        <w:rPr>
          <w:rFonts w:ascii="Arial;sans-serif" w:hAnsi="Arial;sans-serif"/>
          <w:b w:val="false"/>
          <w:color w:val="000000"/>
          <w:sz w:val="16"/>
        </w:rPr>
        <w:t>(3)Reported in Other current liabilities on the condensed consolidated balance sheets.</w:t>
      </w:r>
    </w:p>
    <w:p>
      <w:pPr>
        <w:pStyle w:val="TextBody"/>
        <w:spacing w:lineRule="auto" w:line="288" w:before="0" w:after="0"/>
        <w:ind w:left="0" w:right="0" w:hanging="270"/>
        <w:rPr>
          <w:rFonts w:ascii="Arial;sans-serif" w:hAnsi="Arial;sans-serif"/>
          <w:b w:val="false"/>
          <w:color w:val="000000"/>
          <w:sz w:val="16"/>
        </w:rPr>
      </w:pPr>
      <w:r>
        <w:rPr>
          <w:rFonts w:ascii="Arial;sans-serif" w:hAnsi="Arial;sans-serif"/>
          <w:b w:val="false"/>
          <w:color w:val="000000"/>
          <w:sz w:val="16"/>
        </w:rPr>
        <w:t>(4)Reported in Other liabilities on the condensed consolidated balance sheets.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3. Inventories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Inventories consisted of the following:</w:t>
      </w:r>
    </w:p>
    <w:tbl>
      <w:tblPr>
        <w:tblW w:w="5470" w:type="dxa"/>
        <w:jc w:val="left"/>
        <w:tblInd w:w="0" w:type="dxa"/>
        <w:tblCellMar>
          <w:top w:w="28" w:type="dxa"/>
          <w:left w:w="28" w:type="dxa"/>
          <w:bottom w:w="28" w:type="dxa"/>
          <w:right w:w="28" w:type="dxa"/>
        </w:tblCellMar>
      </w:tblPr>
      <w:tblGrid>
        <w:gridCol w:w="630"/>
        <w:gridCol w:w="553"/>
        <w:gridCol w:w="556"/>
        <w:gridCol w:w="288"/>
        <w:gridCol w:w="883"/>
        <w:gridCol w:w="149"/>
        <w:gridCol w:w="109"/>
        <w:gridCol w:w="109"/>
        <w:gridCol w:w="109"/>
        <w:gridCol w:w="435"/>
        <w:gridCol w:w="1332"/>
        <w:gridCol w:w="317"/>
      </w:tblGrid>
      <w:tr>
        <w:trPr/>
        <w:tc>
          <w:tcPr>
            <w:tcW w:w="63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product</w:t>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reserves</w:t>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3,627 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4. Property, Plant and Equipment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Property, plant and equipment consisted of the following:</w:t>
      </w:r>
    </w:p>
    <w:tbl>
      <w:tblPr>
        <w:tblW w:w="7031" w:type="dxa"/>
        <w:jc w:val="center"/>
        <w:tblInd w:w="0" w:type="dxa"/>
        <w:tblCellMar>
          <w:top w:w="28" w:type="dxa"/>
          <w:left w:w="28" w:type="dxa"/>
          <w:bottom w:w="28" w:type="dxa"/>
          <w:right w:w="28" w:type="dxa"/>
        </w:tblCellMar>
      </w:tblPr>
      <w:tblGrid>
        <w:gridCol w:w="1195"/>
        <w:gridCol w:w="1050"/>
        <w:gridCol w:w="1055"/>
        <w:gridCol w:w="288"/>
        <w:gridCol w:w="883"/>
        <w:gridCol w:w="149"/>
        <w:gridCol w:w="109"/>
        <w:gridCol w:w="109"/>
        <w:gridCol w:w="109"/>
        <w:gridCol w:w="435"/>
        <w:gridCol w:w="1332"/>
        <w:gridCol w:w="317"/>
      </w:tblGrid>
      <w:tr>
        <w:trPr/>
        <w:tc>
          <w:tcPr>
            <w:tcW w:w="1195"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and land improvements</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building improvements</w:t>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3,319 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3,250 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11,724 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16,231 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w:t>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(7,441)</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(7,211)</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9,020 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three months ended March 31, 2023, capital expenditures of $223 million excluded $290 million of accrued capital expenditures remaining unpaid at March 31, 2023 and included payment for a portion of the $324 million of capital expenditures that were accrued and unpaid at December 31, 2022. For the three months ended March 31, 2022, capital expenditures of $167 million excluded $244 million of accrued capital expenditures remaining unpaid at March 31, 2022 and included payment for a portion of the $249 million of capital expenditures that were accrued and unpaid at December 31, 2021.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5. Goodwill and Intangible Assets </w:t>
      </w:r>
    </w:p>
    <w:p>
      <w:pPr>
        <w:pStyle w:val="TextBody"/>
        <w:spacing w:before="0" w:after="0"/>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Goodwill</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goodwill consisted of:</w:t>
      </w:r>
    </w:p>
    <w:p>
      <w:pPr>
        <w:pStyle w:val="TextBody"/>
        <w:spacing w:before="0" w:after="0"/>
        <w:jc w:val="both"/>
        <w:rPr/>
      </w:pPr>
      <w:r>
        <w:rPr/>
      </w:r>
    </w:p>
    <w:tbl>
      <w:tblPr>
        <w:tblW w:w="9604" w:type="dxa"/>
        <w:jc w:val="left"/>
        <w:tblInd w:w="0" w:type="dxa"/>
        <w:tblCellMar>
          <w:top w:w="28" w:type="dxa"/>
          <w:left w:w="28" w:type="dxa"/>
          <w:bottom w:w="28" w:type="dxa"/>
          <w:right w:w="28" w:type="dxa"/>
        </w:tblCellMar>
      </w:tblPr>
      <w:tblGrid>
        <w:gridCol w:w="1267"/>
        <w:gridCol w:w="873"/>
        <w:gridCol w:w="664"/>
        <w:gridCol w:w="262"/>
        <w:gridCol w:w="803"/>
        <w:gridCol w:w="135"/>
        <w:gridCol w:w="109"/>
        <w:gridCol w:w="109"/>
        <w:gridCol w:w="109"/>
        <w:gridCol w:w="211"/>
        <w:gridCol w:w="646"/>
        <w:gridCol w:w="109"/>
        <w:gridCol w:w="109"/>
        <w:gridCol w:w="109"/>
        <w:gridCol w:w="109"/>
        <w:gridCol w:w="211"/>
        <w:gridCol w:w="646"/>
        <w:gridCol w:w="109"/>
        <w:gridCol w:w="109"/>
        <w:gridCol w:w="109"/>
        <w:gridCol w:w="109"/>
        <w:gridCol w:w="245"/>
        <w:gridCol w:w="873"/>
        <w:gridCol w:w="126"/>
        <w:gridCol w:w="109"/>
        <w:gridCol w:w="109"/>
        <w:gridCol w:w="109"/>
        <w:gridCol w:w="211"/>
        <w:gridCol w:w="751"/>
        <w:gridCol w:w="154"/>
      </w:tblGrid>
      <w:tr>
        <w:trPr/>
        <w:tc>
          <w:tcPr>
            <w:tcW w:w="1267"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Latin America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North America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 2022</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Acquisitions </w:t>
            </w:r>
            <w:r>
              <w:rPr>
                <w:rFonts w:ascii="Arial;sans-serif" w:hAnsi="Arial;sans-serif"/>
                <w:b w:val="false"/>
                <w:color w:val="000000"/>
                <w:sz w:val="13"/>
              </w:rPr>
              <w:t>(1)</w:t>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Held for Sale </w:t>
            </w:r>
            <w:r>
              <w:rPr>
                <w:rFonts w:ascii="Arial;sans-serif" w:hAnsi="Arial;sans-serif"/>
                <w:b w:val="false"/>
                <w:color w:val="000000"/>
                <w:sz w:val="13"/>
              </w:rPr>
              <w:t>(1)</w:t>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2022</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2023</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6"/>
        </w:rPr>
        <w:t xml:space="preserve">(1)Refer to Note 2, </w:t>
      </w:r>
      <w:r>
        <w:rPr>
          <w:rFonts w:ascii="Arial;sans-serif" w:hAnsi="Arial;sans-serif"/>
          <w:b w:val="false"/>
          <w:i/>
          <w:color w:val="000000"/>
          <w:sz w:val="16"/>
        </w:rPr>
        <w:t>Acquisitions and Divestitures</w:t>
      </w:r>
      <w:r>
        <w:rPr>
          <w:color w:val="000000"/>
        </w:rPr>
        <w:t xml:space="preserve"> </w:t>
      </w:r>
      <w:r>
        <w:rPr>
          <w:rFonts w:ascii="Arial;sans-serif" w:hAnsi="Arial;sans-serif"/>
          <w:b w:val="false"/>
          <w:color w:val="000000"/>
          <w:sz w:val="16"/>
        </w:rPr>
        <w:t>for more information.</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Intangible Assets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Intangible assets consisted of the following:</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587"/>
        <w:gridCol w:w="409"/>
        <w:gridCol w:w="411"/>
        <w:gridCol w:w="228"/>
        <w:gridCol w:w="812"/>
        <w:gridCol w:w="117"/>
        <w:gridCol w:w="109"/>
        <w:gridCol w:w="109"/>
        <w:gridCol w:w="109"/>
        <w:gridCol w:w="275"/>
        <w:gridCol w:w="844"/>
        <w:gridCol w:w="142"/>
        <w:gridCol w:w="109"/>
        <w:gridCol w:w="109"/>
        <w:gridCol w:w="109"/>
        <w:gridCol w:w="224"/>
        <w:gridCol w:w="797"/>
        <w:gridCol w:w="115"/>
        <w:gridCol w:w="109"/>
        <w:gridCol w:w="109"/>
        <w:gridCol w:w="109"/>
        <w:gridCol w:w="228"/>
        <w:gridCol w:w="812"/>
        <w:gridCol w:w="117"/>
        <w:gridCol w:w="109"/>
        <w:gridCol w:w="109"/>
        <w:gridCol w:w="109"/>
        <w:gridCol w:w="275"/>
        <w:gridCol w:w="844"/>
        <w:gridCol w:w="142"/>
        <w:gridCol w:w="109"/>
        <w:gridCol w:w="109"/>
        <w:gridCol w:w="109"/>
        <w:gridCol w:w="223"/>
        <w:gridCol w:w="795"/>
        <w:gridCol w:w="173"/>
      </w:tblGrid>
      <w:tr>
        <w:trPr/>
        <w:tc>
          <w:tcPr>
            <w:tcW w:w="587"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1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1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1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Definite-life intangible assets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Indefinite-life intangible assets </w:t>
            </w:r>
            <w:r>
              <w:rPr>
                <w:rFonts w:ascii="Arial;sans-serif" w:hAnsi="Arial;sans-serif"/>
                <w:b w:val="false"/>
                <w:color w:val="000000"/>
                <w:sz w:val="13"/>
              </w:rPr>
              <w:t>(1)</w:t>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18,531 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18,531 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18,413 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18,413 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21,920 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21,767 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(2,057)</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(1)In 2022, we recorded $101 million of intangible asset impairment charges related to two biscuit brands in AMEA segment, of which $78 million was recorded in the first quarter and $23 million was recorded in the third quarter.</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Indefinite-life intangible assets consist principally of brand names purchased through our acquisitions of Nabisco Holdings Corp., the global </w:t>
      </w:r>
      <w:r>
        <w:rPr>
          <w:rFonts w:ascii="Arial;sans-serif" w:hAnsi="Arial;sans-serif"/>
          <w:b w:val="false"/>
          <w:i/>
          <w:color w:val="000000"/>
          <w:sz w:val="20"/>
        </w:rPr>
        <w:t>LU</w:t>
      </w:r>
      <w:r>
        <w:rPr>
          <w:color w:val="000000"/>
        </w:rPr>
        <w:t xml:space="preserve"> </w:t>
      </w:r>
      <w:r>
        <w:rPr>
          <w:rFonts w:ascii="Arial;sans-serif" w:hAnsi="Arial;sans-serif"/>
          <w:b w:val="false"/>
          <w:color w:val="000000"/>
          <w:sz w:val="20"/>
        </w:rPr>
        <w:t xml:space="preserve">biscuit business of Groupe Danone S.A., Cadbury Limited and Clif Bar. Definite-life intangible assets consist primarily of trademarks, customer-related intangibles, process technology, licenses and non-compete agreements.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Amortization expense for intangible assets was $39 million for the three months ended March 31, 2023 and $32 million for the three months ended March 31, 2022. For the next five years, we currently estimate annual amortization expense of approximately $150 million in 2023-2025, approximately $95 million in 2026 and approximately $90 million in 2027 (reflecting March 31, 2023 exchange rates).</w:t>
      </w:r>
    </w:p>
    <w:p>
      <w:pPr>
        <w:pStyle w:val="TextBody"/>
        <w:spacing w:before="0" w:after="0"/>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Impairment Assessment</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test our reporting units and brands for impairment annually as of July 1, or more frequently if events or circumstances indicate it is more likely than not that the fair value of a reporting unit or brand is less than its carrying amount.During the first quarter of 2023, we evaluated our goodwill impairment and intangible asset impairment risk through an assessment of potential triggering events. We considered qualitative and quantitative information in our assessment. We concluded there were no impairment indicators.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our 2022 annual indefinite-life intangible asset testing, we identified eight brands that each had a fair value in excess of book value of 10% or less. The aggregate book value of the eight brands was $1.6 billion as of March 31, 2023. We believe our current plans for each of these brands will allow them to not be impaired, but if the brand earnings expectations are not met or specific valuation factors outside of our control, such as discount rates, change significantly then a brand or brands could become impaired in the future.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6. Investments </w:t>
      </w:r>
    </w:p>
    <w:p>
      <w:pPr>
        <w:pStyle w:val="TextBody"/>
        <w:spacing w:before="0" w:after="0"/>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Marketable Securities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2, 2023, we sold approximately 30 million shares of Keurig Dr Pepper Inc. (Nasdaq: "KDP"), which reduced our ownership interest by 2.1%, from 5.3% to 3.2% of the total outstanding shares. We received approximately $1.0 billion in proceeds and recorded a pre-tax gain of $493 million (or $366 million after tax) on this sale during the first quarter of 2023. This reduction in ownership, to below 5% of the outstanding shares of KDP, resulted in a change of accounting for our KDP investment, from equity method investment accounting to accounting for equity interests with readily determinable fair values ("marketable securities") as we no longer have significant influence over KDP. These marketable securities are measured at fair value based on quoted prices in active markets for identical assets (Level 1). On March 2, 2023, the date we changed from equity method accounting to marketable securities accounting for this investment, we recorded unrealized gains for marketable securities of $755 million (or $562 million after tax). We recorded an additional unrealized gain of $32 million (or $24 million after tax) during the first quarter, for a total unrealized gain of $787 million (or $586 million after tax) during the first quarter of 2023. We reported marketable securities of $1.6 billion as of March 31, 2023 in other current assets in the Company's Condensed Consolidated Balance Sheet.</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Equity Method Investments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equity method investments include, but are not limited to, our ownership interests in JDE Peet's (Euronext Amsterdam: "JDEP"), Dong Suh Foods Corporation and Dong Suh Oil &amp; Fats Co. Ltd. Our ownership interests may change over time due to investee stock-based compensation arrangements, share issuances or other equity-related transactions. As of March 31, 2023, we owned 19.7%, 50.0% and 49.0%, respectively, of these companies' outstanding shares. We continue to have board representation with two directors on the JDEP's Board of Directors and have retained certain additional governance rights. As we continue to have significant influence, we continue to account for our investment in JDEP under the equity method.</w:t>
      </w:r>
    </w:p>
    <w:p>
      <w:pPr>
        <w:pStyle w:val="TextBody"/>
        <w:spacing w:before="0" w:after="0"/>
        <w:rPr/>
      </w:pPr>
      <w:r>
        <w:rPr/>
      </w:r>
    </w:p>
    <w:p>
      <w:pPr>
        <w:pStyle w:val="TextBody"/>
        <w:spacing w:lineRule="auto" w:line="288" w:before="0" w:after="0"/>
        <w:jc w:val="both"/>
        <w:rPr/>
      </w:pPr>
      <w:r>
        <w:rPr>
          <w:rFonts w:ascii="Arial;sans-serif" w:hAnsi="Arial;sans-serif"/>
          <w:b w:val="false"/>
          <w:color w:val="000000"/>
          <w:sz w:val="20"/>
        </w:rPr>
        <w:t xml:space="preserve">Our investments accounted for under the equity method of accounting totaled </w:t>
      </w:r>
      <w:r>
        <w:rPr>
          <w:rFonts w:ascii="Arial;sans-serif" w:hAnsi="Arial;sans-serif"/>
          <w:b w:val="false"/>
          <w:color w:val="000000"/>
          <w:sz w:val="20"/>
          <w:highlight w:val="white"/>
        </w:rPr>
        <w:t>$3.4 billion</w:t>
      </w:r>
      <w:r>
        <w:rPr>
          <w:color w:val="000000"/>
        </w:rPr>
        <w:t xml:space="preserve"> </w:t>
      </w:r>
      <w:r>
        <w:rPr>
          <w:rFonts w:ascii="Arial;sans-serif" w:hAnsi="Arial;sans-serif"/>
          <w:b w:val="false"/>
          <w:color w:val="000000"/>
          <w:sz w:val="20"/>
        </w:rPr>
        <w:t xml:space="preserve">as of March 31, 2023 and $4.9 billion as of December 31, 2022. The investment balance as of December 31, 2022 is inclusive of our investment in KDP. We recorded equity earnings of </w:t>
      </w:r>
      <w:r>
        <w:rPr>
          <w:rFonts w:ascii="Arial;sans-serif" w:hAnsi="Arial;sans-serif"/>
          <w:b w:val="false"/>
          <w:color w:val="000000"/>
          <w:sz w:val="20"/>
          <w:highlight w:val="white"/>
        </w:rPr>
        <w:t>$35 million</w:t>
      </w:r>
      <w:r>
        <w:rPr>
          <w:color w:val="000000"/>
        </w:rPr>
        <w:t xml:space="preserve"> </w:t>
      </w:r>
      <w:r>
        <w:rPr>
          <w:rFonts w:ascii="Arial;sans-serif" w:hAnsi="Arial;sans-serif"/>
          <w:b w:val="false"/>
          <w:color w:val="000000"/>
          <w:sz w:val="20"/>
        </w:rPr>
        <w:t xml:space="preserve">and cash dividends of </w:t>
      </w:r>
      <w:r>
        <w:rPr>
          <w:rFonts w:ascii="Arial;sans-serif" w:hAnsi="Arial;sans-serif"/>
          <w:b w:val="false"/>
          <w:color w:val="000000"/>
          <w:sz w:val="20"/>
          <w:highlight w:val="white"/>
        </w:rPr>
        <w:t>$102 million</w:t>
      </w:r>
      <w:r>
        <w:rPr>
          <w:color w:val="000000"/>
        </w:rPr>
        <w:t xml:space="preserve"> </w:t>
      </w:r>
      <w:r>
        <w:rPr>
          <w:rFonts w:ascii="Arial;sans-serif" w:hAnsi="Arial;sans-serif"/>
          <w:b w:val="false"/>
          <w:color w:val="000000"/>
          <w:sz w:val="20"/>
        </w:rPr>
        <w:t xml:space="preserve">in the first quarter of 2023 and equity earnings of $117 million and cash dividends of $107 million in the first quarter of 2022. </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Based on the quoted closing prices as of March 31, 2023, the fair value of our publicly-traded investment in JDEP wa</w:t>
      </w:r>
      <w:r>
        <w:rPr>
          <w:rFonts w:ascii="Arial;sans-serif" w:hAnsi="Arial;sans-serif"/>
          <w:b w:val="false"/>
          <w:color w:val="000000"/>
          <w:sz w:val="20"/>
          <w:highlight w:val="white"/>
        </w:rPr>
        <w:t>s $2.8 billion</w:t>
      </w:r>
      <w:r>
        <w:rPr>
          <w:rFonts w:ascii="Arial;sans-serif" w:hAnsi="Arial;sans-serif"/>
          <w:b w:val="false"/>
          <w:color w:val="000000"/>
          <w:sz w:val="20"/>
        </w:rPr>
        <w:t>, and there was no other than temporary impairment identified.</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In 2021, we issued €300 million exchangeable bonds, which are redeemable at maturity in September 2024 at their principal amount in cash or, at our option, through the delivery of an equivalent number of JDE Peet’s ordinary shares based on an initial exchange price of €35.40 and, as the case may be, an additional amount in cash. If all bonds were redeemed in exchange for JDE Peet's shares, this would represent approximately 8.5 million shares or approximately 9% of our equity interest in JDE Peet's as of March 31, 2023. Refer to Note 9, </w:t>
      </w:r>
      <w:r>
        <w:rPr>
          <w:rFonts w:ascii="Arial;sans-serif" w:hAnsi="Arial;sans-serif"/>
          <w:b w:val="false"/>
          <w:i/>
          <w:color w:val="000000"/>
          <w:sz w:val="20"/>
        </w:rPr>
        <w:t>Financial Instruments</w:t>
      </w:r>
      <w:r>
        <w:rPr>
          <w:rFonts w:ascii="Arial;sans-serif" w:hAnsi="Arial;sans-serif"/>
          <w:b w:val="false"/>
          <w:color w:val="000000"/>
          <w:sz w:val="20"/>
        </w:rPr>
        <w:t>, for further details on this transaction.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0520"/>
                <wp:effectExtent l="0" t="0" r="0" b="0"/>
                <wp:wrapNone/>
                <wp:docPr id="17" name="Frame1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30, 2023, we issued options to sell shares of JDEP in tranches equivalent to approximately 7.7 million shares. These options are exercisable at their maturities which are between July 3, 2023 and September 29, 2023, with strike prices ranging from €26.10 to €28.71 per share. In addition, on April 3, 2023, we sold approximately 7.7 million shares of JDEP and received cash proceeds of €199 million. This reduced our ownership interest by 1.6%, from 19.7% to 18.1% of the total outstanding shares. If all options issued on March 30, 2023 are exercised, our ownership interest will be reduced by an additional 1.6%. As we continue to have significant influence, we will continue to account for our investment in JDEP under the equity method.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7. Restructuring Program </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6, 2014, our Board of Directors approved a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On October 21, 2021, our Board of Directors approved an extension of the restructuring program through 2023. The total $7.7 billion program now consists of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implementation charges of $5.2 billion related to the Simplify to Grow Program. We expect to incur the remainder of the program charges by year-end 2023.</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Restructuring Costs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Simplify to Grow Program liability activity for the three months ended March 31, 2023 was:</w:t>
      </w:r>
    </w:p>
    <w:tbl>
      <w:tblPr>
        <w:tblW w:w="7979" w:type="dxa"/>
        <w:jc w:val="left"/>
        <w:tblInd w:w="0" w:type="dxa"/>
        <w:tblCellMar>
          <w:top w:w="28" w:type="dxa"/>
          <w:left w:w="28" w:type="dxa"/>
          <w:bottom w:w="28" w:type="dxa"/>
          <w:right w:w="28" w:type="dxa"/>
        </w:tblCellMar>
      </w:tblPr>
      <w:tblGrid>
        <w:gridCol w:w="1222"/>
        <w:gridCol w:w="1072"/>
        <w:gridCol w:w="1080"/>
        <w:gridCol w:w="261"/>
        <w:gridCol w:w="595"/>
        <w:gridCol w:w="135"/>
        <w:gridCol w:w="109"/>
        <w:gridCol w:w="109"/>
        <w:gridCol w:w="109"/>
        <w:gridCol w:w="613"/>
        <w:gridCol w:w="1182"/>
        <w:gridCol w:w="319"/>
        <w:gridCol w:w="109"/>
        <w:gridCol w:w="109"/>
        <w:gridCol w:w="109"/>
        <w:gridCol w:w="211"/>
        <w:gridCol w:w="481"/>
        <w:gridCol w:w="154"/>
      </w:tblGrid>
      <w:tr>
        <w:trPr/>
        <w:tc>
          <w:tcPr>
            <w:tcW w:w="1222"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Severance</w:t>
              <w:br/>
              <w:t>and related</w:t>
              <w:br/>
              <w:t>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Asset</w:t>
            </w:r>
          </w:p>
          <w:p>
            <w:pPr>
              <w:pStyle w:val="TableContents"/>
              <w:spacing w:lineRule="auto" w:line="240" w:before="0" w:after="0"/>
              <w:jc w:val="center"/>
              <w:rPr/>
            </w:pPr>
            <w:r>
              <w:rPr>
                <w:rFonts w:ascii="Arial;sans-serif" w:hAnsi="Arial;sans-serif"/>
                <w:b/>
                <w:color w:val="000000"/>
                <w:sz w:val="16"/>
              </w:rPr>
              <w:t xml:space="preserve">Write-downs and Other </w:t>
            </w:r>
            <w:r>
              <w:rPr>
                <w:rFonts w:ascii="Arial;sans-serif" w:hAnsi="Arial;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0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balance, January 1, 2023</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Charges</w:t>
            </w:r>
            <w:r>
              <w:rPr>
                <w:color w:val="000000"/>
              </w:rPr>
              <w:t xml:space="preserve"> </w:t>
            </w:r>
            <w:r>
              <w:rPr>
                <w:rFonts w:ascii="Arial;sans-serif" w:hAnsi="Arial;sans-serif"/>
                <w:b w:val="false"/>
                <w:color w:val="000000"/>
                <w:sz w:val="13"/>
              </w:rPr>
              <w:t>(2)</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Cash spent</w:t>
            </w:r>
            <w:r>
              <w:rPr>
                <w:color w:val="000000"/>
              </w:rPr>
              <w:t xml:space="preserve"> </w:t>
            </w:r>
            <w:r>
              <w:rPr>
                <w:rFonts w:ascii="Arial;sans-serif" w:hAnsi="Arial;sans-serif"/>
                <w:b w:val="false"/>
                <w:color w:val="000000"/>
                <w:sz w:val="13"/>
              </w:rPr>
              <w:t>(3)</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Non-cash settlements/adjustments </w:t>
            </w:r>
            <w:r>
              <w:rPr>
                <w:rFonts w:ascii="Arial;sans-serif" w:hAnsi="Arial;sans-serif"/>
                <w:b w:val="false"/>
                <w:color w:val="000000"/>
                <w:sz w:val="13"/>
              </w:rPr>
              <w:t>(4)</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Liability balance, March 31, 2023 </w:t>
            </w:r>
            <w:r>
              <w:rPr>
                <w:rFonts w:ascii="Arial;sans-serif" w:hAnsi="Arial;sans-serif"/>
                <w:b w:val="false"/>
                <w:color w:val="000000"/>
                <w:sz w:val="13"/>
              </w:rPr>
              <w:t>(5)</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gains as a result of assets sold which are included in the restructuring program.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(2)We recorded restructuring charges of $30 million in the first quarter of 2023 and $11 million in the first quarter of 2022 within asset impairment and exit costs and benefit plan non-service income.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(3)We spent $18 million in the first quarter of 2023 and $17 million in the first quarter of 2022 in cash severance and related costs.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(4)We recognized non-cash asset write-downs (including accelerated depreciation and asset impairments), and other non-cash adjustments, including any gains on sale of restructuring program assets, which totaled a charge of $1 million in the first quarter of 2023 and a charge of $2 million in the first quarter of 2022.</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(5)At March 31, 2023, $135 million of our net restructuring liability was recorded within other current liabilities and $42 million was recorded within other long-term liabilities.</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Implementation Costs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$5 million in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18" name="Frame1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first quarter of 2023 and $20 million in the first quarter of 2022. We recorded these costs within cost of sales and general corporate expense within selling, general and administrative expenses.</w:t>
      </w:r>
    </w:p>
    <w:p>
      <w:pPr>
        <w:pStyle w:val="TextBody"/>
        <w:spacing w:before="0" w:after="0"/>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Restructuring and Implementation Costs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2023 and March 31, 2022, and since inception of the Simplify to Grow Program, we recorded the following restructuring and implementation costs within segment operating income and earnings before income taxes:</w:t>
      </w:r>
    </w:p>
    <w:tbl>
      <w:tblPr>
        <w:tblW w:w="10205" w:type="dxa"/>
        <w:jc w:val="left"/>
        <w:tblInd w:w="0" w:type="dxa"/>
        <w:tblCellMar>
          <w:top w:w="28" w:type="dxa"/>
          <w:left w:w="28" w:type="dxa"/>
          <w:bottom w:w="28" w:type="dxa"/>
          <w:right w:w="28" w:type="dxa"/>
        </w:tblCellMar>
      </w:tblPr>
      <w:tblGrid>
        <w:gridCol w:w="1295"/>
        <w:gridCol w:w="912"/>
        <w:gridCol w:w="916"/>
        <w:gridCol w:w="211"/>
        <w:gridCol w:w="481"/>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109"/>
        <w:gridCol w:w="109"/>
        <w:gridCol w:w="109"/>
        <w:gridCol w:w="109"/>
        <w:gridCol w:w="237"/>
        <w:gridCol w:w="541"/>
        <w:gridCol w:w="123"/>
        <w:gridCol w:w="109"/>
        <w:gridCol w:w="109"/>
        <w:gridCol w:w="109"/>
        <w:gridCol w:w="211"/>
        <w:gridCol w:w="646"/>
        <w:gridCol w:w="155"/>
      </w:tblGrid>
      <w:tr>
        <w:trPr/>
        <w:tc>
          <w:tcPr>
            <w:tcW w:w="1295"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1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1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082"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1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For the Three Months Ended March 31, 2023</w:t>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For the Three Months Ended March 31, 2022</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Total Project </w:t>
              <w:br/>
              <w:t>(Inception to Date)</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3,102 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12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5,182 </w:t>
            </w:r>
          </w:p>
        </w:tc>
        <w:tc>
          <w:tcPr>
            <w:tcW w:w="1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123"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123"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123"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123"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123"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123"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123"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123"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123"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123"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123"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123"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8. Debt and Borrowing Arrangements </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Short-Term Borrowings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short-term borrowings and related weighted-average interest rates consisted of:</w:t>
      </w:r>
    </w:p>
    <w:tbl>
      <w:tblPr>
        <w:tblW w:w="8091" w:type="dxa"/>
        <w:jc w:val="left"/>
        <w:tblInd w:w="0" w:type="dxa"/>
        <w:tblCellMar>
          <w:top w:w="28" w:type="dxa"/>
          <w:left w:w="28" w:type="dxa"/>
          <w:bottom w:w="28" w:type="dxa"/>
          <w:right w:w="28" w:type="dxa"/>
        </w:tblCellMar>
      </w:tblPr>
      <w:tblGrid>
        <w:gridCol w:w="902"/>
        <w:gridCol w:w="792"/>
        <w:gridCol w:w="795"/>
        <w:gridCol w:w="242"/>
        <w:gridCol w:w="742"/>
        <w:gridCol w:w="127"/>
        <w:gridCol w:w="109"/>
        <w:gridCol w:w="109"/>
        <w:gridCol w:w="109"/>
        <w:gridCol w:w="250"/>
        <w:gridCol w:w="250"/>
        <w:gridCol w:w="656"/>
        <w:gridCol w:w="109"/>
        <w:gridCol w:w="109"/>
        <w:gridCol w:w="109"/>
        <w:gridCol w:w="242"/>
        <w:gridCol w:w="742"/>
        <w:gridCol w:w="127"/>
        <w:gridCol w:w="123"/>
        <w:gridCol w:w="123"/>
        <w:gridCol w:w="123"/>
        <w:gridCol w:w="238"/>
        <w:gridCol w:w="238"/>
        <w:gridCol w:w="725"/>
      </w:tblGrid>
      <w:tr>
        <w:trPr/>
        <w:tc>
          <w:tcPr>
            <w:tcW w:w="90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br/>
              <w:t>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br/>
              <w:t>Outstanding</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Rate</w:t>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6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7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loans</w:t>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7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borrowings</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uncommitted credit lines and committed credit lines available as of March 31, 2023 and December 31, 2022 include:</w:t>
      </w:r>
    </w:p>
    <w:tbl>
      <w:tblPr>
        <w:tblW w:w="9506" w:type="dxa"/>
        <w:jc w:val="left"/>
        <w:tblInd w:w="0" w:type="dxa"/>
        <w:tblCellMar>
          <w:top w:w="28" w:type="dxa"/>
          <w:left w:w="28" w:type="dxa"/>
          <w:bottom w:w="28" w:type="dxa"/>
          <w:right w:w="28" w:type="dxa"/>
        </w:tblCellMar>
      </w:tblPr>
      <w:tblGrid>
        <w:gridCol w:w="939"/>
        <w:gridCol w:w="826"/>
        <w:gridCol w:w="830"/>
        <w:gridCol w:w="298"/>
        <w:gridCol w:w="913"/>
        <w:gridCol w:w="154"/>
        <w:gridCol w:w="109"/>
        <w:gridCol w:w="109"/>
        <w:gridCol w:w="109"/>
        <w:gridCol w:w="414"/>
        <w:gridCol w:w="946"/>
        <w:gridCol w:w="215"/>
        <w:gridCol w:w="109"/>
        <w:gridCol w:w="109"/>
        <w:gridCol w:w="109"/>
        <w:gridCol w:w="298"/>
        <w:gridCol w:w="914"/>
        <w:gridCol w:w="153"/>
        <w:gridCol w:w="111"/>
        <w:gridCol w:w="111"/>
        <w:gridCol w:w="111"/>
        <w:gridCol w:w="461"/>
        <w:gridCol w:w="821"/>
        <w:gridCol w:w="337"/>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67"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Facility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Borrowed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Facility Amount</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Borrowed Amount</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1"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Uncommitted credit facilities</w:t>
            </w:r>
          </w:p>
        </w:tc>
        <w:tc>
          <w:tcPr>
            <w:tcW w:w="2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Credit facility expiry </w:t>
            </w:r>
            <w:r>
              <w:rPr>
                <w:rFonts w:ascii="Arial;sans-serif" w:hAnsi="Arial;sans-serif"/>
                <w:b w:val="false"/>
                <w:color w:val="000000"/>
                <w:sz w:val="13"/>
              </w:rPr>
              <w:t>(1)</w:t>
            </w:r>
            <w:r>
              <w:rPr>
                <w:rFonts w:ascii="Arial;sans-serif" w:hAnsi="Arial;sans-serif"/>
                <w:b w:val="false"/>
                <w:color w:val="000000"/>
                <w:sz w:val="20"/>
              </w:rPr>
              <w:t>:</w:t>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22, 2023</w:t>
            </w:r>
          </w:p>
        </w:tc>
        <w:tc>
          <w:tcPr>
            <w:tcW w:w="1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11, 2023</w:t>
            </w:r>
          </w:p>
        </w:tc>
        <w:tc>
          <w:tcPr>
            <w:tcW w:w="12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21, 2024</w:t>
            </w:r>
          </w:p>
        </w:tc>
        <w:tc>
          <w:tcPr>
            <w:tcW w:w="1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July 29, 2025 </w:t>
            </w:r>
            <w:r>
              <w:rPr>
                <w:rFonts w:ascii="Arial;sans-serif" w:hAnsi="Arial;sans-serif"/>
                <w:b w:val="false"/>
                <w:color w:val="000000"/>
                <w:sz w:val="13"/>
              </w:rPr>
              <w:t>(2)</w:t>
            </w:r>
          </w:p>
        </w:tc>
        <w:tc>
          <w:tcPr>
            <w:tcW w:w="12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23, 2027</w:t>
            </w:r>
          </w:p>
        </w:tc>
        <w:tc>
          <w:tcPr>
            <w:tcW w:w="1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27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0520"/>
                <wp:effectExtent l="0" t="0" r="0" b="0"/>
                <wp:wrapNone/>
                <wp:docPr id="19" name="Frame1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(1)We maintain a multi-year senior unsecured revolving credit facility for general corporate purposes, including working capital needs, and to support our commercial paper program. The revolving credit agreement includes a covenant that we maintain a minimum shareholders' equity of at least $25.0 billion, excluding accumulated other comprehensive earnings/(losses), the cumulative effects of any changes in accounting principles and earnings/(losses) recognized in connection with the ongoing application of any mark-to-market accounting for pensions and other retirement plans. At March 31, 2023, we complied with this covenant as our shareholders' equity, as defined by the covenant, was $39.0 billion. The revolving credit facility also contains customary representations, covenants and events of default. There are no credit rating triggers, provisions or other financial covenants that could require us to post collateral as security.</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(2)On March 31, 2022, we entered into a supplemental term loan credit facility that can be utilized for general corporate purposes, including acquisitions. Under this agreement, we may draw up to a total of $2.0 billion in term loans from the facility. On July 29, 2022, we drew down $2.0 billion in term loans, due July 29, 2025, bearing interest at a variable annual rate based on SOFR plus an applicable margin. On March 3, 2023, we repaid $1.0 billion in term loans. Subsequently on April 3, 2023, we repaid $0.3 billion.</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April 6, 2023, we entered into an additional revolving credit agreement that can be utilized for general corporate purposes and to support our commercial paper program. Under this agreement, we may draw up to a total of $2.0 billion from the facility. This agreement will terminate on December 29, 2023.</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Long-Term Debt</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2023, the Company reclassified the net carrying value of debt of $800 million due within one year from long-term debt to current portion of long-term debt. </w:t>
      </w:r>
    </w:p>
    <w:p>
      <w:pPr>
        <w:pStyle w:val="TextBody"/>
        <w:spacing w:before="0" w:after="0"/>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of Our Debt</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fair value of our short-term borrowings reflects current market interest rates and approximates the amounts we have recorded on our consolidated balance sheets. The fair value of our term loans was determined using quoted prices for similar instruments in markets that are not active (Level 2 valuation data) and approximates the amounts we have recorded on our consolidated balance sheets. The fair value of our long-term debt was determined using quoted prices in active markets (Level 1 valuation data) for the publicly traded debt obligations. </w:t>
      </w:r>
    </w:p>
    <w:p>
      <w:pPr>
        <w:pStyle w:val="TextBody"/>
        <w:spacing w:before="0" w:after="0"/>
        <w:jc w:val="both"/>
        <w:rPr/>
      </w:pPr>
      <w:r>
        <w:rPr/>
      </w:r>
    </w:p>
    <w:tbl>
      <w:tblPr>
        <w:tblW w:w="5530" w:type="dxa"/>
        <w:jc w:val="left"/>
        <w:tblInd w:w="0" w:type="dxa"/>
        <w:tblCellMar>
          <w:top w:w="28" w:type="dxa"/>
          <w:left w:w="28" w:type="dxa"/>
          <w:bottom w:w="28" w:type="dxa"/>
          <w:right w:w="28" w:type="dxa"/>
        </w:tblCellMar>
      </w:tblPr>
      <w:tblGrid>
        <w:gridCol w:w="505"/>
        <w:gridCol w:w="444"/>
        <w:gridCol w:w="445"/>
        <w:gridCol w:w="340"/>
        <w:gridCol w:w="1210"/>
        <w:gridCol w:w="175"/>
        <w:gridCol w:w="109"/>
        <w:gridCol w:w="109"/>
        <w:gridCol w:w="109"/>
        <w:gridCol w:w="394"/>
        <w:gridCol w:w="1403"/>
        <w:gridCol w:w="287"/>
      </w:tblGrid>
      <w:tr>
        <w:trPr/>
        <w:tc>
          <w:tcPr>
            <w:tcW w:w="50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6"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w:t>
            </w:r>
          </w:p>
        </w:tc>
        <w:tc>
          <w:tcPr>
            <w:tcW w:w="3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19,782 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20,217 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Carrying Value</w:t>
            </w:r>
          </w:p>
        </w:tc>
        <w:tc>
          <w:tcPr>
            <w:tcW w:w="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22,202 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22,933 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Interest and Other Expense, net</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Interest and other expense, net consisted of:</w:t>
      </w:r>
    </w:p>
    <w:tbl>
      <w:tblPr>
        <w:tblW w:w="5906" w:type="dxa"/>
        <w:jc w:val="left"/>
        <w:tblInd w:w="0" w:type="dxa"/>
        <w:tblCellMar>
          <w:top w:w="28" w:type="dxa"/>
          <w:left w:w="28" w:type="dxa"/>
          <w:bottom w:w="28" w:type="dxa"/>
          <w:right w:w="28" w:type="dxa"/>
        </w:tblCellMar>
      </w:tblPr>
      <w:tblGrid>
        <w:gridCol w:w="1109"/>
        <w:gridCol w:w="972"/>
        <w:gridCol w:w="979"/>
        <w:gridCol w:w="259"/>
        <w:gridCol w:w="591"/>
        <w:gridCol w:w="133"/>
        <w:gridCol w:w="133"/>
        <w:gridCol w:w="133"/>
        <w:gridCol w:w="133"/>
        <w:gridCol w:w="259"/>
        <w:gridCol w:w="591"/>
        <w:gridCol w:w="133"/>
        <w:gridCol w:w="109"/>
        <w:gridCol w:w="109"/>
        <w:gridCol w:w="109"/>
        <w:gridCol w:w="154"/>
      </w:tblGrid>
      <w:tr>
        <w:trPr/>
        <w:tc>
          <w:tcPr>
            <w:tcW w:w="110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debt</w:t>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Loss on debt extinguishment and </w:t>
              <w:br/>
              <w:t>   related expenses</w:t>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76" w:before="0" w:after="0"/>
        <w:jc w:val="both"/>
        <w:rPr/>
      </w:pPr>
      <w:r>
        <w:rPr>
          <w:rFonts w:ascii="Arial;sans-serif" w:hAnsi="Arial;sans-serif"/>
          <w:b w:val="false"/>
          <w:color w:val="000000"/>
          <w:sz w:val="20"/>
        </w:rPr>
        <w:t xml:space="preserve">Other income, net includes amounts excluded from hedge effectiveness related to our net investment hedge derivative contracts. Refer to Note 9, </w:t>
      </w:r>
      <w:r>
        <w:rPr>
          <w:rFonts w:ascii="Arial;sans-serif" w:hAnsi="Arial;sans-serif"/>
          <w:b w:val="false"/>
          <w:i/>
          <w:color w:val="000000"/>
          <w:sz w:val="20"/>
        </w:rPr>
        <w:t>Financial Instruments</w:t>
      </w:r>
      <w:r>
        <w:rPr>
          <w:rFonts w:ascii="Arial;sans-serif" w:hAnsi="Arial;sans-serif"/>
          <w:b w:val="false"/>
          <w:color w:val="000000"/>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0520"/>
                <wp:effectExtent l="0" t="0" r="0" b="0"/>
                <wp:wrapNone/>
                <wp:docPr id="20" name="Frame1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 xml:space="preserve">Note 9. Financial Instruments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of Derivative Instruments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Derivative instruments were recorded at fair value in the condensed consolidated balance sheets as follows:</w:t>
      </w:r>
    </w:p>
    <w:tbl>
      <w:tblPr>
        <w:tblW w:w="8968" w:type="dxa"/>
        <w:jc w:val="left"/>
        <w:tblInd w:w="0" w:type="dxa"/>
        <w:tblCellMar>
          <w:top w:w="28" w:type="dxa"/>
          <w:left w:w="28" w:type="dxa"/>
          <w:bottom w:w="28" w:type="dxa"/>
          <w:right w:w="28" w:type="dxa"/>
        </w:tblCellMar>
      </w:tblPr>
      <w:tblGrid>
        <w:gridCol w:w="1457"/>
        <w:gridCol w:w="1279"/>
        <w:gridCol w:w="1284"/>
        <w:gridCol w:w="257"/>
        <w:gridCol w:w="586"/>
        <w:gridCol w:w="133"/>
        <w:gridCol w:w="109"/>
        <w:gridCol w:w="109"/>
        <w:gridCol w:w="109"/>
        <w:gridCol w:w="257"/>
        <w:gridCol w:w="586"/>
        <w:gridCol w:w="133"/>
        <w:gridCol w:w="109"/>
        <w:gridCol w:w="109"/>
        <w:gridCol w:w="109"/>
        <w:gridCol w:w="257"/>
        <w:gridCol w:w="586"/>
        <w:gridCol w:w="133"/>
        <w:gridCol w:w="115"/>
        <w:gridCol w:w="115"/>
        <w:gridCol w:w="115"/>
        <w:gridCol w:w="254"/>
        <w:gridCol w:w="580"/>
        <w:gridCol w:w="187"/>
      </w:tblGrid>
      <w:tr>
        <w:trPr/>
        <w:tc>
          <w:tcPr>
            <w:tcW w:w="1457"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Asset</w:t>
              <w:br/>
              <w:t>Derivatives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Liability</w:t>
              <w:br/>
              <w:t>Derivatives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Asset</w:t>
              <w:br/>
              <w:t>Derivatives</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Liability</w:t>
              <w:br/>
              <w:t>Derivatives</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4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Derivatives designated as</w:t>
            </w:r>
          </w:p>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accounting hedges:</w:t>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Net investment hedge derivative contracts </w:t>
            </w:r>
            <w:r>
              <w:rPr>
                <w:rFonts w:ascii="Arial;sans-serif" w:hAnsi="Arial;sans-serif"/>
                <w:b w:val="false"/>
                <w:color w:val="000000"/>
                <w:sz w:val="13"/>
              </w:rPr>
              <w:t>(1)</w:t>
            </w:r>
          </w:p>
        </w:tc>
        <w:tc>
          <w:tcPr>
            <w:tcW w:w="8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Derivatives not designated as </w:t>
              <w:br/>
              <w:t>   accounting hedges:</w:t>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8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8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Equity method investment contracts </w:t>
            </w:r>
            <w:r>
              <w:rPr>
                <w:rFonts w:ascii="Arial;sans-serif" w:hAnsi="Arial;sans-serif"/>
                <w:b w:val="false"/>
                <w:color w:val="000000"/>
                <w:sz w:val="13"/>
              </w:rPr>
              <w:t>(2)</w:t>
            </w:r>
          </w:p>
        </w:tc>
        <w:tc>
          <w:tcPr>
            <w:tcW w:w="8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fair value</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pPr>
      <w:r>
        <w:rPr>
          <w:rFonts w:ascii="Arial;sans-serif" w:hAnsi="Arial;sans-serif"/>
          <w:b w:val="false"/>
          <w:color w:val="000000"/>
          <w:sz w:val="16"/>
        </w:rPr>
        <w:t xml:space="preserve">(1)Net investment hedge derivative contracts consist of cross-currency interest rate swaps, forward contracts and options. We also designate some of our non-U.S. dollar denominated debt to hedge a portion of our net investments in our non-U.S. operations. This debt is not reflected in the table above, but is included in long-term debt discussed in Note 8, </w:t>
      </w:r>
      <w:r>
        <w:rPr>
          <w:rFonts w:ascii="Arial;sans-serif" w:hAnsi="Arial;sans-serif"/>
          <w:b w:val="false"/>
          <w:i/>
          <w:color w:val="000000"/>
          <w:sz w:val="16"/>
        </w:rPr>
        <w:t>Debt and Borrowing Arrangements</w:t>
      </w:r>
      <w:r>
        <w:rPr>
          <w:rFonts w:ascii="Arial;sans-serif" w:hAnsi="Arial;sans-serif"/>
          <w:b w:val="false"/>
          <w:color w:val="000000"/>
          <w:sz w:val="16"/>
        </w:rPr>
        <w:t>. Both net investment hedge derivative contracts and non-U.S. dollar denominated debt acting as net investment hedges are also disclosed in the</w:t>
      </w:r>
      <w:r>
        <w:rPr>
          <w:color w:val="000000"/>
        </w:rPr>
        <w:t xml:space="preserve"> </w:t>
      </w:r>
      <w:r>
        <w:rPr>
          <w:rFonts w:ascii="Arial;sans-serif" w:hAnsi="Arial;sans-serif"/>
          <w:b w:val="false"/>
          <w:i/>
          <w:color w:val="000000"/>
          <w:sz w:val="16"/>
        </w:rPr>
        <w:t>Derivative Volume</w:t>
      </w:r>
      <w:r>
        <w:rPr>
          <w:color w:val="000000"/>
        </w:rPr>
        <w:t xml:space="preserve"> </w:t>
      </w:r>
      <w:r>
        <w:rPr>
          <w:rFonts w:ascii="Arial;sans-serif" w:hAnsi="Arial;sans-serif"/>
          <w:b w:val="false"/>
          <w:color w:val="000000"/>
          <w:sz w:val="16"/>
        </w:rPr>
        <w:t xml:space="preserve">table and the </w:t>
      </w:r>
      <w:r>
        <w:rPr>
          <w:rFonts w:ascii="Arial;sans-serif" w:hAnsi="Arial;sans-serif"/>
          <w:b w:val="false"/>
          <w:i/>
          <w:color w:val="000000"/>
          <w:sz w:val="16"/>
        </w:rPr>
        <w:t>Hedges of Net Investments in International Operations</w:t>
      </w:r>
      <w:r>
        <w:rPr>
          <w:color w:val="000000"/>
        </w:rPr>
        <w:t xml:space="preserve"> </w:t>
      </w:r>
      <w:r>
        <w:rPr>
          <w:rFonts w:ascii="Arial;sans-serif" w:hAnsi="Arial;sans-serif"/>
          <w:b w:val="false"/>
          <w:color w:val="000000"/>
          <w:sz w:val="16"/>
        </w:rPr>
        <w:t>section appearing later in this footnote.</w:t>
      </w:r>
    </w:p>
    <w:p>
      <w:pPr>
        <w:pStyle w:val="TextBody"/>
        <w:spacing w:lineRule="auto" w:line="288" w:before="0" w:after="0"/>
        <w:ind w:left="0" w:right="0" w:hanging="360"/>
        <w:jc w:val="both"/>
        <w:rPr/>
      </w:pPr>
      <w:r>
        <w:rPr>
          <w:rFonts w:ascii="Arial;sans-serif" w:hAnsi="Arial;sans-serif"/>
          <w:b w:val="false"/>
          <w:color w:val="000000"/>
          <w:sz w:val="16"/>
        </w:rPr>
        <w:t xml:space="preserve">(2)Equity method investment contracts consist of two types of derivatives: (a) options to sell shares of JDEP in tranches equivalent to approximately 7.7 million shares that are exercisable at maturity over the third quarter of 2023 with strike prices ranging between €26.10 and €28.71 per share and (b) the bifurcated embedded derivative option that was a component of the September 20, 2021 €300 million exchangeable bonds issuance. Refer to Note 8, </w:t>
      </w:r>
      <w:r>
        <w:rPr>
          <w:rFonts w:ascii="Arial;sans-serif" w:hAnsi="Arial;sans-serif"/>
          <w:b w:val="false"/>
          <w:i/>
          <w:color w:val="000000"/>
          <w:sz w:val="16"/>
        </w:rPr>
        <w:t>Debt and Borrowing Arrangements</w:t>
      </w:r>
      <w:r>
        <w:rPr>
          <w:rFonts w:ascii="Arial;sans-serif" w:hAnsi="Arial;sans-serif"/>
          <w:b w:val="false"/>
          <w:color w:val="000000"/>
          <w:sz w:val="16"/>
        </w:rPr>
        <w: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record derivative assets and liabilities on a gross basis on our condensed consolidated balance sheets. The fair value of our asset derivatives is recorded within other current assets and other assets and the fair value of our liability derivatives is recorded within other current liabilities and other liabilities.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values (asset/(liability)) of our derivative instruments were determined using:</w:t>
      </w:r>
    </w:p>
    <w:tbl>
      <w:tblPr>
        <w:tblW w:w="9834" w:type="dxa"/>
        <w:jc w:val="left"/>
        <w:tblInd w:w="0" w:type="dxa"/>
        <w:tblCellMar>
          <w:top w:w="28" w:type="dxa"/>
          <w:left w:w="28" w:type="dxa"/>
          <w:bottom w:w="28" w:type="dxa"/>
          <w:right w:w="28" w:type="dxa"/>
        </w:tblCellMar>
      </w:tblPr>
      <w:tblGrid>
        <w:gridCol w:w="1184"/>
        <w:gridCol w:w="1040"/>
        <w:gridCol w:w="1045"/>
        <w:gridCol w:w="371"/>
        <w:gridCol w:w="847"/>
        <w:gridCol w:w="193"/>
        <w:gridCol w:w="109"/>
        <w:gridCol w:w="109"/>
        <w:gridCol w:w="109"/>
        <w:gridCol w:w="414"/>
        <w:gridCol w:w="797"/>
        <w:gridCol w:w="215"/>
        <w:gridCol w:w="109"/>
        <w:gridCol w:w="109"/>
        <w:gridCol w:w="109"/>
        <w:gridCol w:w="395"/>
        <w:gridCol w:w="901"/>
        <w:gridCol w:w="205"/>
        <w:gridCol w:w="109"/>
        <w:gridCol w:w="109"/>
        <w:gridCol w:w="109"/>
        <w:gridCol w:w="340"/>
        <w:gridCol w:w="656"/>
        <w:gridCol w:w="250"/>
      </w:tblGrid>
      <w:tr>
        <w:trPr/>
        <w:tc>
          <w:tcPr>
            <w:tcW w:w="1184"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6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March 31, 2023</w:t>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br/>
              <w:t>Fair Value of Net</w:t>
              <w:br/>
              <w:t>Asset/(Liability)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6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3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2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 contracts</w:t>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 contracts</w:t>
            </w:r>
          </w:p>
        </w:tc>
        <w:tc>
          <w:tcPr>
            <w:tcW w:w="12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0520"/>
                <wp:effectExtent l="0" t="0" r="0" b="0"/>
                <wp:wrapNone/>
                <wp:docPr id="21" name="Frame2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tbl>
      <w:tblPr>
        <w:tblW w:w="9835" w:type="dxa"/>
        <w:jc w:val="left"/>
        <w:tblInd w:w="0" w:type="dxa"/>
        <w:tblCellMar>
          <w:top w:w="28" w:type="dxa"/>
          <w:left w:w="28" w:type="dxa"/>
          <w:bottom w:w="28" w:type="dxa"/>
          <w:right w:w="28" w:type="dxa"/>
        </w:tblCellMar>
      </w:tblPr>
      <w:tblGrid>
        <w:gridCol w:w="1185"/>
        <w:gridCol w:w="1042"/>
        <w:gridCol w:w="1043"/>
        <w:gridCol w:w="371"/>
        <w:gridCol w:w="847"/>
        <w:gridCol w:w="193"/>
        <w:gridCol w:w="109"/>
        <w:gridCol w:w="109"/>
        <w:gridCol w:w="109"/>
        <w:gridCol w:w="414"/>
        <w:gridCol w:w="797"/>
        <w:gridCol w:w="215"/>
        <w:gridCol w:w="109"/>
        <w:gridCol w:w="109"/>
        <w:gridCol w:w="109"/>
        <w:gridCol w:w="395"/>
        <w:gridCol w:w="901"/>
        <w:gridCol w:w="205"/>
        <w:gridCol w:w="109"/>
        <w:gridCol w:w="109"/>
        <w:gridCol w:w="109"/>
        <w:gridCol w:w="340"/>
        <w:gridCol w:w="656"/>
        <w:gridCol w:w="250"/>
      </w:tblGrid>
      <w:tr>
        <w:trPr/>
        <w:tc>
          <w:tcPr>
            <w:tcW w:w="1185"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6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br/>
              <w:t>Fair Value of Net</w:t>
              <w:br/>
              <w:t>Asset/(Liability)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6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3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2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 contracts</w:t>
            </w:r>
          </w:p>
        </w:tc>
        <w:tc>
          <w:tcPr>
            <w:tcW w:w="12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 contracts</w:t>
            </w:r>
          </w:p>
        </w:tc>
        <w:tc>
          <w:tcPr>
            <w:tcW w:w="12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Level 1 financial assets and liabilities consist of exchange-traded commodity futures and listed options. The fair value of these instruments is determined based on quoted market prices on commodity exchanges. </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Level 2 financial assets and liabilities consist primarily of over-the-counter (“OTC”) currency exchange forwards, options and swaps; commodity forwards and options; net investment hedge contracts;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bifurcated exchange options are valued, as derivative instrument liabilities, using the Black-Scholes option pricing model. This model requires assumptions related to the market price of the underlying note and associated credit spread combined with the share of price, expected dividend yield, and expected volatility of the JDE Peet’s shares over the life of the option.</w:t>
      </w:r>
      <w:r>
        <w:rPr>
          <w:color w:val="000000"/>
        </w:rPr>
        <w:t xml:space="preserve"> </w:t>
      </w:r>
      <w:r>
        <w:rPr>
          <w:rFonts w:ascii="Arial;sans-serif" w:hAnsi="Arial;sans-serif"/>
          <w:b w:val="false"/>
          <w:color w:val="000000"/>
          <w:sz w:val="20"/>
        </w:rPr>
        <w:t>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Derivative Volume</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notional values of our hedging instruments were:</w:t>
      </w:r>
    </w:p>
    <w:tbl>
      <w:tblPr>
        <w:tblW w:w="8921" w:type="dxa"/>
        <w:jc w:val="left"/>
        <w:tblInd w:w="0" w:type="dxa"/>
        <w:tblCellMar>
          <w:top w:w="28" w:type="dxa"/>
          <w:left w:w="28" w:type="dxa"/>
          <w:bottom w:w="28" w:type="dxa"/>
          <w:right w:w="28" w:type="dxa"/>
        </w:tblCellMar>
      </w:tblPr>
      <w:tblGrid>
        <w:gridCol w:w="1879"/>
        <w:gridCol w:w="1652"/>
        <w:gridCol w:w="1659"/>
        <w:gridCol w:w="288"/>
        <w:gridCol w:w="883"/>
        <w:gridCol w:w="149"/>
        <w:gridCol w:w="109"/>
        <w:gridCol w:w="109"/>
        <w:gridCol w:w="109"/>
        <w:gridCol w:w="435"/>
        <w:gridCol w:w="1332"/>
        <w:gridCol w:w="317"/>
      </w:tblGrid>
      <w:tr>
        <w:trPr/>
        <w:tc>
          <w:tcPr>
            <w:tcW w:w="1879"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Notional Amount</w:t>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13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Intercompany loans and forecasted interest payments</w:t>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2,504 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7,032 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5,470 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11,802 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12,131 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4,147 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hedges:</w:t>
            </w:r>
          </w:p>
        </w:tc>
        <w:tc>
          <w:tcPr>
            <w:tcW w:w="13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 derivative contracts</w:t>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7,589 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7,319 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Non-U.S. dollar debt designated as net investment hedges</w:t>
            </w:r>
          </w:p>
        </w:tc>
        <w:tc>
          <w:tcPr>
            <w:tcW w:w="13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Euro notes</w:t>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3,453 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3,410 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Swiss franc notes</w:t>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Canadian dollar notes</w:t>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0520"/>
                <wp:effectExtent l="0" t="0" r="0" b="0"/>
                <wp:wrapNone/>
                <wp:docPr id="22" name="Frame2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Cash Flow Hedges</w:t>
      </w:r>
    </w:p>
    <w:p>
      <w:pPr>
        <w:pStyle w:val="TextBody"/>
        <w:spacing w:lineRule="auto" w:line="288" w:before="0" w:after="0"/>
        <w:jc w:val="both"/>
        <w:rPr/>
      </w:pPr>
      <w:r>
        <w:rPr>
          <w:rFonts w:ascii="Arial;sans-serif" w:hAnsi="Arial;sans-serif"/>
          <w:b w:val="false"/>
          <w:color w:val="000000"/>
          <w:sz w:val="20"/>
        </w:rPr>
        <w:t xml:space="preserve">Cash flow hedge activity, net of taxes, is recorded within accumulated other comprehensive earnings/(losses). Refer to Note 13, </w:t>
      </w:r>
      <w:r>
        <w:rPr>
          <w:rFonts w:ascii="Arial;sans-serif" w:hAnsi="Arial;sans-serif"/>
          <w:b w:val="false"/>
          <w:i/>
          <w:color w:val="000000"/>
          <w:sz w:val="20"/>
        </w:rPr>
        <w:t>Reclassifications from Accumulated Other Comprehensive Income</w:t>
      </w:r>
      <w:r>
        <w:rPr>
          <w:color w:val="000000"/>
        </w:rPr>
        <w:t xml:space="preserve"> </w:t>
      </w:r>
      <w:r>
        <w:rPr>
          <w:rFonts w:ascii="Arial;sans-serif" w:hAnsi="Arial;sans-serif"/>
          <w:b w:val="false"/>
          <w:color w:val="000000"/>
          <w:sz w:val="20"/>
        </w:rPr>
        <w:t>for further information on current period activity.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Based on current market conditions, we would expect to transfer losses of $8 million (net of taxes) for interest rate cash flow hedges to earnings during the next 12 months.</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 Hedge Coverage</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2023, our longest dated cash flow hedges were interest rate swaps that hedge forecasted interest rate payments over the next 3 years, 5 months. </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Hedges of Net Investments in International Operations</w:t>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investment hedge ("NIH") derivative contracts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enter into cross-currency interest rate swaps, forwards and options to hedge certain investments in our non-U.S. operations against movements in exchange rates. The aggregate notional value as of March 31, 2023 was $7.6 billion.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investment hedge derivative contract impacts on other comprehensive earnings and net earnings were: </w:t>
      </w:r>
    </w:p>
    <w:tbl>
      <w:tblPr>
        <w:tblW w:w="6372" w:type="dxa"/>
        <w:jc w:val="left"/>
        <w:tblInd w:w="0" w:type="dxa"/>
        <w:tblCellMar>
          <w:top w:w="28" w:type="dxa"/>
          <w:left w:w="28" w:type="dxa"/>
          <w:bottom w:w="28" w:type="dxa"/>
          <w:right w:w="28" w:type="dxa"/>
        </w:tblCellMar>
      </w:tblPr>
      <w:tblGrid>
        <w:gridCol w:w="1275"/>
        <w:gridCol w:w="1123"/>
        <w:gridCol w:w="1127"/>
        <w:gridCol w:w="298"/>
        <w:gridCol w:w="468"/>
        <w:gridCol w:w="154"/>
        <w:gridCol w:w="154"/>
        <w:gridCol w:w="154"/>
        <w:gridCol w:w="154"/>
        <w:gridCol w:w="298"/>
        <w:gridCol w:w="532"/>
        <w:gridCol w:w="154"/>
        <w:gridCol w:w="109"/>
        <w:gridCol w:w="109"/>
        <w:gridCol w:w="109"/>
        <w:gridCol w:w="154"/>
      </w:tblGrid>
      <w:tr>
        <w:trPr/>
        <w:tc>
          <w:tcPr>
            <w:tcW w:w="1275"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After-tax (loss)/gain on NIH contracts</w:t>
            </w:r>
            <w:r>
              <w:rPr>
                <w:rFonts w:ascii="Arial;sans-serif" w:hAnsi="Arial;sans-serif"/>
                <w:b w:val="false"/>
                <w:color w:val="000000"/>
                <w:sz w:val="13"/>
              </w:rPr>
              <w:t>(1)</w:t>
            </w:r>
          </w:p>
        </w:tc>
        <w:tc>
          <w:tcPr>
            <w:tcW w:w="2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 </w:t>
      </w:r>
    </w:p>
    <w:tbl>
      <w:tblPr>
        <w:tblW w:w="8699" w:type="dxa"/>
        <w:jc w:val="left"/>
        <w:tblInd w:w="0" w:type="dxa"/>
        <w:tblCellMar>
          <w:top w:w="28" w:type="dxa"/>
          <w:left w:w="28" w:type="dxa"/>
          <w:bottom w:w="28" w:type="dxa"/>
          <w:right w:w="28" w:type="dxa"/>
        </w:tblCellMar>
      </w:tblPr>
      <w:tblGrid>
        <w:gridCol w:w="2119"/>
        <w:gridCol w:w="1861"/>
        <w:gridCol w:w="1870"/>
        <w:gridCol w:w="291"/>
        <w:gridCol w:w="518"/>
        <w:gridCol w:w="150"/>
        <w:gridCol w:w="150"/>
        <w:gridCol w:w="150"/>
        <w:gridCol w:w="150"/>
        <w:gridCol w:w="291"/>
        <w:gridCol w:w="518"/>
        <w:gridCol w:w="150"/>
        <w:gridCol w:w="109"/>
        <w:gridCol w:w="109"/>
        <w:gridCol w:w="109"/>
        <w:gridCol w:w="154"/>
      </w:tblGrid>
      <w:tr>
        <w:trPr/>
        <w:tc>
          <w:tcPr>
            <w:tcW w:w="2119" w:type="dxa"/>
            <w:tcBorders/>
            <w:shd w:fill="auto" w:val="clear"/>
            <w:vAlign w:val="center"/>
          </w:tcPr>
          <w:p>
            <w:pPr>
              <w:pStyle w:val="TableContents"/>
              <w:spacing w:before="0" w:after="283"/>
              <w:rPr>
                <w:sz w:val="4"/>
                <w:szCs w:val="4"/>
              </w:rPr>
            </w:pPr>
            <w:r>
              <w:rPr>
                <w:sz w:val="4"/>
                <w:szCs w:val="4"/>
              </w:rPr>
            </w:r>
          </w:p>
        </w:tc>
        <w:tc>
          <w:tcPr>
            <w:tcW w:w="1861" w:type="dxa"/>
            <w:tcBorders/>
            <w:shd w:fill="auto" w:val="clear"/>
            <w:vAlign w:val="center"/>
          </w:tcPr>
          <w:p>
            <w:pPr>
              <w:pStyle w:val="TableContents"/>
              <w:spacing w:before="0" w:after="283"/>
              <w:rPr>
                <w:sz w:val="4"/>
                <w:szCs w:val="4"/>
              </w:rPr>
            </w:pPr>
            <w:r>
              <w:rPr>
                <w:sz w:val="4"/>
                <w:szCs w:val="4"/>
              </w:rPr>
            </w:r>
          </w:p>
        </w:tc>
        <w:tc>
          <w:tcPr>
            <w:tcW w:w="187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Amounts excluded from the assessment of hedge effectiveness</w:t>
            </w:r>
            <w:r>
              <w:rPr>
                <w:rFonts w:ascii="Arial;sans-serif" w:hAnsi="Arial;sans-serif"/>
                <w:b w:val="false"/>
                <w:color w:val="000000"/>
                <w:sz w:val="13"/>
              </w:rPr>
              <w:t>(1)</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(1)We elected to record changes in the fair value of amounts excluded from the assessment of effectiveness in net earnings within interest and other expense, net.</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Non-U.S. dollar debt designated as net investment hedges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After-tax gains/(losses) related to hedges of net investments in international operations were recorded within the cumulative translation adjustment section of other comprehensive income and were:</w:t>
      </w:r>
    </w:p>
    <w:tbl>
      <w:tblPr>
        <w:tblW w:w="5340" w:type="dxa"/>
        <w:jc w:val="left"/>
        <w:tblInd w:w="0" w:type="dxa"/>
        <w:tblCellMar>
          <w:top w:w="28" w:type="dxa"/>
          <w:left w:w="28" w:type="dxa"/>
          <w:bottom w:w="28" w:type="dxa"/>
          <w:right w:w="28" w:type="dxa"/>
        </w:tblCellMar>
      </w:tblPr>
      <w:tblGrid>
        <w:gridCol w:w="899"/>
        <w:gridCol w:w="791"/>
        <w:gridCol w:w="800"/>
        <w:gridCol w:w="281"/>
        <w:gridCol w:w="581"/>
        <w:gridCol w:w="145"/>
        <w:gridCol w:w="145"/>
        <w:gridCol w:w="145"/>
        <w:gridCol w:w="145"/>
        <w:gridCol w:w="281"/>
        <w:gridCol w:w="501"/>
        <w:gridCol w:w="145"/>
        <w:gridCol w:w="109"/>
        <w:gridCol w:w="109"/>
        <w:gridCol w:w="109"/>
        <w:gridCol w:w="154"/>
      </w:tblGrid>
      <w:tr>
        <w:trPr/>
        <w:tc>
          <w:tcPr>
            <w:tcW w:w="89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 notes</w:t>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British pound sterling notes</w:t>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Swiss franc notes</w:t>
            </w:r>
          </w:p>
        </w:tc>
        <w:tc>
          <w:tcPr>
            <w:tcW w:w="8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Canadian notes</w:t>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0520"/>
                <wp:effectExtent l="0" t="0" r="0" b="0"/>
                <wp:wrapNone/>
                <wp:docPr id="23" name="Frame2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Economic Hedges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Pre-tax gains/(losses) recorded in net earnings for economic hedges were:</w:t>
      </w:r>
    </w:p>
    <w:tbl>
      <w:tblPr>
        <w:tblW w:w="10205" w:type="dxa"/>
        <w:jc w:val="left"/>
        <w:tblInd w:w="0" w:type="dxa"/>
        <w:tblCellMar>
          <w:top w:w="28" w:type="dxa"/>
          <w:left w:w="28" w:type="dxa"/>
          <w:bottom w:w="28" w:type="dxa"/>
          <w:right w:w="28" w:type="dxa"/>
        </w:tblCellMar>
      </w:tblPr>
      <w:tblGrid>
        <w:gridCol w:w="1125"/>
        <w:gridCol w:w="811"/>
        <w:gridCol w:w="814"/>
        <w:gridCol w:w="237"/>
        <w:gridCol w:w="422"/>
        <w:gridCol w:w="122"/>
        <w:gridCol w:w="122"/>
        <w:gridCol w:w="122"/>
        <w:gridCol w:w="122"/>
        <w:gridCol w:w="237"/>
        <w:gridCol w:w="540"/>
        <w:gridCol w:w="122"/>
        <w:gridCol w:w="109"/>
        <w:gridCol w:w="109"/>
        <w:gridCol w:w="109"/>
        <w:gridCol w:w="109"/>
        <w:gridCol w:w="146"/>
        <w:gridCol w:w="2102"/>
        <w:gridCol w:w="109"/>
        <w:gridCol w:w="109"/>
        <w:gridCol w:w="109"/>
        <w:gridCol w:w="850"/>
        <w:gridCol w:w="730"/>
        <w:gridCol w:w="818"/>
      </w:tblGrid>
      <w:tr>
        <w:trPr/>
        <w:tc>
          <w:tcPr>
            <w:tcW w:w="1125"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r>
      <w:tr>
        <w:trPr/>
        <w:tc>
          <w:tcPr>
            <w:tcW w:w="2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2"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Location of Gain/(Loss) Recognized in Earnings</w:t>
            </w:r>
          </w:p>
        </w:tc>
        <w:tc>
          <w:tcPr>
            <w:tcW w:w="2725" w:type="dxa"/>
            <w:gridSpan w:val="6"/>
            <w:tcBorders/>
            <w:shd w:fill="auto" w:val="clear"/>
          </w:tcPr>
          <w:p>
            <w:pPr>
              <w:pStyle w:val="TableContents"/>
              <w:spacing w:before="0" w:after="283"/>
              <w:rPr>
                <w:sz w:val="4"/>
                <w:szCs w:val="4"/>
              </w:rPr>
            </w:pPr>
            <w:r>
              <w:rPr>
                <w:sz w:val="4"/>
                <w:szCs w:val="4"/>
              </w:rPr>
            </w:r>
          </w:p>
        </w:tc>
      </w:tr>
      <w:tr>
        <w:trPr/>
        <w:tc>
          <w:tcPr>
            <w:tcW w:w="2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2" w:type="dxa"/>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73"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827" w:type="dxa"/>
            <w:gridSpan w:val="7"/>
            <w:tcBorders/>
            <w:shd w:fill="auto" w:val="clear"/>
          </w:tcPr>
          <w:p>
            <w:pPr>
              <w:pStyle w:val="TableContents"/>
              <w:spacing w:before="0" w:after="283"/>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Intercompany loans and forecasted interest payments</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Interest and other expense, net</w:t>
            </w:r>
          </w:p>
        </w:tc>
      </w:tr>
      <w:tr>
        <w:trPr/>
        <w:tc>
          <w:tcPr>
            <w:tcW w:w="27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6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Cost of sales</w:t>
            </w:r>
          </w:p>
        </w:tc>
      </w:tr>
      <w:tr>
        <w:trPr/>
        <w:tc>
          <w:tcPr>
            <w:tcW w:w="27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6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Interest and other expense, net</w:t>
            </w:r>
          </w:p>
        </w:tc>
      </w:tr>
      <w:tr>
        <w:trPr/>
        <w:tc>
          <w:tcPr>
            <w:tcW w:w="27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6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Selling, general and administrative expenses</w:t>
            </w:r>
          </w:p>
        </w:tc>
      </w:tr>
      <w:tr>
        <w:trPr/>
        <w:tc>
          <w:tcPr>
            <w:tcW w:w="2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6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Cost of sales</w:t>
            </w:r>
          </w:p>
        </w:tc>
      </w:tr>
      <w:tr>
        <w:trPr/>
        <w:tc>
          <w:tcPr>
            <w:tcW w:w="2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Equity method investment </w:t>
              <w:br/>
              <w:t>   contracts</w:t>
            </w:r>
          </w:p>
        </w:tc>
        <w:tc>
          <w:tcPr>
            <w:tcW w:w="6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Gain on equity method investment transactions</w:t>
            </w:r>
          </w:p>
        </w:tc>
      </w:tr>
      <w:tr>
        <w:trPr/>
        <w:tc>
          <w:tcPr>
            <w:tcW w:w="2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24" name="Frame2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Fair Value of Contingent Consideration</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is a summary of our contingent consideration liability activity:</w:t>
      </w:r>
    </w:p>
    <w:tbl>
      <w:tblPr>
        <w:tblW w:w="5546" w:type="dxa"/>
        <w:jc w:val="left"/>
        <w:tblInd w:w="0" w:type="dxa"/>
        <w:tblCellMar>
          <w:top w:w="28" w:type="dxa"/>
          <w:left w:w="28" w:type="dxa"/>
          <w:bottom w:w="28" w:type="dxa"/>
          <w:right w:w="28" w:type="dxa"/>
        </w:tblCellMar>
      </w:tblPr>
      <w:tblGrid>
        <w:gridCol w:w="976"/>
        <w:gridCol w:w="859"/>
        <w:gridCol w:w="865"/>
        <w:gridCol w:w="259"/>
        <w:gridCol w:w="591"/>
        <w:gridCol w:w="133"/>
        <w:gridCol w:w="133"/>
        <w:gridCol w:w="133"/>
        <w:gridCol w:w="133"/>
        <w:gridCol w:w="259"/>
        <w:gridCol w:w="591"/>
        <w:gridCol w:w="133"/>
        <w:gridCol w:w="109"/>
        <w:gridCol w:w="109"/>
        <w:gridCol w:w="109"/>
        <w:gridCol w:w="154"/>
      </w:tblGrid>
      <w:tr>
        <w:trPr/>
        <w:tc>
          <w:tcPr>
            <w:tcW w:w="976"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9"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at beginning of period</w:t>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fair value</w:t>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at end of period</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Contingent consideration was recorded at fair value in the condensed consolidated balance sheets as follows:</w:t>
      </w:r>
    </w:p>
    <w:p>
      <w:pPr>
        <w:pStyle w:val="TextBody"/>
        <w:spacing w:before="0" w:after="0"/>
        <w:jc w:val="both"/>
        <w:rPr/>
      </w:pPr>
      <w:r>
        <w:rPr/>
      </w:r>
    </w:p>
    <w:tbl>
      <w:tblPr>
        <w:tblW w:w="9428" w:type="dxa"/>
        <w:jc w:val="left"/>
        <w:tblInd w:w="0" w:type="dxa"/>
        <w:tblCellMar>
          <w:top w:w="28" w:type="dxa"/>
          <w:left w:w="28" w:type="dxa"/>
          <w:bottom w:w="28" w:type="dxa"/>
          <w:right w:w="28" w:type="dxa"/>
        </w:tblCellMar>
      </w:tblPr>
      <w:tblGrid>
        <w:gridCol w:w="1439"/>
        <w:gridCol w:w="643"/>
        <w:gridCol w:w="647"/>
        <w:gridCol w:w="406"/>
        <w:gridCol w:w="928"/>
        <w:gridCol w:w="211"/>
        <w:gridCol w:w="109"/>
        <w:gridCol w:w="109"/>
        <w:gridCol w:w="109"/>
        <w:gridCol w:w="414"/>
        <w:gridCol w:w="797"/>
        <w:gridCol w:w="215"/>
        <w:gridCol w:w="109"/>
        <w:gridCol w:w="109"/>
        <w:gridCol w:w="109"/>
        <w:gridCol w:w="436"/>
        <w:gridCol w:w="839"/>
        <w:gridCol w:w="226"/>
        <w:gridCol w:w="109"/>
        <w:gridCol w:w="109"/>
        <w:gridCol w:w="109"/>
        <w:gridCol w:w="310"/>
        <w:gridCol w:w="708"/>
        <w:gridCol w:w="228"/>
      </w:tblGrid>
      <w:tr>
        <w:trPr/>
        <w:tc>
          <w:tcPr>
            <w:tcW w:w="143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9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March 31, 2023</w:t>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Fair Value of</w:t>
              <w:br/>
              <w:t>Liability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9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Clif Bar </w:t>
            </w:r>
            <w:r>
              <w:rPr>
                <w:rFonts w:ascii="Arial;sans-serif" w:hAnsi="Arial;sans-serif"/>
                <w:b w:val="false"/>
                <w:color w:val="000000"/>
                <w:sz w:val="13"/>
              </w:rPr>
              <w:t>(1)</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(2)</w:t>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contingent consideration</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9428" w:type="dxa"/>
        <w:jc w:val="left"/>
        <w:tblInd w:w="0" w:type="dxa"/>
        <w:tblCellMar>
          <w:top w:w="28" w:type="dxa"/>
          <w:left w:w="28" w:type="dxa"/>
          <w:bottom w:w="28" w:type="dxa"/>
          <w:right w:w="28" w:type="dxa"/>
        </w:tblCellMar>
      </w:tblPr>
      <w:tblGrid>
        <w:gridCol w:w="1439"/>
        <w:gridCol w:w="643"/>
        <w:gridCol w:w="647"/>
        <w:gridCol w:w="406"/>
        <w:gridCol w:w="928"/>
        <w:gridCol w:w="211"/>
        <w:gridCol w:w="109"/>
        <w:gridCol w:w="109"/>
        <w:gridCol w:w="109"/>
        <w:gridCol w:w="414"/>
        <w:gridCol w:w="797"/>
        <w:gridCol w:w="215"/>
        <w:gridCol w:w="109"/>
        <w:gridCol w:w="109"/>
        <w:gridCol w:w="109"/>
        <w:gridCol w:w="436"/>
        <w:gridCol w:w="839"/>
        <w:gridCol w:w="226"/>
        <w:gridCol w:w="109"/>
        <w:gridCol w:w="109"/>
        <w:gridCol w:w="109"/>
        <w:gridCol w:w="310"/>
        <w:gridCol w:w="708"/>
        <w:gridCol w:w="228"/>
      </w:tblGrid>
      <w:tr>
        <w:trPr/>
        <w:tc>
          <w:tcPr>
            <w:tcW w:w="143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9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Fair Value of</w:t>
              <w:br/>
              <w:t>Liability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9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Clif Bar </w:t>
            </w:r>
            <w:r>
              <w:rPr>
                <w:rFonts w:ascii="Arial;sans-serif" w:hAnsi="Arial;sans-serif"/>
                <w:b w:val="false"/>
                <w:color w:val="000000"/>
                <w:sz w:val="13"/>
              </w:rPr>
              <w:t>(1)</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(2)</w:t>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contingent consideration</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pPr>
      <w:r>
        <w:rPr>
          <w:rFonts w:ascii="Arial;sans-serif" w:hAnsi="Arial;sans-serif"/>
          <w:b w:val="false"/>
          <w:color w:val="000000"/>
          <w:sz w:val="16"/>
        </w:rPr>
        <w:t xml:space="preserve">(1)In connection with the Clif Bar acquisition, we entered into a contingent consideration arrangement that may require us to pay additional consideration to the sellers for achieving certain net revenue, gross profit and EBITDA targets in 2025 and 2026 that exceed our base financial projections for the business implied in the upfront purchase price. The other contingent consideration liabilities are recorded at fair value within long term liabilities. The estimated fair value of the contingent consideration obligation at the acquisition date was determined using a Monte Carlo simulation and recorded in other liabilities. Significant assumptions used in assessing the fair value of the liability include financial projections for net revenue, gross profit, and EBITDA, as well as discount and volatility rates. Fair value adjustments are primarily recorded in selling, general and administrative expenses in the condensed consolidated statement of earnings. Refer to Note 2, </w:t>
      </w:r>
      <w:r>
        <w:rPr>
          <w:rFonts w:ascii="Arial;sans-serif" w:hAnsi="Arial;sans-serif"/>
          <w:b w:val="false"/>
          <w:i/>
          <w:color w:val="000000"/>
          <w:sz w:val="16"/>
        </w:rPr>
        <w:t>Acquisitions and Divestitures</w:t>
      </w:r>
      <w:r>
        <w:rPr>
          <w:color w:val="000000"/>
        </w:rPr>
        <w:t xml:space="preserve"> </w:t>
      </w:r>
      <w:r>
        <w:rPr>
          <w:rFonts w:ascii="Arial;sans-serif" w:hAnsi="Arial;sans-serif"/>
          <w:b w:val="false"/>
          <w:color w:val="000000"/>
          <w:sz w:val="16"/>
        </w:rPr>
        <w:t>for additional information.</w:t>
      </w:r>
    </w:p>
    <w:p>
      <w:pPr>
        <w:pStyle w:val="TextBody"/>
        <w:spacing w:lineRule="auto" w:line="288" w:before="0" w:after="0"/>
        <w:ind w:left="0" w:right="0" w:hanging="360"/>
        <w:jc w:val="both"/>
        <w:rPr/>
      </w:pPr>
      <w:r>
        <w:rPr>
          <w:rFonts w:ascii="Arial;sans-serif" w:hAnsi="Arial;sans-serif"/>
          <w:b w:val="false"/>
          <w:color w:val="000000"/>
          <w:sz w:val="16"/>
        </w:rPr>
        <w:t xml:space="preserve">(2)The other contingent consideration liabilities are recorded at fair value, with $113 million and $102 million classified as other current liabilities and $81 million and $88 million classified as long term liabilities at March 31, 2023 and December 31, 2022. The fair value of this contingent consideration was determined using a Monte Carlo valuation model based on Level 3 inputs, including management's latest estimate of forecasted future results. Other key assumptions included discount rate and volatility. Fair value adjustments are recorded in selling, general and administrative expenses in the condensed consolidated statement of earnings. Refer to Note 2, </w:t>
      </w:r>
      <w:r>
        <w:rPr>
          <w:rFonts w:ascii="Arial;sans-serif" w:hAnsi="Arial;sans-serif"/>
          <w:b w:val="false"/>
          <w:i/>
          <w:color w:val="000000"/>
          <w:sz w:val="16"/>
        </w:rPr>
        <w:t>Acquisitions and Divestitures</w:t>
      </w:r>
      <w:r>
        <w:rPr>
          <w:color w:val="000000"/>
        </w:rPr>
        <w:t xml:space="preserve"> </w:t>
      </w:r>
      <w:r>
        <w:rPr>
          <w:rFonts w:ascii="Arial;sans-serif" w:hAnsi="Arial;sans-serif"/>
          <w:b w:val="false"/>
          <w:color w:val="000000"/>
          <w:sz w:val="16"/>
        </w:rPr>
        <w:t>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0520"/>
                <wp:effectExtent l="0" t="0" r="0" b="0"/>
                <wp:wrapNone/>
                <wp:docPr id="25" name="Frame2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10. Benefit Plans </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Pension Plans</w:t>
      </w:r>
    </w:p>
    <w:p>
      <w:pPr>
        <w:pStyle w:val="TextBody"/>
        <w:spacing w:before="0" w:after="0"/>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Components of Net Periodic Pension Cost</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periodic pension cost/(benefit) consisted of the following:</w:t>
      </w:r>
    </w:p>
    <w:tbl>
      <w:tblPr>
        <w:tblW w:w="8845" w:type="dxa"/>
        <w:jc w:val="left"/>
        <w:tblInd w:w="0" w:type="dxa"/>
        <w:tblCellMar>
          <w:top w:w="28" w:type="dxa"/>
          <w:left w:w="28" w:type="dxa"/>
          <w:bottom w:w="28" w:type="dxa"/>
          <w:right w:w="28" w:type="dxa"/>
        </w:tblCellMar>
      </w:tblPr>
      <w:tblGrid>
        <w:gridCol w:w="1936"/>
        <w:gridCol w:w="900"/>
        <w:gridCol w:w="907"/>
        <w:gridCol w:w="293"/>
        <w:gridCol w:w="460"/>
        <w:gridCol w:w="151"/>
        <w:gridCol w:w="151"/>
        <w:gridCol w:w="151"/>
        <w:gridCol w:w="151"/>
        <w:gridCol w:w="293"/>
        <w:gridCol w:w="564"/>
        <w:gridCol w:w="151"/>
        <w:gridCol w:w="109"/>
        <w:gridCol w:w="109"/>
        <w:gridCol w:w="109"/>
        <w:gridCol w:w="288"/>
        <w:gridCol w:w="514"/>
        <w:gridCol w:w="149"/>
        <w:gridCol w:w="149"/>
        <w:gridCol w:w="149"/>
        <w:gridCol w:w="149"/>
        <w:gridCol w:w="288"/>
        <w:gridCol w:w="514"/>
        <w:gridCol w:w="210"/>
      </w:tblGrid>
      <w:tr>
        <w:trPr/>
        <w:tc>
          <w:tcPr>
            <w:tcW w:w="1936"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3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3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r>
      <w:tr>
        <w:trPr/>
        <w:tc>
          <w:tcPr>
            <w:tcW w:w="3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0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7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7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7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from experience differences</w:t>
            </w:r>
          </w:p>
        </w:tc>
        <w:tc>
          <w:tcPr>
            <w:tcW w:w="7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cost/(benefit)</w:t>
            </w:r>
          </w:p>
        </w:tc>
        <w:tc>
          <w:tcPr>
            <w:tcW w:w="7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3"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losses and other expenses</w:t>
            </w:r>
          </w:p>
        </w:tc>
        <w:tc>
          <w:tcPr>
            <w:tcW w:w="7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pension (benefit)/cost</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43"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2737" w:type="dxa"/>
            <w:gridSpan w:val="12"/>
            <w:tcBorders/>
            <w:shd w:fill="auto" w:val="clear"/>
          </w:tcPr>
          <w:p>
            <w:pPr>
              <w:pStyle w:val="TableContents"/>
              <w:spacing w:before="0" w:after="283"/>
              <w:rPr>
                <w:sz w:val="4"/>
                <w:szCs w:val="4"/>
              </w:rPr>
            </w:pPr>
            <w:r>
              <w:rPr>
                <w:sz w:val="4"/>
                <w:szCs w:val="4"/>
              </w:rPr>
            </w:r>
          </w:p>
        </w:tc>
      </w:tr>
      <w:tr>
        <w:trPr/>
        <w:tc>
          <w:tcPr>
            <w:tcW w:w="3743"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2737" w:type="dxa"/>
            <w:gridSpan w:val="12"/>
            <w:tcBorders/>
            <w:shd w:fill="auto" w:val="clear"/>
          </w:tcPr>
          <w:p>
            <w:pPr>
              <w:pStyle w:val="TableContents"/>
              <w:spacing w:before="0" w:after="283"/>
              <w:rPr>
                <w:sz w:val="4"/>
                <w:szCs w:val="4"/>
              </w:rPr>
            </w:pPr>
            <w:r>
              <w:rPr>
                <w:sz w:val="4"/>
                <w:szCs w:val="4"/>
              </w:rPr>
            </w:r>
          </w:p>
        </w:tc>
      </w:tr>
      <w:tr>
        <w:trPr/>
        <w:tc>
          <w:tcPr>
            <w:tcW w:w="3743"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743"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4198" w:type="dxa"/>
            <w:gridSpan w:val="18"/>
            <w:tcBorders/>
            <w:shd w:fill="auto" w:val="clear"/>
          </w:tcPr>
          <w:p>
            <w:pPr>
              <w:pStyle w:val="TableContents"/>
              <w:spacing w:before="0" w:after="283"/>
              <w:rPr>
                <w:sz w:val="4"/>
                <w:szCs w:val="4"/>
              </w:rPr>
            </w:pPr>
            <w:r>
              <w:rPr>
                <w:sz w:val="4"/>
                <w:szCs w:val="4"/>
              </w:rPr>
            </w:r>
          </w:p>
        </w:tc>
      </w:tr>
      <w:tr>
        <w:trPr/>
        <w:tc>
          <w:tcPr>
            <w:tcW w:w="3743"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743"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743"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743"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743"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743"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743"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743"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3743" w:type="dxa"/>
            <w:gridSpan w:val="3"/>
            <w:tcBorders/>
            <w:shd w:fill="auto" w:val="clear"/>
            <w:vAlign w:val="center"/>
          </w:tcPr>
          <w:p>
            <w:pPr>
              <w:pStyle w:val="TableContents"/>
              <w:spacing w:before="0" w:after="283"/>
              <w:rPr>
                <w:sz w:val="4"/>
                <w:szCs w:val="4"/>
              </w:rPr>
            </w:pPr>
            <w:r>
              <w:rPr>
                <w:sz w:val="4"/>
                <w:szCs w:val="4"/>
              </w:rPr>
            </w:r>
          </w:p>
        </w:tc>
        <w:tc>
          <w:tcPr>
            <w:tcW w:w="904"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Employer Contributions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2023, we contributed $2 million to our U.S. pension plans and $37 million to our non-U.S. pension plans. We make contributions to our pension plans in accordance with local funding arrangements and statutory minimum funding requirements. Discretionary contributions are made to the extent that they are tax deductible and do not generate an excise tax liability.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2023, we plan to make further contributions of approximately $4 million to our U.S. plans and $82 million to our non-U.S. plans for the remainder of 2023. Our actual contributions may be different due to many factors, including changes in tax and other benefit laws, significant differences between expected and actual pension asset performance or interest rates.</w:t>
      </w:r>
    </w:p>
    <w:p>
      <w:pPr>
        <w:pStyle w:val="TextBody"/>
        <w:spacing w:before="0" w:after="0"/>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Multiemployer Pension Plans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July 11, 2019, we received an undiscounted withdrawal liability assessment from the Bakery and Confectionery Union and Industry International Pension Fund totaling $526 million requiring pro-rata monthly payments over 20 years. We began making monthly payments during the third quarter of 2019. In connection with the discounted long-term liability, we recorded accreted interest of $3 million in the three months ended March 31, 2023 and March 31, 2022, within interest and other expense, net. As of March 31, 2023, the remaining discounted withdrawal liability was $340 million, with $15 million recorded in other current liabilities and $325 million recorded in long-term other liabilities. </w:t>
      </w:r>
    </w:p>
    <w:p>
      <w:pPr>
        <w:pStyle w:val="TextBody"/>
        <w:spacing w:before="0" w:after="0"/>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Postretirement and Postemployment Benefit Plans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net periodic postretirement cost was zero for the three months ended March 31, 2023 and $3 million for the three months ended March 31, 2022. The net periodic postemployment cost was $1 million for the three months ended March 31, 2023 and $1 million for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26" name="Frame2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Note 11. Stock Plans</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 Options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 option activity is reflected below:</w:t>
      </w:r>
    </w:p>
    <w:tbl>
      <w:tblPr>
        <w:tblW w:w="9126" w:type="dxa"/>
        <w:jc w:val="left"/>
        <w:tblInd w:w="0" w:type="dxa"/>
        <w:tblCellMar>
          <w:top w:w="28" w:type="dxa"/>
          <w:left w:w="28" w:type="dxa"/>
          <w:bottom w:w="28" w:type="dxa"/>
          <w:right w:w="28" w:type="dxa"/>
        </w:tblCellMar>
      </w:tblPr>
      <w:tblGrid>
        <w:gridCol w:w="1125"/>
        <w:gridCol w:w="988"/>
        <w:gridCol w:w="992"/>
        <w:gridCol w:w="563"/>
        <w:gridCol w:w="563"/>
        <w:gridCol w:w="431"/>
        <w:gridCol w:w="109"/>
        <w:gridCol w:w="109"/>
        <w:gridCol w:w="109"/>
        <w:gridCol w:w="329"/>
        <w:gridCol w:w="329"/>
        <w:gridCol w:w="331"/>
        <w:gridCol w:w="109"/>
        <w:gridCol w:w="109"/>
        <w:gridCol w:w="109"/>
        <w:gridCol w:w="345"/>
        <w:gridCol w:w="345"/>
        <w:gridCol w:w="346"/>
        <w:gridCol w:w="109"/>
        <w:gridCol w:w="109"/>
        <w:gridCol w:w="109"/>
        <w:gridCol w:w="211"/>
        <w:gridCol w:w="481"/>
        <w:gridCol w:w="766"/>
      </w:tblGrid>
      <w:tr>
        <w:trPr/>
        <w:tc>
          <w:tcPr>
            <w:tcW w:w="1125"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Shares Subject</w:t>
              <w:br/>
              <w:t>to Option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 or</w:t>
              <w:br/>
              <w:t>Grant Price</w:t>
              <w:b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Average</w:t>
              <w:br/>
              <w:t>Remaining</w:t>
              <w:br/>
              <w:t>Contractual</w:t>
              <w:br/>
              <w:t>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2023</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20,490,250 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grant to eligible employees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2,452,110 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options issued</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3,310 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options granted</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2,455,420 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Options exercised </w:t>
            </w:r>
            <w:r>
              <w:rPr>
                <w:rFonts w:ascii="Arial;sans-serif" w:hAnsi="Arial;sans-serif"/>
                <w:b w:val="false"/>
                <w:color w:val="000000"/>
                <w:sz w:val="13"/>
              </w:rPr>
              <w:t>(1)</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(1,453,616)</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canceled</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(109,897)</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2023</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21,382,157 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Arial;sans-serif" w:hAnsi="Arial;sans-serif"/>
                <w:b w:val="false"/>
                <w:color w:val="000000"/>
                <w:sz w:val="20"/>
              </w:rPr>
              <w:t>million</w:t>
            </w:r>
          </w:p>
        </w:tc>
      </w:tr>
    </w:tbl>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(1)Cash received from options exercised was $49 million in the three months ended March 31, 2023. The actual tax benefit realized and recorded in the provision for income taxes for the tax deductions from the option exercises totaled $8 million in the three months ended March 31, 2023.</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Performance Share Units and Other Stock-Based Awards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performance share unit (PSU), deferred stock unit (DSU) and other stock-based activity is reflected below:</w:t>
      </w:r>
    </w:p>
    <w:tbl>
      <w:tblPr>
        <w:tblW w:w="9817" w:type="dxa"/>
        <w:jc w:val="left"/>
        <w:tblInd w:w="0" w:type="dxa"/>
        <w:tblCellMar>
          <w:top w:w="28" w:type="dxa"/>
          <w:left w:w="28" w:type="dxa"/>
          <w:bottom w:w="28" w:type="dxa"/>
          <w:right w:w="28" w:type="dxa"/>
        </w:tblCellMar>
      </w:tblPr>
      <w:tblGrid>
        <w:gridCol w:w="1146"/>
        <w:gridCol w:w="1007"/>
        <w:gridCol w:w="1011"/>
        <w:gridCol w:w="539"/>
        <w:gridCol w:w="541"/>
        <w:gridCol w:w="286"/>
        <w:gridCol w:w="109"/>
        <w:gridCol w:w="109"/>
        <w:gridCol w:w="109"/>
        <w:gridCol w:w="379"/>
        <w:gridCol w:w="379"/>
        <w:gridCol w:w="381"/>
        <w:gridCol w:w="109"/>
        <w:gridCol w:w="109"/>
        <w:gridCol w:w="109"/>
        <w:gridCol w:w="520"/>
        <w:gridCol w:w="520"/>
        <w:gridCol w:w="521"/>
        <w:gridCol w:w="109"/>
        <w:gridCol w:w="109"/>
        <w:gridCol w:w="109"/>
        <w:gridCol w:w="232"/>
        <w:gridCol w:w="529"/>
        <w:gridCol w:w="845"/>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w:t>
              <w:br/>
              <w:t>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Grant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Weighted-Average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Fair Value</w:t>
            </w:r>
          </w:p>
          <w:p>
            <w:pPr>
              <w:pStyle w:val="TableContents"/>
              <w:spacing w:lineRule="auto" w:line="240" w:before="0" w:after="0"/>
              <w:jc w:val="center"/>
              <w:rPr/>
            </w:pPr>
            <w:r>
              <w:rPr>
                <w:rFonts w:ascii="Arial;sans-serif" w:hAnsi="Arial;sans-serif"/>
                <w:b/>
                <w:color w:val="000000"/>
                <w:sz w:val="16"/>
              </w:rPr>
              <w:t xml:space="preserve">Per Share </w:t>
            </w:r>
            <w:r>
              <w:rPr>
                <w:rFonts w:ascii="Arial;sans-serif" w:hAnsi="Arial;sans-serif"/>
                <w:b/>
                <w:color w:val="000000"/>
                <w:sz w:val="12"/>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Weighted-Average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Aggregate</w:t>
            </w:r>
          </w:p>
          <w:p>
            <w:pPr>
              <w:pStyle w:val="TableContents"/>
              <w:spacing w:lineRule="auto" w:line="240" w:before="0" w:after="0"/>
              <w:jc w:val="center"/>
              <w:rPr/>
            </w:pPr>
            <w:r>
              <w:rPr>
                <w:rFonts w:ascii="Arial;sans-serif" w:hAnsi="Arial;sans-serif"/>
                <w:b/>
                <w:color w:val="000000"/>
                <w:sz w:val="16"/>
              </w:rPr>
              <w:t xml:space="preserve">Fair Value </w:t>
            </w:r>
            <w:r>
              <w:rPr>
                <w:rFonts w:ascii="Arial;sans-serif" w:hAnsi="Arial;sans-serif"/>
                <w:b/>
                <w:color w:val="000000"/>
                <w:sz w:val="12"/>
              </w:rPr>
              <w:t>(3)</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2023</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4,451,674 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grant to eligible employees:</w:t>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 2,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 units</w:t>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895,410 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68.59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stock units</w:t>
            </w:r>
          </w:p>
        </w:tc>
        <w:tc>
          <w:tcPr>
            <w:tcW w:w="10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578,570 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Additional shares granted </w:t>
            </w:r>
            <w:r>
              <w:rPr>
                <w:rFonts w:ascii="Arial;sans-serif" w:hAnsi="Arial;sans-serif"/>
                <w:b w:val="false"/>
                <w:color w:val="000000"/>
                <w:sz w:val="13"/>
              </w:rPr>
              <w:t>(1)</w:t>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675,395 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shares granted</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2,149,375 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84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Vested </w:t>
            </w:r>
            <w:r>
              <w:rPr>
                <w:rFonts w:ascii="Arial;sans-serif" w:hAnsi="Arial;sans-serif"/>
                <w:b w:val="false"/>
                <w:color w:val="000000"/>
                <w:sz w:val="13"/>
              </w:rPr>
              <w:t>(2) (3)</w:t>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(1,598,781)</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84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Forfeited </w:t>
            </w:r>
            <w:r>
              <w:rPr>
                <w:rFonts w:ascii="Arial;sans-serif" w:hAnsi="Arial;sans-serif"/>
                <w:b w:val="false"/>
                <w:color w:val="000000"/>
                <w:sz w:val="13"/>
              </w:rPr>
              <w:t>(2)</w:t>
            </w:r>
          </w:p>
        </w:tc>
        <w:tc>
          <w:tcPr>
            <w:tcW w:w="10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(91,430)</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2023</w:t>
            </w:r>
          </w:p>
        </w:tc>
        <w:tc>
          <w:tcPr>
            <w:tcW w:w="10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4,910,838 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PSUs and DSUs.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(2)Includes PSUs, DSUs and other stock-based awards.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(3)The actual tax benefit realized and recorded in the provision for income taxes for the tax deductions from the shares vested totaled $2 million in the three months ended March 31, 2023.</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(4)The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Share Repurchase Program</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Between 2013 and 2020, our Board of Directors authorized the repurchase of a total of $23.7 billion of our Common Stock and extended the program through December 31, 2023. Prior to January 1, 2023, we had repurchased approximately $22.0 billion of Common Stock pursuant to this authorization. Our Board of Directors approved a new program authorizing the repurchase of up to $6.0 billion of our Common Stock through December 31, 2025. This authorization, effective January 1, 2023, replaces our current share repurchase program. Repurchases under the program are determined by management and are wholly discretionary.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three months ended March 31, 2023, we repurchased approximately 6.2 million shares of Common Stock at an average cost of $65.93 per share, or an aggregate cost of approximately $407 million, all of which was paid during the period except for approximately $8 million settled in April 2023. All share repurchases were funded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27" name="Frame2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through available cash and commercial paper issuances. As of March 31, 2023, we have approximately $5.6 billion in remaining share repurchase capacity.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12. Commitments and Contingencies </w:t>
      </w:r>
    </w:p>
    <w:p>
      <w:pPr>
        <w:pStyle w:val="TextBody"/>
        <w:spacing w:before="0" w:after="0"/>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Legal Proceedings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On April 1, 2015, the U.S. Commodity Futures Trading Commission ("CFTC") filed a complaint against Kraft Foods Group and Mondelēz Global LLC (“Mondelēz Global”) in the U.S. District Court for the Northern District of Illinois (the "District Court"), Eastern Division (the “CFTC action”) following its investigation of activities related to the trading of December 2011 wheat futures contracts that occurred prior to the spin-off of Kraft Foods Group. The complaint alleged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sought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Kraft Foods Group and Mondelēz Global in the District Court by investors in wheat futures and options on behalf of themselves and others similarly situated. The complaints make similar allegations as those made in the CFTC action, and the plaintiffs are seeking monetary damages, interest and unjust enrichment; costs and fees; and injunctive, declaratory and other unspecified relief. In June 2015, these suits were consolidated in the United States District Court for the Northern District of Illinois as case number 15-cv-2937, </w:t>
      </w:r>
      <w:r>
        <w:rPr>
          <w:rFonts w:ascii="Arial;sans-serif" w:hAnsi="Arial;sans-serif"/>
          <w:b w:val="false"/>
          <w:i/>
          <w:color w:val="000000"/>
          <w:sz w:val="20"/>
        </w:rPr>
        <w:t>Harry Ploss et al. v. Kraft Foods Group, Inc. and Mondelēz Global LLC</w:t>
      </w:r>
      <w:r>
        <w:rPr>
          <w:rFonts w:ascii="Arial;sans-serif" w:hAnsi="Arial;sans-serif"/>
          <w:b w:val="false"/>
          <w:color w:val="000000"/>
          <w:sz w:val="20"/>
        </w:rPr>
        <w:t>. On January 3, 2020, the District Court granted plaintiffs' request to certify a class. It is not possible to predict the outcome of these matters; however, based on our Separation and Distribution Agreement with Kraft Foods Group dated as of September 27, 2012, we expect to bear any monetary penalties or other payments in connection with the class action. Although the CFTC action and the class action complaints involve the same alleged conduct, the resolution of the CFTC matter may not be dispositive as to the outcome of the class action.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previously disclosed,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We have been cooperating with the investigation and discussions with the European Commission are progressing in an effort to reach a negotiated, proportionate resolution in this matter. As of March 31, 2023 and December 31, 2022, we have accrued (in accordance with U.S. GAAP) a liability of €300 million ($325 million as of March 31, 2023) within other current liabilities in the consolidated balance sheet as an estimate of the possible cost to resolve this matter. It is not possible to predict if our ongoing discussions will result in a negotiated resolution, or result in a negotiated resolution in a higher amount, or when we will have clarity on the ultimate outcome of these discussions. If our discussions do not result in a negotiated resolution, we expect that the European Commission will pursue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28" name="Frame2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proceedings against the Company, including the imposition of a fine, and we would defend against any allegations made in such proceedings. There is a possibility that the final liability could be materially higher than the amount accrued. However, due to the inherent uncertainty of the discussions and possible outcomes, any possible loss or range of loss different from the amount accrued is not reasonably estimable at this time.</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Third-Party Guarantees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enter into third-party guarantees primarily to cover long-term obligations of our vendors. As part of these transactions, we guarantee that third parties will make contractual payments or achieve performance measures. At March 31, 2023, we had no material third-party guarantees recorded on our condensed consolidated balance sheet.</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Tax Matters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0520"/>
                <wp:effectExtent l="0" t="0" r="0" b="0"/>
                <wp:wrapNone/>
                <wp:docPr id="29" name="Frame2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13. Reclassifications from Accumulated Other Comprehensive Income </w:t>
      </w:r>
    </w:p>
    <w:p>
      <w:pPr>
        <w:pStyle w:val="TextBody"/>
        <w:spacing w:before="0" w:after="0"/>
        <w:rPr/>
      </w:pPr>
      <w:r>
        <w:rPr/>
      </w:r>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gains of $30 million in the first quarter of 2023 and $42 million in the first quarter of 2022.</w:t>
      </w:r>
    </w:p>
    <w:tbl>
      <w:tblPr>
        <w:tblW w:w="9693" w:type="dxa"/>
        <w:jc w:val="left"/>
        <w:tblInd w:w="0" w:type="dxa"/>
        <w:tblCellMar>
          <w:top w:w="28" w:type="dxa"/>
          <w:left w:w="28" w:type="dxa"/>
          <w:bottom w:w="28" w:type="dxa"/>
          <w:right w:w="28" w:type="dxa"/>
        </w:tblCellMar>
      </w:tblPr>
      <w:tblGrid>
        <w:gridCol w:w="2394"/>
        <w:gridCol w:w="2105"/>
        <w:gridCol w:w="2116"/>
        <w:gridCol w:w="196"/>
        <w:gridCol w:w="721"/>
        <w:gridCol w:w="109"/>
        <w:gridCol w:w="109"/>
        <w:gridCol w:w="109"/>
        <w:gridCol w:w="109"/>
        <w:gridCol w:w="196"/>
        <w:gridCol w:w="721"/>
        <w:gridCol w:w="109"/>
        <w:gridCol w:w="109"/>
        <w:gridCol w:w="109"/>
        <w:gridCol w:w="109"/>
        <w:gridCol w:w="109"/>
        <w:gridCol w:w="109"/>
        <w:gridCol w:w="154"/>
      </w:tblGrid>
      <w:tr>
        <w:trPr/>
        <w:tc>
          <w:tcPr>
            <w:tcW w:w="2394" w:type="dxa"/>
            <w:tcBorders/>
            <w:shd w:fill="auto" w:val="clear"/>
            <w:vAlign w:val="center"/>
          </w:tcPr>
          <w:p>
            <w:pPr>
              <w:pStyle w:val="TableContents"/>
              <w:spacing w:before="0" w:after="283"/>
              <w:rPr>
                <w:sz w:val="4"/>
                <w:szCs w:val="4"/>
              </w:rPr>
            </w:pPr>
            <w:r>
              <w:rPr>
                <w:sz w:val="4"/>
                <w:szCs w:val="4"/>
              </w:rPr>
            </w:r>
          </w:p>
        </w:tc>
        <w:tc>
          <w:tcPr>
            <w:tcW w:w="2105" w:type="dxa"/>
            <w:tcBorders/>
            <w:shd w:fill="auto" w:val="clear"/>
            <w:vAlign w:val="center"/>
          </w:tcPr>
          <w:p>
            <w:pPr>
              <w:pStyle w:val="TableContents"/>
              <w:spacing w:before="0" w:after="283"/>
              <w:rPr>
                <w:sz w:val="4"/>
                <w:szCs w:val="4"/>
              </w:rPr>
            </w:pPr>
            <w:r>
              <w:rPr>
                <w:sz w:val="4"/>
                <w:szCs w:val="4"/>
              </w:rPr>
            </w:r>
          </w:p>
        </w:tc>
        <w:tc>
          <w:tcPr>
            <w:tcW w:w="211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6"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(in millions)</w:t>
            </w:r>
          </w:p>
        </w:tc>
        <w:tc>
          <w:tcPr>
            <w:tcW w:w="372" w:type="dxa"/>
            <w:gridSpan w:val="3"/>
            <w:tcBorders/>
            <w:shd w:fill="auto" w:val="clea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Currency Translation Adjustments:</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translation adjustments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(expense)/benefit</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 comprehensive (earnings)/loss attributable to noncontrolling interests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Pension and Other Benefit Plans: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actuarial gain/(loss) arising during period</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(expense)/benefit on net actuarial gain/(loss)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Losses/(gains) reclassified into net earnings:</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Amortization of experience losses and prior service costs </w:t>
            </w:r>
            <w:r>
              <w:rPr>
                <w:rFonts w:ascii="Arial;sans-serif" w:hAnsi="Arial;sans-serif"/>
                <w:b w:val="false"/>
                <w:color w:val="000000"/>
                <w:sz w:val="10"/>
              </w:rPr>
              <w:t>(1)</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Settlement losses and other expenses </w:t>
            </w:r>
            <w:r>
              <w:rPr>
                <w:rFonts w:ascii="Arial;sans-serif" w:hAnsi="Arial;sans-serif"/>
                <w:b w:val="false"/>
                <w:color w:val="000000"/>
                <w:sz w:val="10"/>
              </w:rPr>
              <w:t>(1)</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Tax expense/(benefit) on reclassifications </w:t>
            </w:r>
            <w:r>
              <w:rPr>
                <w:rFonts w:ascii="Arial;sans-serif" w:hAnsi="Arial;sans-serif"/>
                <w:b w:val="false"/>
                <w:color w:val="000000"/>
                <w:sz w:val="10"/>
              </w:rPr>
              <w:t>(3)</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impact</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Derivative Cash Flow Hedges: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derivative gains/(losses)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(expense)/benefit on net derivative gain/(loss)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Losses/(gains) reclassified into net earnings:</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Interest rate contracts</w:t>
            </w:r>
            <w:r>
              <w:rPr>
                <w:color w:val="000000"/>
              </w:rPr>
              <w:t xml:space="preserve"> </w:t>
            </w:r>
            <w:r>
              <w:rPr>
                <w:rFonts w:ascii="Arial;sans-serif" w:hAnsi="Arial;sans-serif"/>
                <w:b w:val="false"/>
                <w:color w:val="000000"/>
                <w:sz w:val="10"/>
              </w:rPr>
              <w:t>(2)</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Tax expense/(benefit) on reclassifications</w:t>
            </w:r>
            <w:r>
              <w:rPr>
                <w:color w:val="000000"/>
              </w:rPr>
              <w:t xml:space="preserve"> </w:t>
            </w:r>
            <w:r>
              <w:rPr>
                <w:rFonts w:ascii="Arial;sans-serif" w:hAnsi="Arial;sans-serif"/>
                <w:b w:val="false"/>
                <w:color w:val="000000"/>
                <w:sz w:val="10"/>
              </w:rPr>
              <w:t>(3)</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impact</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income attributable to Mondelēz International:</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earnings/(losses)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 comprehensive (earnings)/loss attributable to noncontrolling interests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 attributable to Mondelēz International</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pPr>
      <w:r>
        <w:rPr>
          <w:rFonts w:ascii="Arial;sans-serif" w:hAnsi="Arial;sans-serif"/>
          <w:b w:val="false"/>
          <w:color w:val="000000"/>
          <w:sz w:val="16"/>
        </w:rPr>
        <w:t xml:space="preserve">(1)These reclassified losses are included in net periodic benefit costs disclosed in Note 10, </w:t>
      </w:r>
      <w:r>
        <w:rPr>
          <w:rFonts w:ascii="Arial;sans-serif" w:hAnsi="Arial;sans-serif"/>
          <w:b w:val="false"/>
          <w:i/>
          <w:color w:val="000000"/>
          <w:sz w:val="16"/>
        </w:rPr>
        <w:t>Benefit Plans</w:t>
      </w:r>
      <w:r>
        <w:rPr>
          <w:rFonts w:ascii="Arial;sans-serif" w:hAnsi="Arial;sans-serif"/>
          <w:b w:val="false"/>
          <w:color w:val="000000"/>
          <w:sz w:val="16"/>
        </w:rPr>
        <w:t>.</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(2)These reclassified gains or losses are recorded within interest and other expense, net.</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(3)Taxes reclassified to earnings are recorded within the provision for income taxes.</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0520"/>
                <wp:effectExtent l="0" t="0" r="0" b="0"/>
                <wp:wrapNone/>
                <wp:docPr id="30" name="Frame2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14. Income Taxes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the first quarter of 2023, our estimated annual effective tax rate, which excludes discrete tax impacts, was 24.3%. This rate reflected the impact of unfavorable foreign provisions under U.S. tax laws partially offset by favorable impacts from the mix of pre-tax income in various non-U.S. jurisdictions. Our 2023 first quarter effective tax rate of 29.6% was high due to a $127 million net tax expense incurred in connection with the KDP share sale (the earnings are reported separately on our statement of earnings and thus not included in earnings before income taxes). Associated with the KDP share sale, we also recorded a $201 million net tax expense related to the change of accounting for our KDP investment from equity method investment accounting to accounting for equity interests with readily determinable fair values. Excluding these tax impacts as well as the associated pre-tax impacts, our effective tax rate for the three months ended March 31, 2023 of 23.0% was favorably impacted by discrete net tax benefits of $20 million, primarily driven by a $30 million net benefit from the release of liabilities for uncertain tax positions due to expirations of statutes of limitations and audit settlements in several jurisdictions.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the first quarter of 2022, our estimated annual effective tax rate, which excluded discrete tax impacts, was 24.8%.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The estimated annual effective tax rate also considers the impact of the establishment of a valuation allowance related to a deferred tax asset arising from the anticipated 2022 Ukraine loss. Our effective tax rate for the three months ended March 31, 2022 of 21.9% was favorably impacted by discrete net tax benefits of $62 million, primarily driven by the Chipita acquisition, which resulted in the release of a portion of the valuation allowance recorded against the deferred tax asset for the step-up of intangible assets in Switzerland.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 xml:space="preserve">Note 15. Earnings per Share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and diluted earnings per share (“EPS”) were calculated as follows:</w:t>
      </w:r>
    </w:p>
    <w:tbl>
      <w:tblPr>
        <w:tblW w:w="8046" w:type="dxa"/>
        <w:jc w:val="left"/>
        <w:tblInd w:w="0" w:type="dxa"/>
        <w:tblCellMar>
          <w:top w:w="28" w:type="dxa"/>
          <w:left w:w="28" w:type="dxa"/>
          <w:bottom w:w="28" w:type="dxa"/>
          <w:right w:w="28" w:type="dxa"/>
        </w:tblCellMar>
      </w:tblPr>
      <w:tblGrid>
        <w:gridCol w:w="1753"/>
        <w:gridCol w:w="1539"/>
        <w:gridCol w:w="1552"/>
        <w:gridCol w:w="244"/>
        <w:gridCol w:w="749"/>
        <w:gridCol w:w="125"/>
        <w:gridCol w:w="125"/>
        <w:gridCol w:w="125"/>
        <w:gridCol w:w="125"/>
        <w:gridCol w:w="244"/>
        <w:gridCol w:w="626"/>
        <w:gridCol w:w="125"/>
        <w:gridCol w:w="114"/>
        <w:gridCol w:w="114"/>
        <w:gridCol w:w="114"/>
        <w:gridCol w:w="109"/>
        <w:gridCol w:w="109"/>
        <w:gridCol w:w="154"/>
      </w:tblGrid>
      <w:tr>
        <w:trPr/>
        <w:tc>
          <w:tcPr>
            <w:tcW w:w="1753"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30"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data)</w:t>
            </w:r>
          </w:p>
        </w:tc>
        <w:tc>
          <w:tcPr>
            <w:tcW w:w="372" w:type="dxa"/>
            <w:gridSpan w:val="3"/>
            <w:tcBorders/>
            <w:shd w:fill="auto" w:val="clea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 earnings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attributable to Mondelēz International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for basic EPS</w:t>
            </w:r>
          </w:p>
        </w:tc>
        <w:tc>
          <w:tcPr>
            <w:tcW w:w="99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1,366 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incremental shares from assumed conversions</w:t>
              <w:br/>
              <w:t>   of stock options and long-term incentive plan shares</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for diluted EPS</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earnings per share attributable to </w:t>
              <w:br/>
              <w:t>   Mondelēz International</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0.62 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Diluted earnings per share attributable to </w:t>
              <w:br/>
              <w:t>   Mondelēz International</w:t>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0.61 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exclude antidilutive Mondelēz International stock options and long-term incentive plan shares from our calculation of weighted-average shares for diluted EPS, which are 2.2 million in the first quarter of 2023 and 2.1 million in the first quarter of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16. Segment Reporting </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manufacture and market primarily snack food products, including chocolate, biscuits and baked snacks, as well as gum &amp; candy, cheese &amp; grocery and powdered beverages.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31" name="Frame3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operations and management structure are organized into four operating segments: </w:t>
      </w:r>
    </w:p>
    <w:p>
      <w:pPr>
        <w:pStyle w:val="TextBody"/>
        <w:spacing w:lineRule="auto" w:line="288" w:before="0" w:after="0"/>
        <w:jc w:val="both"/>
        <w:rPr>
          <w:color w:val="000000"/>
        </w:rPr>
      </w:pPr>
      <w:r>
        <w:rPr>
          <w:color w:val="000000"/>
        </w:rPr>
        <w:t xml:space="preserve">    • </w:t>
      </w:r>
      <w:r>
        <w:rPr>
          <w:rFonts w:ascii="Arial;sans-serif" w:hAnsi="Arial;sans-serif"/>
          <w:b w:val="false"/>
          <w:color w:val="000000"/>
          <w:sz w:val="20"/>
        </w:rPr>
        <w:t xml:space="preserve">Latin America </w:t>
      </w:r>
    </w:p>
    <w:p>
      <w:pPr>
        <w:pStyle w:val="TextBody"/>
        <w:spacing w:lineRule="auto" w:line="288" w:before="0" w:after="0"/>
        <w:jc w:val="both"/>
        <w:rPr>
          <w:color w:val="000000"/>
        </w:rPr>
      </w:pPr>
      <w:r>
        <w:rPr>
          <w:color w:val="000000"/>
        </w:rPr>
        <w:t xml:space="preserve">    • </w:t>
      </w:r>
      <w:r>
        <w:rPr>
          <w:rFonts w:ascii="Arial;sans-serif" w:hAnsi="Arial;sans-serif"/>
          <w:b w:val="false"/>
          <w:color w:val="000000"/>
          <w:sz w:val="20"/>
        </w:rPr>
        <w:t>AMEA</w:t>
      </w:r>
    </w:p>
    <w:p>
      <w:pPr>
        <w:pStyle w:val="TextBody"/>
        <w:spacing w:lineRule="auto" w:line="288" w:before="0" w:after="0"/>
        <w:jc w:val="both"/>
        <w:rPr>
          <w:color w:val="000000"/>
        </w:rPr>
      </w:pPr>
      <w:r>
        <w:rPr>
          <w:color w:val="000000"/>
        </w:rPr>
        <w:t xml:space="preserve">    • </w:t>
      </w:r>
      <w:r>
        <w:rPr>
          <w:rFonts w:ascii="Arial;sans-serif" w:hAnsi="Arial;sans-serif"/>
          <w:b w:val="false"/>
          <w:color w:val="000000"/>
          <w:sz w:val="20"/>
        </w:rPr>
        <w:t xml:space="preserve">Europe </w:t>
      </w:r>
    </w:p>
    <w:p>
      <w:pPr>
        <w:pStyle w:val="TextBody"/>
        <w:spacing w:lineRule="auto" w:line="288" w:before="0" w:after="0"/>
        <w:jc w:val="both"/>
        <w:rPr>
          <w:color w:val="000000"/>
        </w:rPr>
      </w:pPr>
      <w:r>
        <w:rPr>
          <w:color w:val="000000"/>
        </w:rPr>
        <w:t xml:space="preserve">    • </w:t>
      </w:r>
      <w:r>
        <w:rPr>
          <w:rFonts w:ascii="Arial;sans-serif" w:hAnsi="Arial;sans-serif"/>
          <w:b w:val="false"/>
          <w:color w:val="000000"/>
          <w:sz w:val="20"/>
        </w:rPr>
        <w:t>North America</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segment net revenues and earnings were:</w:t>
      </w:r>
    </w:p>
    <w:tbl>
      <w:tblPr>
        <w:tblW w:w="7004" w:type="dxa"/>
        <w:jc w:val="left"/>
        <w:tblInd w:w="0" w:type="dxa"/>
        <w:tblCellMar>
          <w:top w:w="28" w:type="dxa"/>
          <w:left w:w="28" w:type="dxa"/>
          <w:bottom w:w="28" w:type="dxa"/>
          <w:right w:w="28" w:type="dxa"/>
        </w:tblCellMar>
      </w:tblPr>
      <w:tblGrid>
        <w:gridCol w:w="1508"/>
        <w:gridCol w:w="1319"/>
        <w:gridCol w:w="1328"/>
        <w:gridCol w:w="221"/>
        <w:gridCol w:w="678"/>
        <w:gridCol w:w="114"/>
        <w:gridCol w:w="114"/>
        <w:gridCol w:w="114"/>
        <w:gridCol w:w="114"/>
        <w:gridCol w:w="221"/>
        <w:gridCol w:w="678"/>
        <w:gridCol w:w="114"/>
        <w:gridCol w:w="109"/>
        <w:gridCol w:w="109"/>
        <w:gridCol w:w="109"/>
        <w:gridCol w:w="154"/>
      </w:tblGrid>
      <w:tr>
        <w:trPr/>
        <w:tc>
          <w:tcPr>
            <w:tcW w:w="1508"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pPr>
            <w:r>
              <w:rPr>
                <w:rFonts w:ascii="Arial;sans-serif" w:hAnsi="Arial;sans-serif"/>
                <w:b w:val="false"/>
                <w:sz w:val="20"/>
              </w:rPr>
              <w:br/>
            </w:r>
            <w:r>
              <w:rPr>
                <w:rFonts w:ascii="Arial;sans-serif" w:hAnsi="Arial;sans-serif"/>
                <w:b w:val="false"/>
                <w:color w:val="000000"/>
                <w:sz w:val="20"/>
              </w:rPr>
              <w:t>Earnings before income taxes:</w:t>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gains/(losses) on hedging activities</w:t>
              <w:br/>
              <w:t>   (mark-to-market impacts)</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costs</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plan non-service income</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marketable securities</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Items impacting our segment operating results are discussed in Note 1, </w:t>
      </w:r>
      <w:r>
        <w:rPr>
          <w:rFonts w:ascii="Arial;sans-serif" w:hAnsi="Arial;sans-serif"/>
          <w:b w:val="false"/>
          <w:i/>
          <w:color w:val="000000"/>
          <w:sz w:val="20"/>
        </w:rPr>
        <w:t>Basis of Presentation</w:t>
      </w:r>
      <w:r>
        <w:rPr>
          <w:rFonts w:ascii="Arial;sans-serif" w:hAnsi="Arial;sans-serif"/>
          <w:b w:val="false"/>
          <w:color w:val="000000"/>
          <w:sz w:val="20"/>
        </w:rPr>
        <w:t xml:space="preserve">, Note 2, </w:t>
      </w:r>
      <w:r>
        <w:rPr>
          <w:rFonts w:ascii="Arial;sans-serif" w:hAnsi="Arial;sans-serif"/>
          <w:b w:val="false"/>
          <w:i/>
          <w:color w:val="000000"/>
          <w:sz w:val="20"/>
        </w:rPr>
        <w:t>Acquisitions and Divestitures,</w:t>
      </w:r>
      <w:r>
        <w:rPr>
          <w:color w:val="000000"/>
        </w:rPr>
        <w:t xml:space="preserve"> </w:t>
      </w:r>
      <w:r>
        <w:rPr>
          <w:rFonts w:ascii="Arial;sans-serif" w:hAnsi="Arial;sans-serif"/>
          <w:b w:val="false"/>
          <w:color w:val="000000"/>
          <w:sz w:val="20"/>
        </w:rPr>
        <w:t xml:space="preserve">Note 3, </w:t>
      </w:r>
      <w:r>
        <w:rPr>
          <w:rFonts w:ascii="Arial;sans-serif" w:hAnsi="Arial;sans-serif"/>
          <w:b w:val="false"/>
          <w:i/>
          <w:color w:val="000000"/>
          <w:sz w:val="20"/>
        </w:rPr>
        <w:t>Inventories</w:t>
      </w:r>
      <w:r>
        <w:rPr>
          <w:rFonts w:ascii="Arial;sans-serif" w:hAnsi="Arial;sans-serif"/>
          <w:b w:val="false"/>
          <w:color w:val="000000"/>
          <w:sz w:val="20"/>
        </w:rPr>
        <w:t xml:space="preserve">, Note 4, </w:t>
      </w:r>
      <w:r>
        <w:rPr>
          <w:rFonts w:ascii="Arial;sans-serif" w:hAnsi="Arial;sans-serif"/>
          <w:b w:val="false"/>
          <w:i/>
          <w:color w:val="000000"/>
          <w:sz w:val="20"/>
        </w:rPr>
        <w:t>Property, Plant and Equipment,</w:t>
      </w:r>
      <w:r>
        <w:rPr>
          <w:color w:val="000000"/>
        </w:rPr>
        <w:t xml:space="preserve"> </w:t>
      </w:r>
      <w:r>
        <w:rPr>
          <w:rFonts w:ascii="Arial;sans-serif" w:hAnsi="Arial;sans-serif"/>
          <w:b w:val="false"/>
          <w:color w:val="000000"/>
          <w:sz w:val="20"/>
        </w:rPr>
        <w:t xml:space="preserve">Note 5, </w:t>
      </w:r>
      <w:r>
        <w:rPr>
          <w:rFonts w:ascii="Arial;sans-serif" w:hAnsi="Arial;sans-serif"/>
          <w:b w:val="false"/>
          <w:i/>
          <w:color w:val="000000"/>
          <w:sz w:val="20"/>
        </w:rPr>
        <w:t>Goodwill and Intangible Assets,</w:t>
      </w:r>
      <w:r>
        <w:rPr>
          <w:color w:val="000000"/>
        </w:rPr>
        <w:t xml:space="preserve"> </w:t>
      </w:r>
      <w:r>
        <w:rPr>
          <w:rFonts w:ascii="Arial;sans-serif" w:hAnsi="Arial;sans-serif"/>
          <w:b w:val="false"/>
          <w:color w:val="000000"/>
          <w:sz w:val="20"/>
        </w:rPr>
        <w:t xml:space="preserve">and Note 7, </w:t>
      </w:r>
      <w:r>
        <w:rPr>
          <w:rFonts w:ascii="Arial;sans-serif" w:hAnsi="Arial;sans-serif"/>
          <w:b w:val="false"/>
          <w:i/>
          <w:color w:val="000000"/>
          <w:sz w:val="20"/>
        </w:rPr>
        <w:t>Restructuring Program</w:t>
      </w:r>
      <w:r>
        <w:rPr>
          <w:rFonts w:ascii="Arial;sans-serif" w:hAnsi="Arial;sans-serif"/>
          <w:b w:val="false"/>
          <w:color w:val="000000"/>
          <w:sz w:val="20"/>
        </w:rPr>
        <w:t xml:space="preserve">. Also see Note 8, </w:t>
      </w:r>
      <w:r>
        <w:rPr>
          <w:rFonts w:ascii="Arial;sans-serif" w:hAnsi="Arial;sans-serif"/>
          <w:b w:val="false"/>
          <w:i/>
          <w:color w:val="000000"/>
          <w:sz w:val="20"/>
        </w:rPr>
        <w:t>Debt and Borrowing Arrangements</w:t>
      </w:r>
      <w:r>
        <w:rPr>
          <w:rFonts w:ascii="Arial;sans-serif" w:hAnsi="Arial;sans-serif"/>
          <w:b w:val="false"/>
          <w:color w:val="000000"/>
          <w:sz w:val="20"/>
        </w:rPr>
        <w:t xml:space="preserve">, and Note 9, </w:t>
      </w:r>
      <w:r>
        <w:rPr>
          <w:rFonts w:ascii="Arial;sans-serif" w:hAnsi="Arial;sans-serif"/>
          <w:b w:val="false"/>
          <w:i/>
          <w:color w:val="000000"/>
          <w:sz w:val="20"/>
        </w:rPr>
        <w:t>Financial Instruments,</w:t>
      </w:r>
      <w:r>
        <w:rPr>
          <w:color w:val="000000"/>
        </w:rPr>
        <w:t xml:space="preserve"> </w:t>
      </w:r>
      <w:r>
        <w:rPr>
          <w:rFonts w:ascii="Arial;sans-serif" w:hAnsi="Arial;sans-serif"/>
          <w:b w:val="false"/>
          <w:color w:val="000000"/>
          <w:sz w:val="20"/>
        </w:rPr>
        <w:t>for more information on our interest and other expense, net for each period.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32" name="Frame3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by product category were:</w:t>
      </w:r>
    </w:p>
    <w:tbl>
      <w:tblPr>
        <w:tblW w:w="8538" w:type="dxa"/>
        <w:jc w:val="left"/>
        <w:tblInd w:w="0" w:type="dxa"/>
        <w:tblCellMar>
          <w:top w:w="28" w:type="dxa"/>
          <w:left w:w="28" w:type="dxa"/>
          <w:bottom w:w="28" w:type="dxa"/>
          <w:right w:w="28" w:type="dxa"/>
        </w:tblCellMar>
      </w:tblPr>
      <w:tblGrid>
        <w:gridCol w:w="852"/>
        <w:gridCol w:w="749"/>
        <w:gridCol w:w="754"/>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85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March 31, 2023</w:t>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3"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 &amp; Baked Snacks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Cheese &amp; Grocery</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9,166 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3" w:type="dxa"/>
            <w:gridSpan w:val="27"/>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For the Three Months Ended March 31, 2022</w:t>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3"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 &amp; Baked Snacks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Cheese &amp; Grocery</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7,764 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5217" w:type="dxa"/>
            <w:gridSpan w:val="24"/>
            <w:tcBorders/>
            <w:shd w:fill="auto" w:val="clea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5217" w:type="dxa"/>
            <w:gridSpan w:val="24"/>
            <w:tcBorders/>
            <w:shd w:fill="auto" w:val="clea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5217" w:type="dxa"/>
            <w:gridSpan w:val="24"/>
            <w:tcBorders/>
            <w:shd w:fill="auto" w:val="clea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5217" w:type="dxa"/>
            <w:gridSpan w:val="24"/>
            <w:tcBorders/>
            <w:shd w:fill="auto" w:val="clea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33" name="Frame3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Description of the Company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core business is making and selling chocolate, biscuits and baked snacks, with additional businesses in adjacent, locally relevant categories including gum &amp; candy, cheese &amp; grocery and powdered beverages around the world.</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Recent Developments and Significant Items Affecting Comparability</w:t>
      </w:r>
    </w:p>
    <w:p>
      <w:pPr>
        <w:pStyle w:val="TextBody"/>
        <w:spacing w:before="0" w:after="0"/>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Macroeconomic environment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observe significant market uncertainty, increasing inflationary pressures, supply constraints, exchange rate volatility as well as ongoing effects from the COVID-19 pandemic. Throughout the pandemic, we experienced an overall increase in demand and revenue growth as consumers increased their food purchases for in-home consumption in some markets, while parts of our business were negatively affected by related lockdowns and restrictions. Additionally, global supply chain, transportation and labor issues escalated and we experienced significantly higher operating costs, including higher overall raw material, transportation, labor and energy costs that have continued to rise.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overall outlook for future snacks revenue growth remains strong; however, we anticipate ongoing volatility in response to supply chain issues, including labor and transportation constraints, and COVID-related risks. We will continue to proactively manage our business in response to the evolving global economic environment and related uncertainty and business risks while also prioritizing and supporting our employees and customers. We continue to take steps to mitigate impacts to our supply chain, operations, technology and assets.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War in Ukraine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February 2022, Russia began a military invasion of Ukraine. For the safety of our employees, we stopped production and closed our facilities in Ukraine; since then we have been gradually restoring operations, continuing to take steps to protect the safety of our employees and partially re-opening our two plants. We are providing all of our employees with compensation and with help in securing shelter in neighboring countries, where required and needed. We have also made cash and in-kind donations to several humanitarian aid organizations in the region.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March 2022, our two Ukrainian manufacturing facilities in Trostyanets and Vyshhorod were significantly damaged.</w:t>
      </w:r>
    </w:p>
    <w:p>
      <w:pPr>
        <w:pStyle w:val="TextBody"/>
        <w:spacing w:lineRule="auto" w:line="288" w:before="0" w:after="0"/>
        <w:jc w:val="both"/>
        <w:rPr/>
      </w:pPr>
      <w:r>
        <w:rPr>
          <w:rFonts w:ascii="Arial;sans-serif" w:hAnsi="Arial;sans-serif"/>
          <w:b w:val="false"/>
          <w:color w:val="000000"/>
          <w:sz w:val="20"/>
        </w:rPr>
        <w:t xml:space="preserve">During the remainder of 2022, the war continued through parts of Ukraine. We continue to make targeted repairs on both our plants. We relaunched our systems and implemented additional safety and security measures. In late June, we partially reopened the Vyshhorod plant and restarted limited potato chip production and in late November, we reopened the Trostyanets plant and restarted limited chocolate production. We also continue to support our Ukraine employees, including paying salaries to those not yet able to return to work until full production returns. See Note 1, </w:t>
      </w:r>
      <w:r>
        <w:rPr>
          <w:rFonts w:ascii="Arial;sans-serif" w:hAnsi="Arial;sans-serif"/>
          <w:b w:val="false"/>
          <w:i/>
          <w:color w:val="000000"/>
          <w:sz w:val="20"/>
        </w:rPr>
        <w:t>Basis of Presentation</w:t>
      </w:r>
      <w:r>
        <w:rPr>
          <w:color w:val="000000"/>
        </w:rPr>
        <w:t xml:space="preserve"> </w:t>
      </w:r>
      <w:r>
        <w:rPr>
          <w:rFonts w:ascii="Arial;sans-serif" w:hAnsi="Arial;sans-serif"/>
          <w:b w:val="false"/>
          <w:color w:val="000000"/>
          <w:sz w:val="20"/>
        </w:rPr>
        <w:t xml:space="preserve">- </w:t>
      </w:r>
      <w:r>
        <w:rPr>
          <w:rFonts w:ascii="Arial;sans-serif" w:hAnsi="Arial;sans-serif"/>
          <w:b w:val="false"/>
          <w:i/>
          <w:color w:val="000000"/>
          <w:sz w:val="20"/>
        </w:rPr>
        <w:t>War in Ukraine</w:t>
      </w:r>
      <w:r>
        <w:rPr>
          <w:rFonts w:ascii="Arial;sans-serif" w:hAnsi="Arial;sans-serif"/>
          <w:b w:val="false"/>
          <w:color w:val="000000"/>
          <w:sz w:val="20"/>
        </w:rPr>
        <w:t xml:space="preserve">, to the condensed consolidated financial statements, and refer to </w:t>
      </w:r>
      <w:r>
        <w:rPr>
          <w:rFonts w:ascii="Arial;sans-serif" w:hAnsi="Arial;sans-serif"/>
          <w:b w:val="false"/>
          <w:i/>
          <w:color w:val="000000"/>
          <w:sz w:val="20"/>
        </w:rPr>
        <w:t>Items Affecting Comparability of Financial Results</w:t>
      </w:r>
      <w:r>
        <w:rPr>
          <w:color w:val="000000"/>
        </w:rPr>
        <w:t xml:space="preserve"> </w:t>
      </w:r>
      <w:r>
        <w:rPr>
          <w:rFonts w:ascii="Arial;sans-serif" w:hAnsi="Arial;sans-serif"/>
          <w:b w:val="false"/>
          <w:color w:val="000000"/>
          <w:sz w:val="20"/>
        </w:rPr>
        <w:t>for additional information.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a food company, we continue to work to support the continuity of food supply and provide packaged foods to consumers. We have suspended new capital investments and our advertising spending in Russia, but as a food company with more than 2,500 employees in the country, we have not ceased operations given we believe we play a role in the continuity of the food supply. We are complying and will comply with applicable international sanctions and other measures that have been or may be imposed on Russian entities. We continue to evaluate the situation in Ukraine and Russia and our ability to control our operating activities and businesses on an ongoing basis, and we continue to consolidate both our Ukrainian and Russian subsidiaries. During the first quarter of 2022, Ukraine generated 0.3% and Russia generated 2.4% of consolidated net revenue and during the first quarter of 2023, Ukraine generated 0.4% and Russia generated 2.8% of consolidated net revenue. Our Russian business has grown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0520"/>
                <wp:effectExtent l="0" t="0" r="0" b="0"/>
                <wp:wrapNone/>
                <wp:docPr id="34" name="Frame3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a result of the stronger Russian ruble versus the U.S. dollar at the start of 2023 and increased price. The combination of pricing, suspension of advertising and ruble strength has resulted in a significant increase in the profitability of the Russian business and contributed to the growth of our consolidated performance. Our decision to suspend new capital investments in Russia has not had a material impact on our ability to meet demand within our Russian business during 2023. We believe the war in Ukraine has had a negative impact on our business throughout the rest of our Europe operating segment, but the impact of this is difficult to quantify. We cannot predict if the recent strength in our Russian business will continue in the future. </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Acquisitions and Divestitures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2022, we completed the following acquisitions to strategically complement and expand our existing portfolio:</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Ricolino, a confectionery business with products sold primarily in Mexico</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Clif Bar &amp; Company (“Clif Bar”), a leading U.S. maker of nutritious energy bars with organic ingredients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Chipita Global S.A. ("Chipita"), a high-growth leader in the central and Eastern European croissant and baked snacks category</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Additionally in 2022, we announced our intention to divest our developed market gum and global </w:t>
      </w:r>
      <w:r>
        <w:rPr>
          <w:rFonts w:ascii="Arial;sans-serif" w:hAnsi="Arial;sans-serif"/>
          <w:b w:val="false"/>
          <w:i/>
          <w:color w:val="000000"/>
          <w:sz w:val="20"/>
        </w:rPr>
        <w:t>Halls</w:t>
      </w:r>
      <w:r>
        <w:rPr>
          <w:color w:val="000000"/>
        </w:rPr>
        <w:t xml:space="preserve"> </w:t>
      </w:r>
      <w:r>
        <w:rPr>
          <w:rFonts w:ascii="Arial;sans-serif" w:hAnsi="Arial;sans-serif"/>
          <w:b w:val="false"/>
          <w:color w:val="000000"/>
          <w:sz w:val="20"/>
        </w:rPr>
        <w:t>candy businesses and in the fourth quarter of 2022, we announced an agreement to sell the developed market gum business with an anticipated closing in the fourth quarter of 2023, subject to relevant antitrust approvals and closing conditions.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Refer to Note 2, </w:t>
      </w:r>
      <w:r>
        <w:rPr>
          <w:rFonts w:ascii="Arial;sans-serif" w:hAnsi="Arial;sans-serif"/>
          <w:b w:val="false"/>
          <w:i/>
          <w:color w:val="000000"/>
          <w:sz w:val="20"/>
        </w:rPr>
        <w:t>Acquisitions and Divestitures</w:t>
      </w:r>
      <w:r>
        <w:rPr>
          <w:rFonts w:ascii="Arial;sans-serif" w:hAnsi="Arial;sans-serif"/>
          <w:b w:val="false"/>
          <w:color w:val="000000"/>
          <w:sz w:val="20"/>
        </w:rPr>
        <w:t>, for additional details.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Investment Transactions</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Keurig Dr Pepper Transactions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2023, we sold approximately 30 million shares, which reduced our ownership interest by 2.1% to 3.2% of the total outstanding shares. We recorded a pre-tax gain of $493 million (or $366 million after tax). This reduction in ownership, to below 5%, resulted in a change of accounting for our investment, from equity method investment accounting to accounting for equity interests with readily determinable fair values ("marketable securities") as we no longer have significant influence. Due to the change of accounting, we reported unrealized gains for marketable securities of $787 million (or $586 million after tax).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JDE Peet’s Transactions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March 30, 2023, we issued options to sell shares of JDEP in tranches equivalent to approximately 7.7 million shares. These options are exercisable at maturity during the third quarter of 2023 with a potential impact to our ownership if the options are exercised. On April 3, 2023, we sold approximately 7.7 million shares of JDEP, which reduced our ownership interest by 1.6% to 18.1%. </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For additional information, refer to Note 6, </w:t>
      </w:r>
      <w:r>
        <w:rPr>
          <w:rFonts w:ascii="Arial;sans-serif" w:hAnsi="Arial;sans-serif"/>
          <w:b w:val="false"/>
          <w:i/>
          <w:color w:val="000000"/>
          <w:sz w:val="20"/>
        </w:rPr>
        <w:t xml:space="preserve">Investments </w:t>
      </w:r>
      <w:r>
        <w:rPr>
          <w:rFonts w:ascii="Arial;sans-serif" w:hAnsi="Arial;sans-serif"/>
          <w:b w:val="false"/>
          <w:color w:val="000000"/>
          <w:sz w:val="20"/>
        </w:rPr>
        <w:t>and Note 9,</w:t>
      </w:r>
      <w:r>
        <w:rPr>
          <w:color w:val="000000"/>
        </w:rPr>
        <w:t xml:space="preserve"> </w:t>
      </w:r>
      <w:r>
        <w:rPr>
          <w:rFonts w:ascii="Arial;sans-serif" w:hAnsi="Arial;sans-serif"/>
          <w:b w:val="false"/>
          <w:i/>
          <w:color w:val="000000"/>
          <w:sz w:val="20"/>
        </w:rPr>
        <w:t>Financial Instruments.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Highly Inflationary Accounting</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Türkiye</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first quarter of 2022, we concluded that Türkiye became a highly inflationary economy for accounting purposes. As of April 1, 2022, we began to apply highly inflationary accounting for our subsidiaries operating in Türkiye.</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See Note 1, </w:t>
      </w:r>
      <w:r>
        <w:rPr>
          <w:rFonts w:ascii="Arial;sans-serif" w:hAnsi="Arial;sans-serif"/>
          <w:b w:val="false"/>
          <w:i/>
          <w:color w:val="000000"/>
          <w:sz w:val="20"/>
        </w:rPr>
        <w:t>Basis of Presentation</w:t>
      </w:r>
      <w:r>
        <w:rPr>
          <w:color w:val="000000"/>
        </w:rPr>
        <w:t xml:space="preserve"> – </w:t>
      </w:r>
      <w:r>
        <w:rPr>
          <w:rFonts w:ascii="Arial;sans-serif" w:hAnsi="Arial;sans-serif"/>
          <w:b w:val="false"/>
          <w:i/>
          <w:color w:val="000000"/>
          <w:sz w:val="20"/>
        </w:rPr>
        <w:t xml:space="preserve">Currency Translation and Highly Inflationary Accounting </w:t>
      </w:r>
      <w:r>
        <w:rPr>
          <w:rFonts w:ascii="Arial;sans-serif" w:hAnsi="Arial;sans-serif"/>
          <w:b w:val="false"/>
          <w:color w:val="000000"/>
          <w:sz w:val="20"/>
        </w:rPr>
        <w:t>for additional details.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U.K. advertising and promotion ban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United Kingdom, a ban on specific types of TV and online advertising of food containing levels of fat, sugar or salt above specified thresholds is expected to go into effect in October 2025, and new measures restricting certain promotions are expected to go into effect in October 2023. Restrictions on in-store placement of some of those products went into effect in October 2022. Although we are unable to estimate precisely the impact of the restrictions, they did not have a significant impact on our consolidated financial statements in the first quarter of 2023.</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0520"/>
                <wp:effectExtent l="0" t="0" r="0" b="0"/>
                <wp:wrapNone/>
                <wp:docPr id="35" name="Frame3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56" w:before="0" w:after="0"/>
        <w:jc w:val="both"/>
        <w:rPr>
          <w:rFonts w:ascii="Arial;sans-serif" w:hAnsi="Arial;sans-serif"/>
          <w:b/>
          <w:color w:val="000000"/>
          <w:sz w:val="20"/>
        </w:rPr>
      </w:pPr>
      <w:r>
        <w:rPr>
          <w:rFonts w:ascii="Arial;sans-serif" w:hAnsi="Arial;sans-serif"/>
          <w:b/>
          <w:color w:val="000000"/>
          <w:sz w:val="20"/>
        </w:rPr>
        <w:t>Taxes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monitor existing and potential future tax reform around the world. On August 16, 2022, the U.S. enacted the Inflation Reduction Act of 2022, which, among other things, implements a 15% minimum tax on book income of certain large corporations, a 1% excise tax on net stock repurchases and several tax incentives to promote clean energy. Based on the guidance available thus far, we expect to meet the criteria of a large corporation but we do not believe this legislation will have a material impact on our consolidated financial statements. We will continue to evaluate it as additional guidance and clarification becomes available. We also continue to monitor countries’ progress toward enactment of the Organization of Economic Cooperation and Development’s model rules on a global minimum tax. While numerous countries have proposed new legislation in this area (and two countries have enacted it), any new law is only expected to be effective for taxable years beginning after December 31, 2023. If broadly enacted, these laws could have a material effect on us.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Financial Outlook</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U.S. GAAP results. We have provided reconciliations between our GAAP and non-GAAP financial measures in </w:t>
      </w:r>
      <w:r>
        <w:rPr>
          <w:rFonts w:ascii="Arial;sans-serif" w:hAnsi="Arial;sans-serif"/>
          <w:b w:val="false"/>
          <w:i/>
          <w:color w:val="000000"/>
          <w:sz w:val="20"/>
        </w:rPr>
        <w:t>Non-GAAP Financial Measures</w:t>
      </w:r>
      <w:r>
        <w:rPr>
          <w:rFonts w:ascii="Arial;sans-serif" w:hAnsi="Arial;sans-serif"/>
          <w:b w:val="false"/>
          <w:color w:val="000000"/>
          <w:sz w:val="20"/>
        </w:rPr>
        <w:t>, which appears later in this section.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monitoring our key operating metrics, we monitor developments and trends that could impact our revenue and profitability objectives, as highlighted in our most recently filed Annual Report on Form 10-K for the year ended December 31, 2022. </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0520"/>
                <wp:effectExtent l="0" t="0" r="0" b="0"/>
                <wp:wrapNone/>
                <wp:docPr id="36" name="Frame3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Summary of Results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Net revenues increased 18.1% to $9.2 billion in the first quarter of 2023 as compared to the same period in the prior year. In the first quarter of 2023, our net revenue growth continued to reflect increased demand for most of our snack category products in both our emerging and developed markets relative to 2022. Overall, our net revenue growth in the first quarter of 2023 was driven by higher net pricing, incremental net revenues from our acquisitions of Clif Bar and Ricolino in 2022 and favorable volume/mix, partially offset by unfavorable currency translation and the impact of divestitures in 2022.</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Organic Net Revenue, a non-GAAP financial measure, increased 19.4% to $9.3 billion in the first quarter of 2023 as compared to same period in the prior year. During the first quarter of 2023, Organic Net Revenue grew due to higher net pricing and favorable volume/mix. Organic Net Revenue is on a constant currency basis and excludes 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sans-serif" w:hAnsi="Arial;sans-serif"/>
          <w:b w:val="false"/>
          <w:i/>
          <w:color w:val="000000"/>
          <w:sz w:val="20"/>
        </w:rPr>
        <w:t>Non-GAAP Financial Measures)</w:t>
      </w:r>
      <w:r>
        <w:rPr>
          <w:rFonts w:ascii="Arial;sans-serif" w:hAnsi="Arial;sans-serif"/>
          <w:b w:val="false"/>
          <w:color w:val="000000"/>
          <w:sz w:val="20"/>
        </w:rPr>
        <w: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Diluted EPS attributable to Mondelēz International increased 149.2% to $1.52 in the first quarter of 2023 as compared to the same period in the prior year. Diluted EPS increased in the first quarter of 2023, driven by a mark-to-market gain on marketable securities, gain on equity method investment transactions, lower incremental costs due to the war in Ukraine, an increase in Adjusted EPS, lapping prior-year loss on debt extinguishment, lapping prior-year intangible asset impairment charges, lower acquisition-related costs and favorable year-over-year change in mark-to-market impacts from currency and commodity derivatives. These favorable items were partially offset by higher acquisition integration costs and contingent consideration adjustments, higher equity investee items, higher divestiture-related costs, lower net earnings from divestitures and higher remeasurement loss of net monetary position.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Adjusted EPS, a non-GAAP financial measure, increased 9.9% to $0.89 in the first quarter of 2023 as compared to the same period in the prior year. On a constant currency basis, Adjusted EPS increased 17.3% to $0.95 in the first quarter of 2023 as compared to the same periods in the prior year. Adjusted EPS increased in the first quarter of 2023, primarily driven by operating gains, fewer shares outstanding, lower taxes and dividend income from marketable securities, partially offset by unfavorable currency translation, higher interest expense, lower equity method investment earnings and lower benefit plan non-service income. 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sans-serif" w:hAnsi="Arial;sans-serif"/>
          <w:b w:val="false"/>
          <w:i/>
          <w:color w:val="000000"/>
          <w:sz w:val="20"/>
        </w:rPr>
        <w:t>Non-GAAP Financial Measures</w:t>
      </w:r>
      <w:r>
        <w:rPr>
          <w:rFonts w:ascii="Arial;sans-serif" w:hAnsi="Arial;sans-serif"/>
          <w:b w:val="false"/>
          <w:color w:val="000000"/>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0520"/>
                <wp:effectExtent l="0" t="0" r="0" b="0"/>
                <wp:wrapNone/>
                <wp:docPr id="37" name="Frame3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Discussion and Analysis of Historical Results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Items Affecting Comparability of Financial Results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sans-serif" w:hAnsi="Arial;sans-serif"/>
          <w:b w:val="false"/>
          <w:i/>
          <w:color w:val="000000"/>
          <w:sz w:val="20"/>
        </w:rPr>
        <w:t>Consolidated Results of Operations – Net Earnings and Earnings per Share Attributable to Mondelēz International</w:t>
      </w:r>
      <w:r>
        <w:rPr>
          <w:color w:val="000000"/>
        </w:rPr>
        <w:t xml:space="preserve"> </w:t>
      </w:r>
      <w:r>
        <w:rPr>
          <w:rFonts w:ascii="Arial;sans-serif" w:hAnsi="Arial;sans-serif"/>
          <w:b w:val="false"/>
          <w:color w:val="000000"/>
          <w:sz w:val="20"/>
        </w:rPr>
        <w:t>table for the after-tax per share impacts of these items.</w:t>
      </w:r>
    </w:p>
    <w:p>
      <w:pPr>
        <w:pStyle w:val="TextBody"/>
        <w:spacing w:before="0" w:after="0"/>
        <w:jc w:val="both"/>
        <w:rPr/>
      </w:pPr>
      <w:r>
        <w:rPr/>
      </w:r>
    </w:p>
    <w:tbl>
      <w:tblPr>
        <w:tblW w:w="8774" w:type="dxa"/>
        <w:jc w:val="left"/>
        <w:tblInd w:w="0" w:type="dxa"/>
        <w:tblCellMar>
          <w:top w:w="28" w:type="dxa"/>
          <w:left w:w="28" w:type="dxa"/>
          <w:bottom w:w="28" w:type="dxa"/>
          <w:right w:w="28" w:type="dxa"/>
        </w:tblCellMar>
      </w:tblPr>
      <w:tblGrid>
        <w:gridCol w:w="1619"/>
        <w:gridCol w:w="1420"/>
        <w:gridCol w:w="1431"/>
        <w:gridCol w:w="270"/>
        <w:gridCol w:w="270"/>
        <w:gridCol w:w="271"/>
        <w:gridCol w:w="109"/>
        <w:gridCol w:w="109"/>
        <w:gridCol w:w="109"/>
        <w:gridCol w:w="262"/>
        <w:gridCol w:w="541"/>
        <w:gridCol w:w="337"/>
        <w:gridCol w:w="135"/>
        <w:gridCol w:w="135"/>
        <w:gridCol w:w="135"/>
        <w:gridCol w:w="262"/>
        <w:gridCol w:w="541"/>
        <w:gridCol w:w="337"/>
        <w:gridCol w:w="109"/>
        <w:gridCol w:w="109"/>
        <w:gridCol w:w="109"/>
        <w:gridCol w:w="154"/>
      </w:tblGrid>
      <w:tr>
        <w:trPr/>
        <w:tc>
          <w:tcPr>
            <w:tcW w:w="1619"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143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See Note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05"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c>
          <w:tcPr>
            <w:tcW w:w="481" w:type="dxa"/>
            <w:gridSpan w:val="4"/>
            <w:tcBorders/>
            <w:shd w:fill="auto" w:val="clea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Simplify to Grow Program</w:t>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Implementation charges</w:t>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Intangible asset impairment charges</w:t>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xml:space="preserve">Mark-to-market gains from derivatives </w:t>
            </w:r>
            <w:r>
              <w:rPr>
                <w:rFonts w:ascii="Arial;sans-serif" w:hAnsi="Arial;sans-serif"/>
                <w:b/>
                <w:color w:val="000000"/>
                <w:sz w:val="12"/>
              </w:rPr>
              <w:t>(1)</w:t>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Acquisition and divestiture-related costs:</w:t>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Acquisition integration costs and </w:t>
            </w:r>
          </w:p>
          <w:p>
            <w:pPr>
              <w:pStyle w:val="TableContents"/>
              <w:spacing w:lineRule="auto" w:line="240" w:before="0" w:after="0"/>
              <w:jc w:val="left"/>
              <w:rPr/>
            </w:pPr>
            <w:r>
              <w:rPr>
                <w:color w:val="000000"/>
              </w:rPr>
              <w:t>   </w:t>
            </w:r>
            <w:r>
              <w:rPr>
                <w:rFonts w:ascii="Arial;sans-serif" w:hAnsi="Arial;sans-serif"/>
                <w:b w:val="false"/>
                <w:color w:val="000000"/>
                <w:sz w:val="18"/>
              </w:rPr>
              <w:t xml:space="preserve">contingent consideration adjustments </w:t>
            </w:r>
            <w:r>
              <w:rPr>
                <w:rFonts w:ascii="Arial;sans-serif" w:hAnsi="Arial;sans-serif"/>
                <w:b w:val="false"/>
                <w:color w:val="000000"/>
                <w:sz w:val="12"/>
              </w:rPr>
              <w:t>(1)</w:t>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Divestiture-related costs</w:t>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xml:space="preserve">Incremental costs due to war in Ukraine </w:t>
            </w:r>
            <w:r>
              <w:rPr>
                <w:rFonts w:ascii="Arial;sans-serif" w:hAnsi="Arial;sans-serif"/>
                <w:b/>
                <w:color w:val="000000"/>
                <w:sz w:val="12"/>
              </w:rPr>
              <w:t>(2)</w:t>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Remeasurement of net monetary position</w:t>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xml:space="preserve">Impact from pension participation changes </w:t>
            </w:r>
            <w:r>
              <w:rPr>
                <w:rFonts w:ascii="Arial;sans-serif" w:hAnsi="Arial;sans-serif"/>
                <w:b/>
                <w:color w:val="000000"/>
                <w:sz w:val="12"/>
              </w:rPr>
              <w:t>(1)</w:t>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Loss on debt extinguishment and related expenses</w:t>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Gain on marketable securities</w:t>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 xml:space="preserve">Gain/(loss) on equity method investment </w:t>
            </w:r>
          </w:p>
          <w:p>
            <w:pPr>
              <w:pStyle w:val="TableContents"/>
              <w:spacing w:lineRule="auto" w:line="240" w:before="0" w:after="0"/>
              <w:jc w:val="left"/>
              <w:rPr/>
            </w:pPr>
            <w:r>
              <w:rPr>
                <w:color w:val="000000"/>
              </w:rPr>
              <w:t>   </w:t>
            </w:r>
            <w:r>
              <w:rPr>
                <w:rFonts w:ascii="Arial;sans-serif" w:hAnsi="Arial;sans-serif"/>
                <w:b/>
                <w:color w:val="000000"/>
                <w:sz w:val="18"/>
              </w:rPr>
              <w:t xml:space="preserve">transactions </w:t>
            </w:r>
            <w:r>
              <w:rPr>
                <w:rFonts w:ascii="Arial;sans-serif" w:hAnsi="Arial;sans-serif"/>
                <w:b/>
                <w:color w:val="000000"/>
                <w:sz w:val="12"/>
              </w:rPr>
              <w:t>(3)</w:t>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xml:space="preserve">Equity method investee items </w:t>
            </w:r>
            <w:r>
              <w:rPr>
                <w:rFonts w:ascii="Arial;sans-serif" w:hAnsi="Arial;sans-serif"/>
                <w:b/>
                <w:color w:val="000000"/>
                <w:sz w:val="12"/>
              </w:rPr>
              <w:t>(4)</w:t>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Effective tax rate</w:t>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3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3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pPr>
      <w:r>
        <w:rPr>
          <w:rFonts w:ascii="Arial;sans-serif" w:hAnsi="Arial;sans-serif"/>
          <w:b w:val="false"/>
          <w:color w:val="000000"/>
          <w:sz w:val="16"/>
        </w:rPr>
        <w:t xml:space="preserve">(1)Includes impacts recorded in operating income and interest expense and other, net. Mark-to-market gains/(losses) above also include our equity method investment-related derivative contract mark-to-market gains/(losses) (refer to Note 9, </w:t>
      </w:r>
      <w:r>
        <w:rPr>
          <w:rFonts w:ascii="Arial;sans-serif" w:hAnsi="Arial;sans-serif"/>
          <w:b w:val="false"/>
          <w:i/>
          <w:color w:val="000000"/>
          <w:sz w:val="16"/>
        </w:rPr>
        <w:t>Financial Instruments)</w:t>
      </w:r>
      <w:r>
        <w:rPr>
          <w:color w:val="000000"/>
        </w:rPr>
        <w:t xml:space="preserve"> </w:t>
      </w:r>
      <w:r>
        <w:rPr>
          <w:rFonts w:ascii="Arial;sans-serif" w:hAnsi="Arial;sans-serif"/>
          <w:b w:val="false"/>
          <w:color w:val="000000"/>
          <w:sz w:val="16"/>
        </w:rPr>
        <w:t>that are recorded in the gain on equity method investment transactions on our condensed consolidated statement of earnings.</w:t>
      </w:r>
    </w:p>
    <w:p>
      <w:pPr>
        <w:pStyle w:val="TextBody"/>
        <w:spacing w:lineRule="auto" w:line="288" w:before="0" w:after="0"/>
        <w:ind w:left="0" w:right="0" w:hanging="360"/>
        <w:jc w:val="both"/>
        <w:rPr/>
      </w:pPr>
      <w:r>
        <w:rPr>
          <w:rFonts w:ascii="Arial;sans-serif" w:hAnsi="Arial;sans-serif"/>
          <w:b w:val="false"/>
          <w:color w:val="000000"/>
          <w:sz w:val="16"/>
        </w:rPr>
        <w:t xml:space="preserve">(2)Incremental costs due to the war in Ukraine include direct charges such as asset impairments due to damaged facilities and inventory, higher expected allowances for uncollectible accounts receivable and committed compensation. Please see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 xml:space="preserve">section at the end of this item and Note 1, </w:t>
      </w:r>
      <w:r>
        <w:rPr>
          <w:rFonts w:ascii="Arial;sans-serif" w:hAnsi="Arial;sans-serif"/>
          <w:b w:val="false"/>
          <w:i/>
          <w:color w:val="000000"/>
          <w:sz w:val="16"/>
        </w:rPr>
        <w:t>Basis of Presentation – War in Ukraine</w:t>
      </w:r>
      <w:r>
        <w:rPr>
          <w:rFonts w:ascii="Arial;sans-serif" w:hAnsi="Arial;sans-serif"/>
          <w:b w:val="false"/>
          <w:color w:val="000000"/>
          <w:sz w:val="16"/>
        </w:rPr>
        <w:t>, for additional information.</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(3)Gain/(loss) on equity method investment transactions is recorded outside pre-tax operating results on the condensed consolidated statement of earnings. See footnote (1) as mark-to-market gains/(losses) on our equity method-investment-related derivative contracts are presented in the table above within mark-to-market gains/(losses) from derivatives.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(4)Includes our proportionate share of significant operating and non-operating items recorded by our JDE Peet's equity method investee, including acquisition and divestiture-related costs and restructuring program costs.</w:t>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0520"/>
                <wp:effectExtent l="0" t="0" r="0" b="0"/>
                <wp:wrapNone/>
                <wp:docPr id="38" name="Frame3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Consolidated Results of Operations</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March 31</w:t>
      </w:r>
    </w:p>
    <w:tbl>
      <w:tblPr>
        <w:tblW w:w="9412" w:type="dxa"/>
        <w:jc w:val="left"/>
        <w:tblInd w:w="0" w:type="dxa"/>
        <w:tblCellMar>
          <w:top w:w="28" w:type="dxa"/>
          <w:left w:w="28" w:type="dxa"/>
          <w:bottom w:w="28" w:type="dxa"/>
          <w:right w:w="28" w:type="dxa"/>
        </w:tblCellMar>
      </w:tblPr>
      <w:tblGrid>
        <w:gridCol w:w="1652"/>
        <w:gridCol w:w="1275"/>
        <w:gridCol w:w="1288"/>
        <w:gridCol w:w="221"/>
        <w:gridCol w:w="678"/>
        <w:gridCol w:w="114"/>
        <w:gridCol w:w="114"/>
        <w:gridCol w:w="114"/>
        <w:gridCol w:w="114"/>
        <w:gridCol w:w="221"/>
        <w:gridCol w:w="678"/>
        <w:gridCol w:w="114"/>
        <w:gridCol w:w="109"/>
        <w:gridCol w:w="109"/>
        <w:gridCol w:w="109"/>
        <w:gridCol w:w="211"/>
        <w:gridCol w:w="646"/>
        <w:gridCol w:w="109"/>
        <w:gridCol w:w="109"/>
        <w:gridCol w:w="109"/>
        <w:gridCol w:w="109"/>
        <w:gridCol w:w="322"/>
        <w:gridCol w:w="324"/>
        <w:gridCol w:w="563"/>
      </w:tblGrid>
      <w:tr>
        <w:trPr/>
        <w:tc>
          <w:tcPr>
            <w:tcW w:w="1652"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6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5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5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Net earnings attributable to</w:t>
            </w:r>
          </w:p>
          <w:p>
            <w:pPr>
              <w:pStyle w:val="TableContents"/>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143.4 </w:t>
            </w:r>
          </w:p>
        </w:tc>
        <w:tc>
          <w:tcPr>
            <w:tcW w:w="5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Diluted earnings per share attributable to</w:t>
            </w:r>
          </w:p>
          <w:p>
            <w:pPr>
              <w:pStyle w:val="TableContents"/>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149.2 </w:t>
            </w:r>
          </w:p>
        </w:tc>
        <w:tc>
          <w:tcPr>
            <w:tcW w:w="5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before="0" w:after="0"/>
        <w:jc w:val="both"/>
        <w:rPr/>
      </w:pPr>
      <w:r>
        <w:rPr/>
      </w:r>
    </w:p>
    <w:p>
      <w:pPr>
        <w:pStyle w:val="TextBody"/>
        <w:spacing w:lineRule="auto" w:line="288" w:before="0" w:after="0"/>
        <w:jc w:val="both"/>
        <w:rPr/>
      </w:pPr>
      <w:r>
        <w:rPr>
          <w:rFonts w:ascii="Arial;sans-serif" w:hAnsi="Arial;sans-serif"/>
          <w:b w:val="false"/>
          <w:i/>
          <w:color w:val="000000"/>
          <w:sz w:val="20"/>
        </w:rPr>
        <w:t>Net Revenues</w:t>
      </w:r>
      <w:r>
        <w:rPr>
          <w:color w:val="000000"/>
        </w:rPr>
        <w:t xml:space="preserve"> – </w:t>
      </w:r>
      <w:r>
        <w:rPr>
          <w:rFonts w:ascii="Arial;sans-serif" w:hAnsi="Arial;sans-serif"/>
          <w:b w:val="false"/>
          <w:color w:val="000000"/>
          <w:sz w:val="20"/>
        </w:rPr>
        <w:t xml:space="preserve">Net revenues increased $1,402 million (18.1%) to $9,166 million in the first quarter of 2023, and Organic Net Revenue </w:t>
      </w:r>
      <w:r>
        <w:rPr>
          <w:rFonts w:ascii="Arial;sans-serif" w:hAnsi="Arial;sans-serif"/>
          <w:b w:val="false"/>
          <w:color w:val="000000"/>
          <w:sz w:val="12"/>
        </w:rPr>
        <w:t>(1)</w:t>
      </w:r>
      <w:r>
        <w:rPr>
          <w:color w:val="000000"/>
        </w:rPr>
        <w:t> </w:t>
      </w:r>
      <w:r>
        <w:rPr>
          <w:rFonts w:ascii="Arial;sans-serif" w:hAnsi="Arial;sans-serif"/>
          <w:b w:val="false"/>
          <w:color w:val="000000"/>
          <w:sz w:val="20"/>
        </w:rPr>
        <w:t xml:space="preserve">increased $1,502 million (19.4%) to $9,257 million. Developed markets net revenues increased 16.0% and developed markets Organic Net Revenue increased 15.8% </w:t>
      </w:r>
      <w:r>
        <w:rPr>
          <w:rFonts w:ascii="Arial;sans-serif" w:hAnsi="Arial;sans-serif"/>
          <w:b w:val="false"/>
          <w:color w:val="000000"/>
          <w:sz w:val="12"/>
        </w:rPr>
        <w:t>(1)</w:t>
      </w:r>
      <w:r>
        <w:rPr>
          <w:rFonts w:ascii="Arial;sans-serif" w:hAnsi="Arial;sans-serif"/>
          <w:b w:val="false"/>
          <w:color w:val="000000"/>
          <w:sz w:val="20"/>
        </w:rPr>
        <w:t xml:space="preserve">. Emerging markets net revenues increased 21.4% and emerging markets Organic Net Revenue increased 25.2% </w:t>
      </w:r>
      <w:r>
        <w:rPr>
          <w:rFonts w:ascii="Arial;sans-serif" w:hAnsi="Arial;sans-serif"/>
          <w:b w:val="false"/>
          <w:color w:val="000000"/>
          <w:sz w:val="12"/>
        </w:rPr>
        <w:t>(1)</w:t>
      </w:r>
      <w:r>
        <w:rPr>
          <w:rFonts w:ascii="Arial;sans-serif" w:hAnsi="Arial;sans-serif"/>
          <w:b w:val="false"/>
          <w:color w:val="000000"/>
          <w:sz w:val="20"/>
        </w:rPr>
        <w:t>. The underlying changes in net revenues and Organic Net Revenue are detailed below:</w:t>
      </w:r>
    </w:p>
    <w:tbl>
      <w:tblPr>
        <w:tblW w:w="5507" w:type="dxa"/>
        <w:jc w:val="left"/>
        <w:tblInd w:w="0" w:type="dxa"/>
        <w:tblCellMar>
          <w:top w:w="28" w:type="dxa"/>
          <w:left w:w="28" w:type="dxa"/>
          <w:bottom w:w="28" w:type="dxa"/>
          <w:right w:w="28" w:type="dxa"/>
        </w:tblCellMar>
      </w:tblPr>
      <w:tblGrid>
        <w:gridCol w:w="1667"/>
        <w:gridCol w:w="1465"/>
        <w:gridCol w:w="1473"/>
        <w:gridCol w:w="270"/>
        <w:gridCol w:w="271"/>
        <w:gridCol w:w="361"/>
      </w:tblGrid>
      <w:tr>
        <w:trPr/>
        <w:tc>
          <w:tcPr>
            <w:tcW w:w="1667"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Change in net revenues (by percentage point)</w:t>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change in net revenues</w:t>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18.1</w:t>
            </w:r>
            <w:r>
              <w:rPr>
                <w:color w:val="000000"/>
              </w:rPr>
              <w:t> </w:t>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Remove the following items affecting comparability:</w:t>
            </w:r>
          </w:p>
        </w:tc>
        <w:tc>
          <w:tcPr>
            <w:tcW w:w="9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Unfavorable currency</w:t>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Impact of divestitures</w:t>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Impact of acquisitions</w:t>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585"/>
              <w:jc w:val="left"/>
              <w:rPr/>
            </w:pPr>
            <w:r>
              <w:rPr>
                <w:rFonts w:ascii="Arial;sans-serif" w:hAnsi="Arial;sans-serif"/>
                <w:b/>
                <w:color w:val="000000"/>
                <w:sz w:val="20"/>
              </w:rPr>
              <w:t xml:space="preserve">Total change in Organic Net Revenue </w:t>
            </w:r>
            <w:r>
              <w:rPr>
                <w:rFonts w:ascii="Arial;sans-serif" w:hAnsi="Arial;sans-serif"/>
                <w:b/>
                <w:color w:val="000000"/>
                <w:sz w:val="13"/>
              </w:rPr>
              <w:t>(1)</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19.4</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Higher net pricing</w:t>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Favorable volume/mix</w:t>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bl>
    <w:p>
      <w:pPr>
        <w:pStyle w:val="TextBody"/>
        <w:spacing w:lineRule="auto" w:line="288" w:before="0" w:after="0"/>
        <w:ind w:left="0" w:right="0" w:hanging="360"/>
        <w:jc w:val="both"/>
        <w:rPr/>
      </w:pPr>
      <w:r>
        <w:rPr>
          <w:rFonts w:ascii="Arial;sans-serif" w:hAnsi="Arial;sans-serif"/>
          <w:b w:val="false"/>
          <w:color w:val="000000"/>
          <w:sz w:val="16"/>
        </w:rPr>
        <w:t xml:space="preserve">(1)Please see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Net revenue increase of 18.1% was driven by our underlying Organic Net Revenue growth of 19.4% and the impact of acquisitions, partially offset by unfavorable currency translation and the impact of divestitures. Overall, we continued to see increased demand for our snack category products. Organic Net Revenue growth was driven by higher net pricing and favorable volume/mix. Higher net pricing in all regions was due to the benefit of carryover pricing from 2022 as well as the effects of input cost-driven pricing actions taken during the first quarter of 2023. Favorable volume/mix was reflected across all regions, primarily due to strong volume gains across our snack category products. The November 1, 2022 acquisition of Ricolino added incremental net revenues of $156 million (constant currency basis) and the August 1, 2022 acquisition of Clif Bar added incremental net revenues of $218 million. Unfavorable currency impacts decreased net revenues by $465 million, primarily due to the strength of the U.S. dollar relative to most currencies, including the Argentinean peso, British pound sterling, euro, Indian rupee, Egyptian pound, Turkish lira and Chinese yuan, partially offset by the strength of a few currencies relative to the U.S. dollar, primarily the Russian ruble and Mexican peso. The impact of divestitures resulted in a year-over-year reduction in net revenues of $9 million. Refer to Note 2, </w:t>
      </w:r>
      <w:r>
        <w:rPr>
          <w:rFonts w:ascii="Arial;sans-serif" w:hAnsi="Arial;sans-serif"/>
          <w:b w:val="false"/>
          <w:i/>
          <w:color w:val="000000"/>
          <w:sz w:val="20"/>
        </w:rPr>
        <w:t xml:space="preserve">Acquisitions and Divestitures, </w:t>
      </w:r>
      <w:r>
        <w:rPr>
          <w:rFonts w:ascii="Arial;sans-serif" w:hAnsi="Arial;sans-serif"/>
          <w:b w:val="false"/>
          <w:color w:val="000000"/>
          <w:sz w:val="20"/>
        </w:rPr>
        <w:t xml:space="preserve">for additional information.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0520"/>
                <wp:effectExtent l="0" t="0" r="0" b="0"/>
                <wp:wrapNone/>
                <wp:docPr id="39" name="Frame3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pPr>
      <w:r>
        <w:rPr>
          <w:rFonts w:ascii="Arial;sans-serif" w:hAnsi="Arial;sans-serif"/>
          <w:b w:val="false"/>
          <w:i/>
          <w:color w:val="000000"/>
          <w:sz w:val="20"/>
        </w:rPr>
        <w:t>Operating Income</w:t>
      </w:r>
      <w:r>
        <w:rPr>
          <w:color w:val="000000"/>
        </w:rPr>
        <w:t xml:space="preserve"> – </w:t>
      </w:r>
      <w:r>
        <w:rPr>
          <w:rFonts w:ascii="Arial;sans-serif" w:hAnsi="Arial;sans-serif"/>
          <w:b w:val="false"/>
          <w:color w:val="000000"/>
          <w:sz w:val="20"/>
        </w:rPr>
        <w:t xml:space="preserve">Operating income increased $411 million (37.6%) to $1,505 million in the first quarter of 2023. Adjusted Operating Income </w:t>
      </w:r>
      <w:r>
        <w:rPr>
          <w:rFonts w:ascii="Arial;sans-serif" w:hAnsi="Arial;sans-serif"/>
          <w:b w:val="false"/>
          <w:color w:val="000000"/>
          <w:sz w:val="12"/>
        </w:rPr>
        <w:t>(1)</w:t>
      </w:r>
      <w:r>
        <w:rPr>
          <w:color w:val="000000"/>
        </w:rPr>
        <w:t> </w:t>
      </w:r>
      <w:r>
        <w:rPr>
          <w:rFonts w:ascii="Arial;sans-serif" w:hAnsi="Arial;sans-serif"/>
          <w:b w:val="false"/>
          <w:color w:val="000000"/>
          <w:sz w:val="20"/>
        </w:rPr>
        <w:t xml:space="preserve">increased $204 million (14.8%) to $1,581 million and Adjusted Operating Income on a constant currency basis </w:t>
      </w:r>
      <w:r>
        <w:rPr>
          <w:rFonts w:ascii="Arial;sans-serif" w:hAnsi="Arial;sans-serif"/>
          <w:b w:val="false"/>
          <w:color w:val="000000"/>
          <w:sz w:val="12"/>
        </w:rPr>
        <w:t>(1)</w:t>
      </w:r>
      <w:r>
        <w:rPr>
          <w:color w:val="000000"/>
        </w:rPr>
        <w:t> </w:t>
      </w:r>
      <w:r>
        <w:rPr>
          <w:rFonts w:ascii="Arial;sans-serif" w:hAnsi="Arial;sans-serif"/>
          <w:b w:val="false"/>
          <w:color w:val="000000"/>
          <w:sz w:val="20"/>
        </w:rPr>
        <w:t>increased $285 million (20.7%) to $1,662 million due to the following:</w:t>
      </w:r>
    </w:p>
    <w:tbl>
      <w:tblPr>
        <w:tblW w:w="9203" w:type="dxa"/>
        <w:jc w:val="left"/>
        <w:tblInd w:w="0" w:type="dxa"/>
        <w:tblCellMar>
          <w:top w:w="28" w:type="dxa"/>
          <w:left w:w="28" w:type="dxa"/>
          <w:bottom w:w="28" w:type="dxa"/>
          <w:right w:w="28" w:type="dxa"/>
        </w:tblCellMar>
      </w:tblPr>
      <w:tblGrid>
        <w:gridCol w:w="2427"/>
        <w:gridCol w:w="2136"/>
        <w:gridCol w:w="2141"/>
        <w:gridCol w:w="229"/>
        <w:gridCol w:w="702"/>
        <w:gridCol w:w="119"/>
        <w:gridCol w:w="109"/>
        <w:gridCol w:w="109"/>
        <w:gridCol w:w="109"/>
        <w:gridCol w:w="270"/>
        <w:gridCol w:w="271"/>
        <w:gridCol w:w="581"/>
      </w:tblGrid>
      <w:tr>
        <w:trPr/>
        <w:tc>
          <w:tcPr>
            <w:tcW w:w="2427" w:type="dxa"/>
            <w:tcBorders/>
            <w:shd w:fill="auto" w:val="clear"/>
            <w:vAlign w:val="center"/>
          </w:tcPr>
          <w:p>
            <w:pPr>
              <w:pStyle w:val="TableContents"/>
              <w:spacing w:before="0" w:after="283"/>
              <w:rPr>
                <w:sz w:val="4"/>
                <w:szCs w:val="4"/>
              </w:rPr>
            </w:pPr>
            <w:r>
              <w:rPr>
                <w:sz w:val="4"/>
                <w:szCs w:val="4"/>
              </w:rPr>
            </w:r>
          </w:p>
        </w:tc>
        <w:tc>
          <w:tcPr>
            <w:tcW w:w="2136"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Operating</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6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Operating Income for the Three Months Ended March 31, 2022</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1,094</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20"/>
              </w:rPr>
              <w:t xml:space="preserve">Simplify to Grow Program </w:t>
            </w:r>
            <w:r>
              <w:rPr>
                <w:rFonts w:ascii="Arial;sans-serif" w:hAnsi="Arial;sans-serif"/>
                <w:b w:val="false"/>
                <w:color w:val="000000"/>
                <w:sz w:val="13"/>
              </w:rPr>
              <w:t>(2)</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20"/>
              </w:rPr>
              <w:t xml:space="preserve">Intangible asset impairment charge </w:t>
            </w:r>
            <w:r>
              <w:rPr>
                <w:rFonts w:ascii="Arial;sans-serif" w:hAnsi="Arial;sans-serif"/>
                <w:b w:val="false"/>
                <w:color w:val="000000"/>
                <w:sz w:val="13"/>
              </w:rPr>
              <w:t>(3)</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20"/>
              </w:rPr>
              <w:t xml:space="preserve">Mark-to-market gains from derivatives </w:t>
            </w:r>
            <w:r>
              <w:rPr>
                <w:rFonts w:ascii="Arial;sans-serif" w:hAnsi="Arial;sans-serif"/>
                <w:b w:val="false"/>
                <w:color w:val="000000"/>
                <w:sz w:val="13"/>
              </w:rPr>
              <w:t>(4)</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20"/>
              </w:rPr>
              <w:t xml:space="preserve">Acquisition integration costs and contingent consideration adjustments </w:t>
            </w:r>
            <w:r>
              <w:rPr>
                <w:rFonts w:ascii="Arial;sans-serif" w:hAnsi="Arial;sans-serif"/>
                <w:b w:val="false"/>
                <w:color w:val="000000"/>
                <w:sz w:val="13"/>
              </w:rPr>
              <w:t>(5)</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20"/>
              </w:rPr>
              <w:t xml:space="preserve">Acquisition-related costs </w:t>
            </w:r>
            <w:r>
              <w:rPr>
                <w:rFonts w:ascii="Arial;sans-serif" w:hAnsi="Arial;sans-serif"/>
                <w:b w:val="false"/>
                <w:color w:val="000000"/>
                <w:sz w:val="13"/>
              </w:rPr>
              <w:t>(5)</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20"/>
              </w:rPr>
              <w:t xml:space="preserve">Divestiture-related costs </w:t>
            </w:r>
            <w:r>
              <w:rPr>
                <w:rFonts w:ascii="Arial;sans-serif" w:hAnsi="Arial;sans-serif"/>
                <w:b w:val="false"/>
                <w:color w:val="000000"/>
                <w:sz w:val="13"/>
              </w:rPr>
              <w:t>(5)</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20"/>
              </w:rPr>
              <w:t xml:space="preserve">Operating income from divestitures </w:t>
            </w:r>
            <w:r>
              <w:rPr>
                <w:rFonts w:ascii="Arial;sans-serif" w:hAnsi="Arial;sans-serif"/>
                <w:b w:val="false"/>
                <w:color w:val="000000"/>
                <w:sz w:val="13"/>
              </w:rPr>
              <w:t>(5)</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(6)</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20"/>
              </w:rPr>
              <w:t xml:space="preserve">Incremental costs due to war in Ukraine </w:t>
            </w:r>
            <w:r>
              <w:rPr>
                <w:rFonts w:ascii="Arial;sans-serif" w:hAnsi="Arial;sans-serif"/>
                <w:b w:val="false"/>
                <w:color w:val="000000"/>
                <w:sz w:val="13"/>
              </w:rPr>
              <w:t>(6)</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20"/>
              </w:rPr>
              <w:t xml:space="preserve">Adjusted Operating Income </w:t>
            </w:r>
            <w:r>
              <w:rPr>
                <w:rFonts w:ascii="Arial;sans-serif" w:hAnsi="Arial;sans-serif"/>
                <w:b/>
                <w:color w:val="000000"/>
                <w:sz w:val="13"/>
              </w:rPr>
              <w:t>(1)</w:t>
            </w:r>
            <w:r>
              <w:rPr>
                <w:color w:val="000000"/>
              </w:rPr>
              <w:t> </w:t>
            </w:r>
            <w:r>
              <w:rPr>
                <w:rFonts w:ascii="Arial;sans-serif" w:hAnsi="Arial;sans-serif"/>
                <w:b/>
                <w:color w:val="000000"/>
                <w:sz w:val="20"/>
              </w:rPr>
              <w:t>for the</w:t>
            </w:r>
          </w:p>
          <w:p>
            <w:pPr>
              <w:pStyle w:val="TableContents"/>
              <w:spacing w:lineRule="auto" w:line="240" w:before="0" w:after="0"/>
              <w:jc w:val="left"/>
              <w:rPr>
                <w:color w:val="000000"/>
              </w:rPr>
            </w:pPr>
            <w:r>
              <w:rPr>
                <w:color w:val="000000"/>
              </w:rPr>
              <w:t>   </w:t>
            </w:r>
            <w:r>
              <w:rPr>
                <w:rFonts w:ascii="Arial;sans-serif" w:hAnsi="Arial;sans-serif"/>
                <w:b/>
                <w:color w:val="000000"/>
                <w:sz w:val="20"/>
              </w:rPr>
              <w:t>Three Months Ended March 31, 2022</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1,377</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20"/>
              </w:rPr>
              <w:t>Higher net pricing</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20"/>
              </w:rPr>
              <w:t>Higher input costs</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Favorable volume/mix</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Higher selling, general and administrative expenses</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20"/>
              </w:rPr>
              <w:t xml:space="preserve">Impact from acquisition </w:t>
            </w:r>
            <w:r>
              <w:rPr>
                <w:rFonts w:ascii="Arial;sans-serif" w:hAnsi="Arial;sans-serif"/>
                <w:b w:val="false"/>
                <w:color w:val="000000"/>
                <w:sz w:val="13"/>
              </w:rPr>
              <w:t>(5)</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20"/>
              </w:rPr>
              <w:t>Other</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20"/>
              </w:rPr>
              <w:t>Total change in Adjusted Operating Income (constant currency) </w:t>
            </w:r>
            <w:r>
              <w:rPr>
                <w:rFonts w:ascii="Arial;sans-serif" w:hAnsi="Arial;sans-serif"/>
                <w:b/>
                <w:color w:val="000000"/>
                <w:sz w:val="13"/>
              </w:rPr>
              <w:t>(1)</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285</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20.7</w:t>
            </w:r>
            <w:r>
              <w:rPr>
                <w:color w:val="000000"/>
              </w:rPr>
              <w:t> </w:t>
            </w:r>
          </w:p>
        </w:tc>
        <w:tc>
          <w:tcPr>
            <w:tcW w:w="5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Unfavorable currency translation</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20"/>
              </w:rPr>
              <w:t xml:space="preserve">Total change in Adjusted Operating Income </w:t>
            </w:r>
            <w:r>
              <w:rPr>
                <w:rFonts w:ascii="Arial;sans-serif" w:hAnsi="Arial;sans-serif"/>
                <w:b/>
                <w:color w:val="000000"/>
                <w:sz w:val="13"/>
              </w:rPr>
              <w:t>(1)</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204</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14.8</w:t>
            </w:r>
            <w:r>
              <w:rPr>
                <w:color w:val="000000"/>
              </w:rPr>
              <w:t> </w:t>
            </w:r>
          </w:p>
        </w:tc>
        <w:tc>
          <w:tcPr>
            <w:tcW w:w="5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20"/>
              </w:rPr>
              <w:t xml:space="preserve">Adjusted Operating Income </w:t>
            </w:r>
            <w:r>
              <w:rPr>
                <w:rFonts w:ascii="Arial;sans-serif" w:hAnsi="Arial;sans-serif"/>
                <w:b/>
                <w:color w:val="000000"/>
                <w:sz w:val="13"/>
              </w:rPr>
              <w:t>(1) </w:t>
            </w:r>
            <w:r>
              <w:rPr>
                <w:rFonts w:ascii="Arial;sans-serif" w:hAnsi="Arial;sans-serif"/>
                <w:b/>
                <w:color w:val="000000"/>
                <w:sz w:val="20"/>
              </w:rPr>
              <w:t>for the</w:t>
            </w:r>
          </w:p>
          <w:p>
            <w:pPr>
              <w:pStyle w:val="TableContents"/>
              <w:spacing w:lineRule="auto" w:line="240" w:before="0" w:after="0"/>
              <w:jc w:val="left"/>
              <w:rPr>
                <w:color w:val="000000"/>
              </w:rPr>
            </w:pPr>
            <w:r>
              <w:rPr>
                <w:color w:val="000000"/>
              </w:rPr>
              <w:t>   </w:t>
            </w:r>
            <w:r>
              <w:rPr>
                <w:rFonts w:ascii="Arial;sans-serif" w:hAnsi="Arial;sans-serif"/>
                <w:b/>
                <w:color w:val="000000"/>
                <w:sz w:val="20"/>
              </w:rPr>
              <w:t>Three Months Ended March 31, 2023</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1,581</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20"/>
              </w:rPr>
              <w:t xml:space="preserve">Simplify to Grow Program </w:t>
            </w:r>
            <w:r>
              <w:rPr>
                <w:rFonts w:ascii="Arial;sans-serif" w:hAnsi="Arial;sans-serif"/>
                <w:b w:val="false"/>
                <w:color w:val="000000"/>
                <w:sz w:val="13"/>
              </w:rPr>
              <w:t>(2)</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20"/>
              </w:rPr>
              <w:t xml:space="preserve">Mark-to-market gains from derivatives </w:t>
            </w:r>
            <w:r>
              <w:rPr>
                <w:rFonts w:ascii="Arial;sans-serif" w:hAnsi="Arial;sans-serif"/>
                <w:b w:val="false"/>
                <w:color w:val="000000"/>
                <w:sz w:val="13"/>
              </w:rPr>
              <w:t>(4)</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20"/>
              </w:rPr>
              <w:t xml:space="preserve">Acquisition integration costs and contingent consideration adjustments </w:t>
            </w:r>
            <w:r>
              <w:rPr>
                <w:rFonts w:ascii="Arial;sans-serif" w:hAnsi="Arial;sans-serif"/>
                <w:b w:val="false"/>
                <w:color w:val="000000"/>
                <w:sz w:val="13"/>
              </w:rPr>
              <w:t xml:space="preserve">(5) </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20"/>
              </w:rPr>
              <w:t xml:space="preserve">Divestiture-related costs </w:t>
            </w:r>
            <w:r>
              <w:rPr>
                <w:rFonts w:ascii="Arial;sans-serif" w:hAnsi="Arial;sans-serif"/>
                <w:b w:val="false"/>
                <w:color w:val="000000"/>
                <w:sz w:val="13"/>
              </w:rPr>
              <w:t>(5) (7)</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20"/>
              </w:rPr>
              <w:t xml:space="preserve">Incremental costs due to war in Ukraine </w:t>
            </w:r>
            <w:r>
              <w:rPr>
                <w:rFonts w:ascii="Arial;sans-serif" w:hAnsi="Arial;sans-serif"/>
                <w:b w:val="false"/>
                <w:color w:val="000000"/>
                <w:sz w:val="13"/>
              </w:rPr>
              <w:t>(6)</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(6)</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Operating Income for the Three Months Ended March 31, 2023</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1,505</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37.6</w:t>
            </w:r>
            <w:r>
              <w:rPr>
                <w:color w:val="000000"/>
              </w:rPr>
              <w:t> </w:t>
            </w:r>
          </w:p>
        </w:tc>
        <w:tc>
          <w:tcPr>
            <w:tcW w:w="5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w:t>
      </w:r>
    </w:p>
    <w:p>
      <w:pPr>
        <w:pStyle w:val="TextBody"/>
        <w:spacing w:lineRule="auto" w:line="288" w:before="0" w:after="0"/>
        <w:ind w:left="0" w:right="0" w:hanging="360"/>
        <w:jc w:val="both"/>
        <w:rPr/>
      </w:pPr>
      <w:r>
        <w:rPr>
          <w:rFonts w:ascii="Arial;sans-serif" w:hAnsi="Arial;sans-serif"/>
          <w:b w:val="false"/>
          <w:color w:val="000000"/>
          <w:sz w:val="16"/>
        </w:rPr>
        <w:t xml:space="preserve">(2)Refer to Note 7, </w:t>
      </w:r>
      <w:r>
        <w:rPr>
          <w:rFonts w:ascii="Arial;sans-serif" w:hAnsi="Arial;sans-serif"/>
          <w:b w:val="false"/>
          <w:i/>
          <w:color w:val="000000"/>
          <w:sz w:val="16"/>
        </w:rPr>
        <w:t>Restructuring Program,</w:t>
      </w:r>
      <w:r>
        <w:rPr>
          <w:color w:val="000000"/>
        </w:rPr>
        <w:t xml:space="preserve"> </w:t>
      </w:r>
      <w:r>
        <w:rPr>
          <w:rFonts w:ascii="Arial;sans-serif" w:hAnsi="Arial;sans-serif"/>
          <w:b w:val="false"/>
          <w:color w:val="000000"/>
          <w:sz w:val="16"/>
        </w:rPr>
        <w:t>for more information.</w:t>
      </w:r>
    </w:p>
    <w:p>
      <w:pPr>
        <w:pStyle w:val="TextBody"/>
        <w:spacing w:lineRule="auto" w:line="288" w:before="0" w:after="0"/>
        <w:ind w:left="0" w:right="0" w:hanging="360"/>
        <w:jc w:val="both"/>
        <w:rPr/>
      </w:pPr>
      <w:r>
        <w:rPr>
          <w:rFonts w:ascii="Arial;sans-serif" w:hAnsi="Arial;sans-serif"/>
          <w:b w:val="false"/>
          <w:color w:val="000000"/>
          <w:sz w:val="16"/>
        </w:rPr>
        <w:t xml:space="preserve">(3)Refer to Note 5, </w:t>
      </w:r>
      <w:r>
        <w:rPr>
          <w:rFonts w:ascii="Arial;sans-serif" w:hAnsi="Arial;sans-serif"/>
          <w:b w:val="false"/>
          <w:i/>
          <w:color w:val="000000"/>
          <w:sz w:val="16"/>
        </w:rPr>
        <w:t>Goodwill and Intangible Assets</w:t>
      </w:r>
      <w:r>
        <w:rPr>
          <w:rFonts w:ascii="Arial;sans-serif" w:hAnsi="Arial;sans-serif"/>
          <w:b w:val="false"/>
          <w:color w:val="000000"/>
          <w:sz w:val="16"/>
        </w:rPr>
        <w:t>, for more information.</w:t>
      </w:r>
    </w:p>
    <w:p>
      <w:pPr>
        <w:pStyle w:val="TextBody"/>
        <w:spacing w:lineRule="auto" w:line="288" w:before="0" w:after="0"/>
        <w:ind w:left="0" w:right="0" w:hanging="360"/>
        <w:jc w:val="both"/>
        <w:rPr/>
      </w:pPr>
      <w:r>
        <w:rPr>
          <w:rFonts w:ascii="Arial;sans-serif" w:hAnsi="Arial;sans-serif"/>
          <w:b w:val="false"/>
          <w:color w:val="000000"/>
          <w:sz w:val="16"/>
        </w:rPr>
        <w:t xml:space="preserve">(4)Refer to Note 9, </w:t>
      </w:r>
      <w:r>
        <w:rPr>
          <w:rFonts w:ascii="Arial;sans-serif" w:hAnsi="Arial;sans-serif"/>
          <w:b w:val="false"/>
          <w:i/>
          <w:color w:val="000000"/>
          <w:sz w:val="16"/>
        </w:rPr>
        <w:t>Financial Instruments</w:t>
      </w:r>
      <w:r>
        <w:rPr>
          <w:rFonts w:ascii="Arial;sans-serif" w:hAnsi="Arial;sans-serif"/>
          <w:b w:val="false"/>
          <w:color w:val="000000"/>
          <w:sz w:val="16"/>
        </w:rPr>
        <w:t xml:space="preserve">, and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 for more information on the unrealized gains/losses on commodity and forecasted currency transaction derivatives.</w:t>
      </w:r>
    </w:p>
    <w:p>
      <w:pPr>
        <w:pStyle w:val="TextBody"/>
        <w:spacing w:lineRule="auto" w:line="288" w:before="0" w:after="0"/>
        <w:ind w:left="0" w:right="0" w:hanging="360"/>
        <w:jc w:val="both"/>
        <w:rPr/>
      </w:pPr>
      <w:r>
        <w:rPr>
          <w:rFonts w:ascii="Arial;sans-serif" w:hAnsi="Arial;sans-serif"/>
          <w:b w:val="false"/>
          <w:color w:val="000000"/>
          <w:sz w:val="16"/>
        </w:rPr>
        <w:t xml:space="preserve">(5)Refer to Note 2, </w:t>
      </w:r>
      <w:r>
        <w:rPr>
          <w:rFonts w:ascii="Arial;sans-serif" w:hAnsi="Arial;sans-serif"/>
          <w:b w:val="false"/>
          <w:i/>
          <w:color w:val="000000"/>
          <w:sz w:val="16"/>
        </w:rPr>
        <w:t>Acquisitions and Divestitures</w:t>
      </w:r>
      <w:r>
        <w:rPr>
          <w:rFonts w:ascii="Arial;sans-serif" w:hAnsi="Arial;sans-serif"/>
          <w:b w:val="false"/>
          <w:color w:val="000000"/>
          <w:sz w:val="16"/>
        </w:rPr>
        <w:t>, for more information on the November 1, 2022 acquisition of Ricolino, August 1, 2022 acquisition of Clif Bar and January 3, 2022 acquisition of Chipita.</w:t>
      </w:r>
    </w:p>
    <w:p>
      <w:pPr>
        <w:pStyle w:val="TextBody"/>
        <w:spacing w:lineRule="auto" w:line="288" w:before="0" w:after="0"/>
        <w:ind w:left="0" w:right="0" w:hanging="360"/>
        <w:jc w:val="both"/>
        <w:rPr/>
      </w:pPr>
      <w:r>
        <w:rPr>
          <w:rFonts w:ascii="Arial;sans-serif" w:hAnsi="Arial;sans-serif"/>
          <w:b w:val="false"/>
          <w:color w:val="000000"/>
          <w:sz w:val="16"/>
        </w:rPr>
        <w:t xml:space="preserve">(6)Refer to Note 1, </w:t>
      </w:r>
      <w:r>
        <w:rPr>
          <w:rFonts w:ascii="Arial;sans-serif" w:hAnsi="Arial;sans-serif"/>
          <w:b w:val="false"/>
          <w:i/>
          <w:color w:val="000000"/>
          <w:sz w:val="16"/>
        </w:rPr>
        <w:t>Basis of Presentation</w:t>
      </w:r>
      <w:r>
        <w:rPr>
          <w:rFonts w:ascii="Arial;sans-serif" w:hAnsi="Arial;sans-serif"/>
          <w:b w:val="false"/>
          <w:color w:val="000000"/>
          <w:sz w:val="16"/>
        </w:rPr>
        <w:t>, for information on our accounting for the war in Ukraine and our application of highly inflationary accounting for Argentina and Türkiye.</w:t>
      </w:r>
    </w:p>
    <w:p>
      <w:pPr>
        <w:pStyle w:val="TextBody"/>
        <w:spacing w:lineRule="auto" w:line="288" w:before="0" w:after="0"/>
        <w:ind w:left="0" w:right="0" w:hanging="360"/>
        <w:jc w:val="both"/>
        <w:rPr/>
      </w:pPr>
      <w:r>
        <w:rPr>
          <w:rFonts w:ascii="Arial;sans-serif" w:hAnsi="Arial;sans-serif"/>
          <w:b w:val="false"/>
          <w:color w:val="000000"/>
          <w:sz w:val="16"/>
        </w:rPr>
        <w:t xml:space="preserve">(7)Divestiture-related costs includes costs incurred associated with our publicly-announced processes to divest our developed markets gum and global </w:t>
      </w:r>
      <w:r>
        <w:rPr>
          <w:rFonts w:ascii="Arial;sans-serif" w:hAnsi="Arial;sans-serif"/>
          <w:b w:val="false"/>
          <w:i/>
          <w:color w:val="000000"/>
          <w:sz w:val="16"/>
        </w:rPr>
        <w:t>Halls</w:t>
      </w:r>
      <w:r>
        <w:rPr>
          <w:color w:val="000000"/>
        </w:rPr>
        <w:t xml:space="preserve"> </w:t>
      </w:r>
      <w:r>
        <w:rPr>
          <w:rFonts w:ascii="Arial;sans-serif" w:hAnsi="Arial;sans-serif"/>
          <w:b w:val="false"/>
          <w:color w:val="000000"/>
          <w:sz w:val="16"/>
        </w:rPr>
        <w:t xml:space="preserve">businesses.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0520"/>
                <wp:effectExtent l="0" t="0" r="0" b="0"/>
                <wp:wrapNone/>
                <wp:docPr id="40" name="Frame3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first quarter of 2023, we realized higher net pricing and favorable volume/mix, which was partially offset by increased input costs. Higher net pricing, which included the carryover impact of pricing actions taken in 2022 as well as the effects of input cost-driven pricing actions taken during the first quarter of 2023, was reflected across all regions. Favorable volume/mix was also reflected across all regions. Overall, volume/mix benefited from strong volume growth due to continued increased demand for our snack category products. The increase in input costs was driven by higher raw material costs as well as higher manufacturing costs. Higher raw material costs were in part due to higher dairy, energy, edible oils, sugar, grains, packaging, nuts, cocoa and other ingredients costs as well as unfavorable year-over-year currency exchange transaction costs on imported materials.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selling, general and administrative expenses increased $162 million from the first quarter of 2022, due to a number of factors noted in the table above, including in part, the impact of acquisitions, higher divestiture-related costs, higher acquisition integration costs and contingent consideration adjustments and higher remeasurement loss of net monetary position, which were offset by a favorable currency impact related to expenses, lower incremental costs due to the war in Ukraine, lapping prior-year acquisition-related costs and lower implementation costs incurred for the Simplify to Grow program. Excluding these factors, selling, general and administrative expenses also increased $162 million from the first quarter of 2022. The increase was driven primarily by higher advertising and consumer promotion costs and higher overhead costs in part due to increased investments in route to market capabilities.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Unfavorable currency changes decreased operating income by $81 million due primarily to the strength of the U.S. dollar relative to most currencies, including the British pound sterling, euro, Argentinean peso, Indian rupee, Egyptian pound, Chinese yuan and Turkish lira, partially offset by the strength of a few currencies relative to the U.S. dollar, including the Russian ruble, Mexican peso and Brazilian real.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income margin increased from 14.1% in the first quarter of 2022 to 16.4% in the first quarter of 2023. The increase was primarily driven by lapping prior-year incremental costs due to the war in Ukraine, lapping prior-year intangible asset impairment charges, lapping prior-year acquisition-related costs and favorable year-over-year change in mark-to-market gains/(losses) from currency and commodity hedging activities, partially offset by a decrease in Adjusted Operating Income margin, higher divestiture-related costs, higher acquisition integration costs and contingent consideration adjustments and higher remeasurement loss of net monetary position. Adjusted Operating Income margin decreased from 17.8% for the first quarter of 2022 to 17.2% for the first quarter of 2023. The decrease was driven primarily by higher raw material costs, partially offset by higher net pricing and overhead cost leverage.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0520"/>
                <wp:effectExtent l="0" t="0" r="0" b="0"/>
                <wp:wrapNone/>
                <wp:docPr id="41" name="Frame4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pPr>
      <w:r>
        <w:rPr>
          <w:rFonts w:ascii="Arial;sans-serif" w:hAnsi="Arial;sans-serif"/>
          <w:b w:val="false"/>
          <w:i/>
          <w:color w:val="000000"/>
          <w:sz w:val="20"/>
        </w:rPr>
        <w:t>Net Earnings and Earnings per Share Attributable to Mondelēz International</w:t>
      </w:r>
      <w:r>
        <w:rPr>
          <w:color w:val="000000"/>
        </w:rPr>
        <w:t xml:space="preserve"> – </w:t>
      </w:r>
      <w:r>
        <w:rPr>
          <w:rFonts w:ascii="Arial;sans-serif" w:hAnsi="Arial;sans-serif"/>
          <w:b w:val="false"/>
          <w:color w:val="000000"/>
          <w:sz w:val="20"/>
        </w:rPr>
        <w:t xml:space="preserve">Net earnings attributable to Mondelēz International of $2,081 million increased by $1,226 million (143.4%) in the first quarter of 2023. Diluted EPS attributable to Mondelēz International was $1.52 in the first quarter of 2023, up $0.91 (149.2%) from the first quarter of 2022. Adjusted EPS </w:t>
      </w:r>
      <w:r>
        <w:rPr>
          <w:rFonts w:ascii="Arial;sans-serif" w:hAnsi="Arial;sans-serif"/>
          <w:b w:val="false"/>
          <w:color w:val="000000"/>
          <w:sz w:val="13"/>
        </w:rPr>
        <w:t>(1)</w:t>
      </w:r>
      <w:r>
        <w:rPr>
          <w:color w:val="000000"/>
        </w:rPr>
        <w:t> </w:t>
      </w:r>
      <w:r>
        <w:rPr>
          <w:rFonts w:ascii="Arial;sans-serif" w:hAnsi="Arial;sans-serif"/>
          <w:b w:val="false"/>
          <w:color w:val="000000"/>
          <w:sz w:val="20"/>
        </w:rPr>
        <w:t xml:space="preserve">was $0.89 in the first quarter of 2023, up $0.08 (9.9%) from the first quarter of 2022. Adjusted EPS on a constant currency basis </w:t>
      </w:r>
      <w:r>
        <w:rPr>
          <w:rFonts w:ascii="Arial;sans-serif" w:hAnsi="Arial;sans-serif"/>
          <w:b w:val="false"/>
          <w:color w:val="000000"/>
          <w:sz w:val="13"/>
        </w:rPr>
        <w:t>(1)</w:t>
      </w:r>
      <w:r>
        <w:rPr>
          <w:color w:val="000000"/>
        </w:rPr>
        <w:t> </w:t>
      </w:r>
      <w:r>
        <w:rPr>
          <w:rFonts w:ascii="Arial;sans-serif" w:hAnsi="Arial;sans-serif"/>
          <w:b w:val="false"/>
          <w:color w:val="000000"/>
          <w:sz w:val="20"/>
        </w:rPr>
        <w:t>was $0.95 in the first quarter of 2023, up $0.14 (17.3%) from the first quarter of 2022.</w:t>
      </w:r>
    </w:p>
    <w:tbl>
      <w:tblPr>
        <w:tblW w:w="8071" w:type="dxa"/>
        <w:jc w:val="left"/>
        <w:tblInd w:w="0" w:type="dxa"/>
        <w:tblCellMar>
          <w:top w:w="28" w:type="dxa"/>
          <w:left w:w="28" w:type="dxa"/>
          <w:bottom w:w="28" w:type="dxa"/>
          <w:right w:w="28" w:type="dxa"/>
        </w:tblCellMar>
      </w:tblPr>
      <w:tblGrid>
        <w:gridCol w:w="2535"/>
        <w:gridCol w:w="2221"/>
        <w:gridCol w:w="2234"/>
        <w:gridCol w:w="255"/>
        <w:gridCol w:w="638"/>
        <w:gridCol w:w="188"/>
      </w:tblGrid>
      <w:tr>
        <w:trPr/>
        <w:tc>
          <w:tcPr>
            <w:tcW w:w="2535"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Diluted EPS</w:t>
            </w:r>
          </w:p>
        </w:tc>
      </w:tr>
      <w:tr>
        <w:trPr/>
        <w:tc>
          <w:tcPr>
            <w:tcW w:w="6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Diluted EPS Attributable to Mondelēz International for the</w:t>
            </w:r>
          </w:p>
          <w:p>
            <w:pPr>
              <w:pStyle w:val="TableContents"/>
              <w:spacing w:lineRule="auto" w:line="240" w:before="0" w:after="0"/>
              <w:jc w:val="left"/>
              <w:rPr>
                <w:color w:val="000000"/>
              </w:rPr>
            </w:pPr>
            <w:r>
              <w:rPr>
                <w:color w:val="000000"/>
              </w:rPr>
              <w:t>   </w:t>
            </w:r>
            <w:r>
              <w:rPr>
                <w:rFonts w:ascii="Arial;sans-serif" w:hAnsi="Arial;sans-serif"/>
                <w:b/>
                <w:color w:val="000000"/>
                <w:sz w:val="18"/>
              </w:rPr>
              <w:t>Three Months Ended March 31, 2022</w:t>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8"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0.61</w:t>
            </w: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Simplify to Grow Program </w:t>
            </w:r>
            <w:r>
              <w:rPr>
                <w:rFonts w:ascii="Arial;sans-serif" w:hAnsi="Arial;sans-serif"/>
                <w:b w:val="false"/>
                <w:color w:val="000000"/>
                <w:sz w:val="12"/>
              </w:rPr>
              <w:t>(2)</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Intangible asset impairment charge</w:t>
            </w:r>
            <w:r>
              <w:rPr>
                <w:color w:val="000000"/>
              </w:rPr>
              <w:t xml:space="preserve"> </w:t>
            </w:r>
            <w:r>
              <w:rPr>
                <w:rFonts w:ascii="Arial;sans-serif" w:hAnsi="Arial;sans-serif"/>
                <w:b w:val="false"/>
                <w:color w:val="000000"/>
                <w:sz w:val="12"/>
              </w:rPr>
              <w:t>(2)</w:t>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Mark-to-market gains from derivatives </w:t>
            </w:r>
            <w:r>
              <w:rPr>
                <w:rFonts w:ascii="Arial;sans-serif" w:hAnsi="Arial;sans-serif"/>
                <w:b w:val="false"/>
                <w:color w:val="000000"/>
                <w:sz w:val="12"/>
              </w:rPr>
              <w:t>(2)</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Acquisition integration costs and contingent consideration adjustments </w:t>
            </w:r>
            <w:r>
              <w:rPr>
                <w:rFonts w:ascii="Arial;sans-serif" w:hAnsi="Arial;sans-serif"/>
                <w:b w:val="false"/>
                <w:color w:val="000000"/>
                <w:sz w:val="12"/>
              </w:rPr>
              <w:t>(2)</w:t>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Acquisition-related costs </w:t>
            </w:r>
            <w:r>
              <w:rPr>
                <w:rFonts w:ascii="Arial;sans-serif" w:hAnsi="Arial;sans-serif"/>
                <w:b w:val="false"/>
                <w:color w:val="000000"/>
                <w:sz w:val="12"/>
              </w:rPr>
              <w:t>(2)</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Net earnings from divestitures </w:t>
            </w:r>
            <w:r>
              <w:rPr>
                <w:rFonts w:ascii="Arial;sans-serif" w:hAnsi="Arial;sans-serif"/>
                <w:b w:val="false"/>
                <w:color w:val="000000"/>
                <w:sz w:val="12"/>
              </w:rPr>
              <w:t>(2)</w:t>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Loss on debt extinguishment and related expenses </w:t>
            </w:r>
            <w:r>
              <w:rPr>
                <w:rFonts w:ascii="Arial;sans-serif" w:hAnsi="Arial;sans-serif"/>
                <w:b w:val="false"/>
                <w:color w:val="000000"/>
                <w:sz w:val="12"/>
              </w:rPr>
              <w:t>(3)</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Incremental cost due to war in Ukraine </w:t>
            </w:r>
            <w:r>
              <w:rPr>
                <w:rFonts w:ascii="Arial;sans-serif" w:hAnsi="Arial;sans-serif"/>
                <w:b w:val="false"/>
                <w:color w:val="000000"/>
                <w:sz w:val="12"/>
              </w:rPr>
              <w:t>(2)</w:t>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xml:space="preserve">Adjusted EPS </w:t>
            </w:r>
            <w:r>
              <w:rPr>
                <w:rFonts w:ascii="Arial;sans-serif" w:hAnsi="Arial;sans-serif"/>
                <w:b/>
                <w:color w:val="000000"/>
                <w:sz w:val="12"/>
              </w:rPr>
              <w:t>(1)</w:t>
            </w:r>
            <w:r>
              <w:rPr>
                <w:color w:val="000000"/>
              </w:rPr>
              <w:t> </w:t>
            </w:r>
            <w:r>
              <w:rPr>
                <w:rFonts w:ascii="Arial;sans-serif" w:hAnsi="Arial;sans-serif"/>
                <w:b/>
                <w:color w:val="000000"/>
                <w:sz w:val="18"/>
              </w:rPr>
              <w:t>for the Three Months Ended March 31, 2022</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0.81</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Increase in operations</w:t>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Decrease in equity method investment net earnings</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Impact from acquisition </w:t>
            </w:r>
            <w:r>
              <w:rPr>
                <w:rFonts w:ascii="Arial;sans-serif" w:hAnsi="Arial;sans-serif"/>
                <w:b w:val="false"/>
                <w:color w:val="000000"/>
                <w:sz w:val="12"/>
              </w:rPr>
              <w:t>(2)</w:t>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8"/>
              </w:rPr>
              <w:t>Changes in benefit plan non-service income</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Changes in interest and other expense, net </w:t>
            </w:r>
            <w:r>
              <w:rPr>
                <w:rFonts w:ascii="Arial;sans-serif" w:hAnsi="Arial;sans-serif"/>
                <w:b w:val="false"/>
                <w:color w:val="000000"/>
                <w:sz w:val="12"/>
              </w:rPr>
              <w:t>(4)</w:t>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income from marketable securities</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Changes in income taxes </w:t>
            </w:r>
            <w:r>
              <w:rPr>
                <w:rFonts w:ascii="Arial;sans-serif" w:hAnsi="Arial;sans-serif"/>
                <w:b w:val="false"/>
                <w:color w:val="000000"/>
                <w:sz w:val="12"/>
              </w:rPr>
              <w:t>(6)</w:t>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Changes in shares outstanding </w:t>
            </w:r>
            <w:r>
              <w:rPr>
                <w:rFonts w:ascii="Arial;sans-serif" w:hAnsi="Arial;sans-serif"/>
                <w:b w:val="false"/>
                <w:color w:val="000000"/>
                <w:sz w:val="12"/>
              </w:rPr>
              <w:t>(7)</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xml:space="preserve">Adjusted EPS (constant currency) </w:t>
            </w:r>
            <w:r>
              <w:rPr>
                <w:rFonts w:ascii="Arial;sans-serif" w:hAnsi="Arial;sans-serif"/>
                <w:b/>
                <w:color w:val="000000"/>
                <w:sz w:val="12"/>
              </w:rPr>
              <w:t>(1)</w:t>
            </w:r>
            <w:r>
              <w:rPr>
                <w:color w:val="000000"/>
              </w:rPr>
              <w:t xml:space="preserve"> </w:t>
            </w:r>
            <w:r>
              <w:rPr>
                <w:rFonts w:ascii="Arial;sans-serif" w:hAnsi="Arial;sans-serif"/>
                <w:b/>
                <w:color w:val="000000"/>
                <w:sz w:val="18"/>
              </w:rPr>
              <w:t>for the Three Months Ended March 31, 2023</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0.95</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Unfavorable currency translation</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xml:space="preserve">Adjusted EPS </w:t>
            </w:r>
            <w:r>
              <w:rPr>
                <w:rFonts w:ascii="Arial;sans-serif" w:hAnsi="Arial;sans-serif"/>
                <w:b/>
                <w:color w:val="000000"/>
                <w:sz w:val="12"/>
              </w:rPr>
              <w:t>(1)</w:t>
            </w:r>
            <w:r>
              <w:rPr>
                <w:color w:val="000000"/>
              </w:rPr>
              <w:t> </w:t>
            </w:r>
            <w:r>
              <w:rPr>
                <w:rFonts w:ascii="Arial;sans-serif" w:hAnsi="Arial;sans-serif"/>
                <w:b/>
                <w:color w:val="000000"/>
                <w:sz w:val="18"/>
              </w:rPr>
              <w:t>for the Three Months Ended March 31, 2023</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0.89</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Simplify to Grow Program </w:t>
            </w:r>
            <w:r>
              <w:rPr>
                <w:rFonts w:ascii="Arial;sans-serif" w:hAnsi="Arial;sans-serif"/>
                <w:b w:val="false"/>
                <w:color w:val="000000"/>
                <w:sz w:val="12"/>
              </w:rPr>
              <w:t>(2)</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Gain from derivatives </w:t>
            </w:r>
            <w:r>
              <w:rPr>
                <w:rFonts w:ascii="Arial;sans-serif" w:hAnsi="Arial;sans-serif"/>
                <w:b w:val="false"/>
                <w:color w:val="000000"/>
                <w:sz w:val="12"/>
              </w:rPr>
              <w:t>(2)</w:t>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Acquisition integration costs and contingent consideration adjustments </w:t>
            </w:r>
            <w:r>
              <w:rPr>
                <w:rFonts w:ascii="Arial;sans-serif" w:hAnsi="Arial;sans-serif"/>
                <w:b w:val="false"/>
                <w:color w:val="000000"/>
                <w:sz w:val="12"/>
              </w:rPr>
              <w:t>(2)</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Divestiture-related costs</w:t>
            </w:r>
            <w:r>
              <w:rPr>
                <w:color w:val="000000"/>
              </w:rPr>
              <w:t xml:space="preserve"> </w:t>
            </w:r>
            <w:r>
              <w:rPr>
                <w:rFonts w:ascii="Arial;sans-serif" w:hAnsi="Arial;sans-serif"/>
                <w:b w:val="false"/>
                <w:color w:val="000000"/>
                <w:sz w:val="12"/>
              </w:rPr>
              <w:t>(2)</w:t>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Net earnings from divestitures </w:t>
            </w:r>
            <w:r>
              <w:rPr>
                <w:rFonts w:ascii="Arial;sans-serif" w:hAnsi="Arial;sans-serif"/>
                <w:b w:val="false"/>
                <w:color w:val="000000"/>
                <w:sz w:val="12"/>
              </w:rPr>
              <w:t>(2)</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Remeasurement of net monetary position </w:t>
            </w:r>
            <w:r>
              <w:rPr>
                <w:rFonts w:ascii="Arial;sans-serif" w:hAnsi="Arial;sans-serif"/>
                <w:b w:val="false"/>
                <w:color w:val="000000"/>
                <w:sz w:val="12"/>
              </w:rPr>
              <w:t>(2)</w:t>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Gain on marketable securities </w:t>
            </w:r>
            <w:r>
              <w:rPr>
                <w:rFonts w:ascii="Arial;sans-serif" w:hAnsi="Arial;sans-serif"/>
                <w:b w:val="false"/>
                <w:color w:val="000000"/>
                <w:sz w:val="12"/>
              </w:rPr>
              <w:t>(5)</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Gain on equity method investment transactions </w:t>
            </w:r>
            <w:r>
              <w:rPr>
                <w:rFonts w:ascii="Arial;sans-serif" w:hAnsi="Arial;sans-serif"/>
                <w:b w:val="false"/>
                <w:color w:val="000000"/>
                <w:sz w:val="12"/>
              </w:rPr>
              <w:t>(5)</w:t>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8"/>
              </w:rPr>
              <w:t xml:space="preserve">Equity method investee items </w:t>
            </w:r>
            <w:r>
              <w:rPr>
                <w:rFonts w:ascii="Arial;sans-serif" w:hAnsi="Arial;sans-serif"/>
                <w:b w:val="false"/>
                <w:color w:val="000000"/>
                <w:sz w:val="12"/>
              </w:rPr>
              <w:t>(8)</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Diluted EPS Attributable to Mondelēz International for the</w:t>
            </w:r>
          </w:p>
          <w:p>
            <w:pPr>
              <w:pStyle w:val="TableContents"/>
              <w:spacing w:lineRule="auto" w:line="240" w:before="0" w:after="0"/>
              <w:jc w:val="left"/>
              <w:rPr>
                <w:color w:val="000000"/>
              </w:rPr>
            </w:pPr>
            <w:r>
              <w:rPr>
                <w:color w:val="000000"/>
              </w:rPr>
              <w:t>   </w:t>
            </w:r>
            <w:r>
              <w:rPr>
                <w:rFonts w:ascii="Arial;sans-serif" w:hAnsi="Arial;sans-serif"/>
                <w:b/>
                <w:color w:val="000000"/>
                <w:sz w:val="18"/>
              </w:rPr>
              <w:t>Three Months Ended March 31, 2023</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1.52</w:t>
            </w:r>
            <w:r>
              <w:rPr>
                <w:color w:val="000000"/>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appearing later in this section.</w:t>
      </w:r>
    </w:p>
    <w:p>
      <w:pPr>
        <w:pStyle w:val="TextBody"/>
        <w:spacing w:lineRule="auto" w:line="288" w:before="0" w:after="0"/>
        <w:ind w:left="0" w:right="0" w:hanging="360"/>
        <w:jc w:val="both"/>
        <w:rPr/>
      </w:pPr>
      <w:r>
        <w:rPr>
          <w:rFonts w:ascii="Arial;sans-serif" w:hAnsi="Arial;sans-serif"/>
          <w:b w:val="false"/>
          <w:color w:val="000000"/>
          <w:sz w:val="16"/>
        </w:rPr>
        <w:t xml:space="preserve">(2)See the </w:t>
      </w:r>
      <w:r>
        <w:rPr>
          <w:rFonts w:ascii="Arial;sans-serif" w:hAnsi="Arial;sans-serif"/>
          <w:b w:val="false"/>
          <w:i/>
          <w:color w:val="000000"/>
          <w:sz w:val="16"/>
        </w:rPr>
        <w:t>Operating Income</w:t>
      </w:r>
      <w:r>
        <w:rPr>
          <w:color w:val="000000"/>
        </w:rPr>
        <w:t xml:space="preserve"> </w:t>
      </w:r>
      <w:r>
        <w:rPr>
          <w:rFonts w:ascii="Arial;sans-serif" w:hAnsi="Arial;sans-serif"/>
          <w:b w:val="false"/>
          <w:color w:val="000000"/>
          <w:sz w:val="16"/>
        </w:rPr>
        <w:t>table above and the related footnotes for more information.</w:t>
      </w:r>
    </w:p>
    <w:p>
      <w:pPr>
        <w:pStyle w:val="TextBody"/>
        <w:spacing w:lineRule="auto" w:line="288" w:before="0" w:after="0"/>
        <w:ind w:left="0" w:right="0" w:hanging="360"/>
        <w:jc w:val="both"/>
        <w:rPr/>
      </w:pPr>
      <w:r>
        <w:rPr>
          <w:rFonts w:ascii="Arial;sans-serif" w:hAnsi="Arial;sans-serif"/>
          <w:b w:val="false"/>
          <w:color w:val="000000"/>
          <w:sz w:val="16"/>
        </w:rPr>
        <w:t xml:space="preserve">(3)Refer to Note 8, </w:t>
      </w:r>
      <w:r>
        <w:rPr>
          <w:rFonts w:ascii="Arial;sans-serif" w:hAnsi="Arial;sans-serif"/>
          <w:b w:val="false"/>
          <w:i/>
          <w:color w:val="000000"/>
          <w:sz w:val="16"/>
        </w:rPr>
        <w:t>Debt and Borrowing Arrangements</w:t>
      </w:r>
      <w:r>
        <w:rPr>
          <w:rFonts w:ascii="Arial;sans-serif" w:hAnsi="Arial;sans-serif"/>
          <w:b w:val="false"/>
          <w:color w:val="000000"/>
          <w:sz w:val="16"/>
        </w:rPr>
        <w:t>, for more information on the loss on debt extinguishment and related expenses.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(4)Excludes the currency impact on interest expense related to non-U.S. dollar-denominated debt, which is included in currency translation. </w:t>
      </w:r>
    </w:p>
    <w:p>
      <w:pPr>
        <w:pStyle w:val="TextBody"/>
        <w:spacing w:lineRule="auto" w:line="288" w:before="0" w:after="0"/>
        <w:ind w:left="0" w:right="0" w:hanging="360"/>
        <w:jc w:val="both"/>
        <w:rPr/>
      </w:pPr>
      <w:r>
        <w:rPr>
          <w:rFonts w:ascii="Arial;sans-serif" w:hAnsi="Arial;sans-serif"/>
          <w:b w:val="false"/>
          <w:color w:val="000000"/>
          <w:sz w:val="16"/>
        </w:rPr>
        <w:t xml:space="preserve">(5)Refer to Note 6, </w:t>
      </w:r>
      <w:r>
        <w:rPr>
          <w:rFonts w:ascii="Arial;sans-serif" w:hAnsi="Arial;sans-serif"/>
          <w:b w:val="false"/>
          <w:i/>
          <w:color w:val="000000"/>
          <w:sz w:val="16"/>
        </w:rPr>
        <w:t>Investments</w:t>
      </w:r>
      <w:r>
        <w:rPr>
          <w:rFonts w:ascii="Arial;sans-serif" w:hAnsi="Arial;sans-serif"/>
          <w:b w:val="false"/>
          <w:color w:val="000000"/>
          <w:sz w:val="16"/>
        </w:rPr>
        <w:t>, for more information on gains/losses on equity method investment transactions and marketable securities.</w:t>
      </w:r>
    </w:p>
    <w:p>
      <w:pPr>
        <w:pStyle w:val="TextBody"/>
        <w:spacing w:lineRule="auto" w:line="288" w:before="0" w:after="0"/>
        <w:ind w:left="0" w:right="0" w:hanging="360"/>
        <w:jc w:val="both"/>
        <w:rPr/>
      </w:pPr>
      <w:r>
        <w:rPr>
          <w:rFonts w:ascii="Arial;sans-serif" w:hAnsi="Arial;sans-serif"/>
          <w:b w:val="false"/>
          <w:color w:val="000000"/>
          <w:sz w:val="16"/>
        </w:rPr>
        <w:t xml:space="preserve">(6)Refer to Note 14, </w:t>
      </w:r>
      <w:r>
        <w:rPr>
          <w:rFonts w:ascii="Arial;sans-serif" w:hAnsi="Arial;sans-serif"/>
          <w:b w:val="false"/>
          <w:i/>
          <w:color w:val="000000"/>
          <w:sz w:val="16"/>
        </w:rPr>
        <w:t>Income Taxes</w:t>
      </w:r>
      <w:r>
        <w:rPr>
          <w:rFonts w:ascii="Arial;sans-serif" w:hAnsi="Arial;sans-serif"/>
          <w:b w:val="false"/>
          <w:color w:val="000000"/>
          <w:sz w:val="16"/>
        </w:rPr>
        <w:t>, for more information on the items affecting income taxes.</w:t>
      </w:r>
    </w:p>
    <w:p>
      <w:pPr>
        <w:pStyle w:val="TextBody"/>
        <w:spacing w:lineRule="auto" w:line="288" w:before="0" w:after="0"/>
        <w:ind w:left="0" w:right="0" w:hanging="360"/>
        <w:jc w:val="both"/>
        <w:rPr/>
      </w:pPr>
      <w:r>
        <w:rPr>
          <w:rFonts w:ascii="Arial;sans-serif" w:hAnsi="Arial;sans-serif"/>
          <w:b w:val="false"/>
          <w:color w:val="000000"/>
          <w:sz w:val="16"/>
        </w:rPr>
        <w:t xml:space="preserve">(7)Refer to Note 11, </w:t>
      </w:r>
      <w:r>
        <w:rPr>
          <w:rFonts w:ascii="Arial;sans-serif" w:hAnsi="Arial;sans-serif"/>
          <w:b w:val="false"/>
          <w:i/>
          <w:color w:val="000000"/>
          <w:sz w:val="16"/>
        </w:rPr>
        <w:t>Stock Plans</w:t>
      </w:r>
      <w:r>
        <w:rPr>
          <w:rFonts w:ascii="Arial;sans-serif" w:hAnsi="Arial;sans-serif"/>
          <w:b w:val="false"/>
          <w:color w:val="000000"/>
          <w:sz w:val="16"/>
        </w:rPr>
        <w:t xml:space="preserve">, for more information on our equity compensation programs and share repurchase program and Note 15, </w:t>
      </w:r>
      <w:r>
        <w:rPr>
          <w:rFonts w:ascii="Arial;sans-serif" w:hAnsi="Arial;sans-serif"/>
          <w:b w:val="false"/>
          <w:i/>
          <w:color w:val="000000"/>
          <w:sz w:val="16"/>
        </w:rPr>
        <w:t>Earnings per Share</w:t>
      </w:r>
      <w:r>
        <w:rPr>
          <w:rFonts w:ascii="Arial;sans-serif" w:hAnsi="Arial;sans-serif"/>
          <w:b w:val="false"/>
          <w:color w:val="000000"/>
          <w:sz w:val="16"/>
        </w:rPr>
        <w:t>, for earnings per share weighted-average share information.</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(8)Includes our proportionate share of significant operating and non-operating items recorded by our JDE Peet's equity method investee, such as acquisition and divestiture-related costs and restructuring program costs.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0520"/>
                <wp:effectExtent l="0" t="0" r="0" b="0"/>
                <wp:wrapNone/>
                <wp:docPr id="42" name="Frame4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Results of Operations by Reportable Segment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operations and management structure are organized into four operating segments: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Latin America</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AMEA</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Europe</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North America</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We use segment operating income to evaluate segment performance and allocate resources. We believe it is appropriate to disclose this measure to help investors analyze segment performance and trends. See Note 16, </w:t>
      </w:r>
      <w:r>
        <w:rPr>
          <w:rFonts w:ascii="Arial;sans-serif" w:hAnsi="Arial;sans-serif"/>
          <w:b w:val="false"/>
          <w:i/>
          <w:color w:val="000000"/>
          <w:sz w:val="20"/>
        </w:rPr>
        <w:t>Segment Reporting,</w:t>
      </w:r>
      <w:r>
        <w:rPr>
          <w:color w:val="000000"/>
        </w:rPr>
        <w:t xml:space="preserve"> </w:t>
      </w:r>
      <w:r>
        <w:rPr>
          <w:rFonts w:ascii="Arial;sans-serif" w:hAnsi="Arial;sans-serif"/>
          <w:b w:val="false"/>
          <w:color w:val="000000"/>
          <w:sz w:val="20"/>
        </w:rPr>
        <w:t xml:space="preserve">for additional information on our segments and </w:t>
      </w:r>
      <w:r>
        <w:rPr>
          <w:rFonts w:ascii="Arial;sans-serif" w:hAnsi="Arial;sans-serif"/>
          <w:b w:val="false"/>
          <w:i/>
          <w:color w:val="000000"/>
          <w:sz w:val="20"/>
        </w:rPr>
        <w:t>Items Affecting Comparability of Financial Results</w:t>
      </w:r>
      <w:r>
        <w:rPr>
          <w:color w:val="000000"/>
        </w:rPr>
        <w:t xml:space="preserve"> </w:t>
      </w:r>
      <w:r>
        <w:rPr>
          <w:rFonts w:ascii="Arial;sans-serif" w:hAnsi="Arial;sans-serif"/>
          <w:b w:val="false"/>
          <w:color w:val="000000"/>
          <w:sz w:val="20"/>
        </w:rPr>
        <w:t>earlier in this section for items affecting our segment operating results.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segment net revenues and earnings were:</w:t>
      </w:r>
    </w:p>
    <w:tbl>
      <w:tblPr>
        <w:tblW w:w="7004" w:type="dxa"/>
        <w:jc w:val="left"/>
        <w:tblInd w:w="0" w:type="dxa"/>
        <w:tblCellMar>
          <w:top w:w="28" w:type="dxa"/>
          <w:left w:w="28" w:type="dxa"/>
          <w:bottom w:w="28" w:type="dxa"/>
          <w:right w:w="28" w:type="dxa"/>
        </w:tblCellMar>
      </w:tblPr>
      <w:tblGrid>
        <w:gridCol w:w="1508"/>
        <w:gridCol w:w="1319"/>
        <w:gridCol w:w="1328"/>
        <w:gridCol w:w="221"/>
        <w:gridCol w:w="678"/>
        <w:gridCol w:w="114"/>
        <w:gridCol w:w="114"/>
        <w:gridCol w:w="114"/>
        <w:gridCol w:w="114"/>
        <w:gridCol w:w="221"/>
        <w:gridCol w:w="678"/>
        <w:gridCol w:w="114"/>
        <w:gridCol w:w="109"/>
        <w:gridCol w:w="109"/>
        <w:gridCol w:w="109"/>
        <w:gridCol w:w="154"/>
      </w:tblGrid>
      <w:tr>
        <w:trPr/>
        <w:tc>
          <w:tcPr>
            <w:tcW w:w="1508"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pPr>
            <w:r>
              <w:rPr>
                <w:rFonts w:ascii="Arial;sans-serif" w:hAnsi="Arial;sans-serif"/>
                <w:b w:val="false"/>
                <w:sz w:val="20"/>
              </w:rPr>
              <w:br/>
            </w:r>
            <w:r>
              <w:rPr>
                <w:rFonts w:ascii="Arial;sans-serif" w:hAnsi="Arial;sans-serif"/>
                <w:b w:val="false"/>
                <w:color w:val="000000"/>
                <w:sz w:val="20"/>
              </w:rPr>
              <w:t>Earnings before income taxes:</w:t>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gains/(losses) on hedging activities</w:t>
              <w:br/>
              <w:t>   (mark-to-market impacts)</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costs</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plan non-service income</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marketable securities</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0520"/>
                <wp:effectExtent l="0" t="0" r="0" b="0"/>
                <wp:wrapNone/>
                <wp:docPr id="43" name="Frame4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Latin America</w:t>
      </w:r>
    </w:p>
    <w:tbl>
      <w:tblPr>
        <w:tblW w:w="7394" w:type="dxa"/>
        <w:jc w:val="left"/>
        <w:tblInd w:w="0" w:type="dxa"/>
        <w:tblCellMar>
          <w:top w:w="28" w:type="dxa"/>
          <w:left w:w="28" w:type="dxa"/>
          <w:bottom w:w="28" w:type="dxa"/>
          <w:right w:w="28" w:type="dxa"/>
        </w:tblCellMar>
      </w:tblPr>
      <w:tblGrid>
        <w:gridCol w:w="886"/>
        <w:gridCol w:w="776"/>
        <w:gridCol w:w="782"/>
        <w:gridCol w:w="238"/>
        <w:gridCol w:w="731"/>
        <w:gridCol w:w="123"/>
        <w:gridCol w:w="123"/>
        <w:gridCol w:w="123"/>
        <w:gridCol w:w="123"/>
        <w:gridCol w:w="238"/>
        <w:gridCol w:w="544"/>
        <w:gridCol w:w="123"/>
        <w:gridCol w:w="109"/>
        <w:gridCol w:w="109"/>
        <w:gridCol w:w="109"/>
        <w:gridCol w:w="217"/>
        <w:gridCol w:w="496"/>
        <w:gridCol w:w="113"/>
        <w:gridCol w:w="109"/>
        <w:gridCol w:w="109"/>
        <w:gridCol w:w="109"/>
        <w:gridCol w:w="270"/>
        <w:gridCol w:w="271"/>
        <w:gridCol w:w="563"/>
      </w:tblGrid>
      <w:tr>
        <w:trPr/>
        <w:tc>
          <w:tcPr>
            <w:tcW w:w="88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5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9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56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1431" w:type="dxa"/>
            <w:gridSpan w:val="6"/>
            <w:tcBorders/>
            <w:shd w:fill="auto" w:val="clea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2584" w:type="dxa"/>
            <w:gridSpan w:val="12"/>
            <w:tcBorders/>
            <w:shd w:fill="auto" w:val="clea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283"/>
        <w:ind w:left="0" w:right="0" w:hanging="27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March 31</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increased $385 million (46.6%), due to higher net pricing (31.6 pp), the impact of an acquisition (19.1 pp) and favorable volume/mix (7.4 pp), partially offset by unfavorable currency (9.9 pp) and the impact of divestitures (1.6 pp). Higher net pricing, driven by input cost-driven pricing actions, was reflected across all categories, primarily in Argentina, Brazil and Mexico. The November 1, 2022 acquisition of Ricolino added incremental net revenues of $156 million (constant currency basis) in the first quarter of 2023. Favorable volume/mix reflected strong volume growth as the region continued to see increased demand for our snack category products. Favorable volume/mix was driven by gains in gum, biscuits &amp; baked snacks, chocolate, candy and cheese &amp; grocery, partially offset by a decline in refreshment beverages. Unfavorable currency impacts were primarily due to the strength of the U.S. dollar relative to several currencies in the region, primarily the Argentinean peso and Colombian peso, partially offset by the strength of several currencies relative to the U.S. dollar, primarily the Mexican peso. The impact of divestitures resulted in a year-over-year decline in net revenues of $9 million.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$36 million (35.0%), primarily due to higher net pricing and favorable volume/mix. These favorable items were partially offset by higher raw material costs, higher other selling, general and administrative expenses, higher advertising and consumer promotion costs, higher remeasurement loss on net monetary position and acquisition integration costs incurred in the first quarter of 2023.</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AMEA</w:t>
      </w:r>
    </w:p>
    <w:tbl>
      <w:tblPr>
        <w:tblW w:w="7396" w:type="dxa"/>
        <w:jc w:val="left"/>
        <w:tblInd w:w="0" w:type="dxa"/>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50"/>
        <w:gridCol w:w="446"/>
        <w:gridCol w:w="130"/>
        <w:gridCol w:w="109"/>
        <w:gridCol w:w="109"/>
        <w:gridCol w:w="109"/>
        <w:gridCol w:w="270"/>
        <w:gridCol w:w="271"/>
        <w:gridCol w:w="563"/>
      </w:tblGrid>
      <w:tr>
        <w:trPr/>
        <w:tc>
          <w:tcPr>
            <w:tcW w:w="88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5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56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8"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1431" w:type="dxa"/>
            <w:gridSpan w:val="6"/>
            <w:tcBorders/>
            <w:shd w:fill="auto" w:val="clea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2584" w:type="dxa"/>
            <w:gridSpan w:val="12"/>
            <w:tcBorders/>
            <w:shd w:fill="auto" w:val="clea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March 31</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increased $72 million (3.9%), due to higher net pricing (8.0 pp) and favorable volume/mix (5.8 pp), partially offset by unfavorable currency (9.9 pp). Higher net pricing, driven by input cost-driven pricing actions, was reflected across all categories. Favorable volume/mix reflected overall volume gains from increased demand for our snack category products. Favorable volume/mix was driven by gains in chocolate, biscuits &amp; baked snacks, refreshment beverages and candy, partially offset by declines in gum and cheese &amp; grocery. Unfavorable currency impacts were due to the strength of the U.S. dollar relative to most currencies in the region, including the Indian rupee, Egyptian pound, Chinese yuan, Australian dollar, Pakistan rupee and South African Rand.</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Segment operating income increased $88 million (32.4%), primarily due to higher net pricing, lapping prior-year intangible asset impairment charges, favorable volume/mix, lower other selling, general and administrative expenses and lower manufacturing costs driven by productivity. These favorable items were partially offset by higher raw material costs, unfavorable currency, higher advertising and consumer promotion costs and higher fixed asset impairment charges. </w:t>
      </w:r>
    </w:p>
    <w:p>
      <w:pPr>
        <w:pStyle w:val="TextBody"/>
        <w:spacing w:before="0" w:after="0"/>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44" name="Frame4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Europe</w:t>
      </w:r>
    </w:p>
    <w:tbl>
      <w:tblPr>
        <w:tblW w:w="7396" w:type="dxa"/>
        <w:jc w:val="left"/>
        <w:tblInd w:w="0" w:type="dxa"/>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17"/>
        <w:gridCol w:w="496"/>
        <w:gridCol w:w="113"/>
        <w:gridCol w:w="109"/>
        <w:gridCol w:w="109"/>
        <w:gridCol w:w="109"/>
        <w:gridCol w:w="270"/>
        <w:gridCol w:w="271"/>
        <w:gridCol w:w="563"/>
      </w:tblGrid>
      <w:tr>
        <w:trPr/>
        <w:tc>
          <w:tcPr>
            <w:tcW w:w="88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5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56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8"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1431" w:type="dxa"/>
            <w:gridSpan w:val="6"/>
            <w:tcBorders/>
            <w:shd w:fill="auto" w:val="clea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2584" w:type="dxa"/>
            <w:gridSpan w:val="12"/>
            <w:tcBorders/>
            <w:shd w:fill="auto" w:val="clea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March 31</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increased $372 million (12.7%), due to higher net pricing (17.9 pp) and favorable volume/mix (1.0 pp), partially offset by unfavorable currency (6.2 pp). Higher net pricing, driven by input cost-driven pricing actions, was reflected across all categories. Favorable volume/mix was driven by gains in chocolate, gum, candy and refreshment beverages, partially offset by declines in biscuits &amp; baked snacks and cheese &amp; grocery. Unfavorable currency impacts reflected the strength of the U.S. dollar relative to most currencies across the region, including the British pound sterling, euro, Turkish lira, Norwegian krone, Ukrainian hryvnya, Swedish krona and Polish zloty, partially offset by the strength of a few currencies relative to the U.S. dollar, primarily the Russian ruble.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$130 million (34.5%), primarily due to higher net pricing, lapping the prior-year incremental costs incurred due to the war in Ukraine, lower other selling, general and administrative expenses, lower acquisition integration costs and favorable volume/mix. These favorable items were partially offset by higher raw material costs, unfavorable currency, higher manufacturing costs, divestiture-related costs incurred in the first quarter of 2023, higher costs incurred for the Simplify to Grow program and higher advertising and consumer promotion costs.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North America</w:t>
      </w:r>
    </w:p>
    <w:tbl>
      <w:tblPr>
        <w:tblW w:w="7396" w:type="dxa"/>
        <w:jc w:val="left"/>
        <w:tblInd w:w="0" w:type="dxa"/>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17"/>
        <w:gridCol w:w="496"/>
        <w:gridCol w:w="113"/>
        <w:gridCol w:w="109"/>
        <w:gridCol w:w="109"/>
        <w:gridCol w:w="109"/>
        <w:gridCol w:w="270"/>
        <w:gridCol w:w="271"/>
        <w:gridCol w:w="563"/>
      </w:tblGrid>
      <w:tr>
        <w:trPr/>
        <w:tc>
          <w:tcPr>
            <w:tcW w:w="88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5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56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8"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1431" w:type="dxa"/>
            <w:gridSpan w:val="6"/>
            <w:tcBorders/>
            <w:shd w:fill="auto" w:val="clea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2584" w:type="dxa"/>
            <w:gridSpan w:val="12"/>
            <w:tcBorders/>
            <w:shd w:fill="auto" w:val="clea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March 31</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increased $573 million (26.8%), due to higher net pricing (15.0 pp), the impact of acquisitions (10.2 pp) and favorable volume/mix (2.3 pp), partially offset by unfavorable currency (0.7 pp). Higher net pricing, driven by input cost-driven pricing actions, was reflected across all categories. The August 1, 2022 acquisition of Clif Bar added incremental net revenues of $218 million in the first quarter of 2023. Favorable volume/mix was driven by gains in biscuits &amp; baked snacks, gum and chocolate, partially offset by a decline in candy. Unfavorable currency impact was due to the strength of the U.S. dollar relative to the Canadian dollar.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$148 million (35.4%), primarily due to higher net pricing, the impact of an acquisition, lower costs incurred for the Simplify to Grow Program and favorable volume/mix. These favorable items were partially offset by higher raw material costs, higher acquisition integration costs and contingent consideration adjustments, higher advertising and consumer promotion costs, higher other selling, general and administrative expenses, higher manufacturing costs and higher fixed asset impairment charges.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5" name="Frame4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Liquidity and Capital Resources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that cash from operations, our revolving credit facilities, short-term borrowings and our authorized long-term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Our investments in JDE Peet's and KDP also provide us additional flexibility. Overall, we do not expect negative effects to our funding sources that would have a material effect on our liquidity, and we continue to monitor our operations in Europe and related effects from the war in Ukraine.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one-time non-operating items. </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Long-term cash requirements primarily relate to funding long-term debt repayments (refer to Note 8, </w:t>
      </w:r>
      <w:r>
        <w:rPr>
          <w:rFonts w:ascii="Arial;sans-serif" w:hAnsi="Arial;sans-serif"/>
          <w:b w:val="false"/>
          <w:i/>
          <w:color w:val="000000"/>
          <w:sz w:val="20"/>
        </w:rPr>
        <w:t>Debt and Borrowing Arrangements</w:t>
      </w:r>
      <w:r>
        <w:rPr>
          <w:rFonts w:ascii="Arial;sans-serif" w:hAnsi="Arial;sans-serif"/>
          <w:b w:val="false"/>
          <w:color w:val="000000"/>
          <w:sz w:val="20"/>
        </w:rPr>
        <w:t xml:space="preserve">), our U.S. tax reform transition tax liability and deferred taxes (refer to Note 16,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 xml:space="preserve">in our Annual Report on Form 10-K), our long-term benefit plan obligations (refer to Note 10, </w:t>
      </w:r>
      <w:r>
        <w:rPr>
          <w:rFonts w:ascii="Arial;sans-serif" w:hAnsi="Arial;sans-serif"/>
          <w:b w:val="false"/>
          <w:i/>
          <w:color w:val="000000"/>
          <w:sz w:val="20"/>
        </w:rPr>
        <w:t xml:space="preserve">Benefit Plans,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Note 11</w:t>
      </w:r>
      <w:r>
        <w:rPr>
          <w:rFonts w:ascii="Arial;sans-serif" w:hAnsi="Arial;sans-serif"/>
          <w:b w:val="false"/>
          <w:i/>
          <w:color w:val="000000"/>
          <w:sz w:val="20"/>
        </w:rPr>
        <w:t>, Benefit Plans,</w:t>
      </w:r>
      <w:r>
        <w:rPr>
          <w:color w:val="000000"/>
        </w:rPr>
        <w:t xml:space="preserve"> </w:t>
      </w:r>
      <w:r>
        <w:rPr>
          <w:rFonts w:ascii="Arial;sans-serif" w:hAnsi="Arial;sans-serif"/>
          <w:b w:val="false"/>
          <w:color w:val="000000"/>
          <w:sz w:val="20"/>
        </w:rPr>
        <w:t xml:space="preserve">in our Annual report on Form 10-K) and commodity-related purchase commitments and derivative contracts (refer to Note 9, </w:t>
      </w:r>
      <w:r>
        <w:rPr>
          <w:rFonts w:ascii="Arial;sans-serif" w:hAnsi="Arial;sans-serif"/>
          <w:b w:val="false"/>
          <w:i/>
          <w:color w:val="000000"/>
          <w:sz w:val="20"/>
        </w:rPr>
        <w:t>Financial Instruments</w:t>
      </w:r>
      <w:r>
        <w:rPr>
          <w:rFonts w:ascii="Arial;sans-serif" w:hAnsi="Arial;sans-serif"/>
          <w:b w:val="false"/>
          <w:color w:val="000000"/>
          <w:sz w:val="20"/>
        </w:rPr>
        <w:t>).</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We generally fund short- and long-term cash requirements with cash from operating activities as well as cash proceeds from short- and long-term debt financing (refer to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 xml:space="preserve">below). We generally do not use equity to fund our ongoing obligations.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is noted below:</w:t>
      </w:r>
    </w:p>
    <w:p>
      <w:pPr>
        <w:pStyle w:val="TextBody"/>
        <w:spacing w:before="0" w:after="0"/>
        <w:jc w:val="both"/>
        <w:rPr/>
      </w:pPr>
      <w:r>
        <w:rPr/>
      </w:r>
    </w:p>
    <w:tbl>
      <w:tblPr>
        <w:tblW w:w="6554" w:type="dxa"/>
        <w:jc w:val="left"/>
        <w:tblInd w:w="0" w:type="dxa"/>
        <w:tblCellMar>
          <w:top w:w="28" w:type="dxa"/>
          <w:left w:w="28" w:type="dxa"/>
          <w:bottom w:w="28" w:type="dxa"/>
          <w:right w:w="28" w:type="dxa"/>
        </w:tblCellMar>
      </w:tblPr>
      <w:tblGrid>
        <w:gridCol w:w="1613"/>
        <w:gridCol w:w="1418"/>
        <w:gridCol w:w="1424"/>
        <w:gridCol w:w="211"/>
        <w:gridCol w:w="706"/>
        <w:gridCol w:w="109"/>
        <w:gridCol w:w="211"/>
        <w:gridCol w:w="706"/>
        <w:gridCol w:w="156"/>
      </w:tblGrid>
      <w:tr>
        <w:trPr/>
        <w:tc>
          <w:tcPr>
            <w:tcW w:w="1613"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Three months ended March 31,</w:t>
            </w:r>
          </w:p>
        </w:tc>
        <w:tc>
          <w:tcPr>
            <w:tcW w:w="1026" w:type="dxa"/>
            <w:gridSpan w:val="3"/>
            <w:tcBorders/>
            <w:shd w:fill="auto" w:val="clear"/>
            <w:tcMar>
              <w:top w:w="0" w:type="dxa"/>
              <w:left w:w="0" w:type="dxa"/>
              <w:bottom w:w="0" w:type="dxa"/>
              <w:right w:w="0" w:type="dxa"/>
            </w:tcMar>
            <w:vAlign w:val="center"/>
          </w:tcPr>
          <w:p>
            <w:pPr>
              <w:pStyle w:val="TableContents"/>
              <w:spacing w:lineRule="auto" w:line="223" w:before="0" w:after="0"/>
              <w:jc w:val="center"/>
              <w:rPr>
                <w:rFonts w:ascii="Arial;sans-serif" w:hAnsi="Arial;sans-serif"/>
                <w:b/>
                <w:color w:val="000000"/>
                <w:sz w:val="20"/>
              </w:rPr>
            </w:pPr>
            <w:r>
              <w:rPr>
                <w:rFonts w:ascii="Arial;sans-serif" w:hAnsi="Arial;sans-serif"/>
                <w:b/>
                <w:color w:val="000000"/>
                <w:sz w:val="20"/>
              </w:rPr>
              <w:t>2023</w:t>
            </w:r>
          </w:p>
        </w:tc>
        <w:tc>
          <w:tcPr>
            <w:tcW w:w="1073" w:type="dxa"/>
            <w:gridSpan w:val="3"/>
            <w:tcBorders/>
            <w:shd w:fill="auto" w:val="clear"/>
            <w:tcMar>
              <w:top w:w="0" w:type="dxa"/>
              <w:left w:w="0" w:type="dxa"/>
              <w:bottom w:w="0" w:type="dxa"/>
              <w:right w:w="0" w:type="dxa"/>
            </w:tcMar>
            <w:vAlign w:val="center"/>
          </w:tcPr>
          <w:p>
            <w:pPr>
              <w:pStyle w:val="TableContents"/>
              <w:spacing w:lineRule="auto" w:line="223" w:before="0" w:after="0"/>
              <w:ind w:left="0" w:right="0" w:firstLine="25"/>
              <w:jc w:val="center"/>
              <w:rPr>
                <w:rFonts w:ascii="Arial;sans-serif" w:hAnsi="Arial;sans-serif"/>
                <w:b/>
                <w:color w:val="000000"/>
                <w:sz w:val="20"/>
              </w:rPr>
            </w:pPr>
            <w:r>
              <w:rPr>
                <w:rFonts w:ascii="Arial;sans-serif" w:hAnsi="Arial;sans-serif"/>
                <w:b/>
                <w:color w:val="000000"/>
                <w:sz w:val="20"/>
              </w:rPr>
              <w:t>2022</w:t>
            </w:r>
          </w:p>
        </w:tc>
      </w:tr>
      <w:tr>
        <w:trPr/>
        <w:tc>
          <w:tcPr>
            <w:tcW w:w="445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firstLine="25"/>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cash provided by/(used in) investing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(1,441)</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firstLine="25"/>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Provided by Operating Activities</w:t>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change in net cash provided by operating activities was essentially flat primarily due to increased year-over-year working capital requirements offset by an increase in cash-basis net earnings. This is largely a result of business growth and acquisitions completed during 2022.</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(Used in)/Provided by Investing Activities</w:t>
      </w:r>
    </w:p>
    <w:p>
      <w:pPr>
        <w:pStyle w:val="TextBody"/>
        <w:spacing w:lineRule="auto" w:line="288" w:before="0" w:after="0"/>
        <w:jc w:val="both"/>
        <w:rPr/>
      </w:pPr>
      <w:r>
        <w:rPr>
          <w:rFonts w:ascii="Arial;sans-serif" w:hAnsi="Arial;sans-serif"/>
          <w:b w:val="false"/>
          <w:color w:val="000000"/>
          <w:sz w:val="20"/>
        </w:rPr>
        <w:t xml:space="preserve">The improvement in net cash provided by/used in investing activities was largely driven by current year proceeds from the KDP share sale (refer to Note 6, </w:t>
      </w:r>
      <w:r>
        <w:rPr>
          <w:rFonts w:ascii="Arial;sans-serif" w:hAnsi="Arial;sans-serif"/>
          <w:b w:val="false"/>
          <w:i/>
          <w:color w:val="000000"/>
          <w:sz w:val="20"/>
        </w:rPr>
        <w:t>Investments</w:t>
      </w:r>
      <w:r>
        <w:rPr>
          <w:rFonts w:ascii="Arial;sans-serif" w:hAnsi="Arial;sans-serif"/>
          <w:b w:val="false"/>
          <w:color w:val="000000"/>
          <w:sz w:val="20"/>
        </w:rPr>
        <w:t xml:space="preserve">) and lapping prior-year cash consideration paid for the Chipita acquisition (refer to Note 2, </w:t>
      </w:r>
      <w:r>
        <w:rPr>
          <w:rFonts w:ascii="Arial;sans-serif" w:hAnsi="Arial;sans-serif"/>
          <w:b w:val="false"/>
          <w:i/>
          <w:color w:val="000000"/>
          <w:sz w:val="20"/>
        </w:rPr>
        <w:t>Acquisitions and Divestitures</w:t>
      </w:r>
      <w:r>
        <w:rPr>
          <w:rFonts w:ascii="Arial;sans-serif" w:hAnsi="Arial;sans-serif"/>
          <w:b w:val="false"/>
          <w:color w:val="000000"/>
          <w:sz w:val="20"/>
        </w:rPr>
        <w:t>). We continue to make capital expenditures primarily to modernize manufacturing facilities, implement new product manufacturing and support productivity initiatives. We expect 2023 capital expenditures to be up to $1.2 billion, including capital expenditures in connection with our Simplify to Grow Program and for funding our strategic priorities. We expect to continue to fund these expenditures with cash from operations.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6" name="Frame4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Used in Financing Activities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increase in cash used in financing activities was primarily due to lower debt proceeds, partially offset by lower debt repayments and lower share repurchases in the first three months of 2023 compared to the same prior-year period.</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Dividends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paid dividends of $529 million in the first three months of 2023 and $491 million in the first three months of 2022. The first quarter 2023 dividend of $0.385 per share, declared on February 1, 2023 for shareholders of record as of March 31, 2023, was paid on April 14, 2023.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anticipate that the 2023 distributions will be characterized as dividends under U.S. federal income tax rules. The final determination will be made on an IRS Form 1099–DIV issued in early 2024.</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Guarantees</w:t>
      </w:r>
    </w:p>
    <w:p>
      <w:pPr>
        <w:pStyle w:val="TextBody"/>
        <w:spacing w:lineRule="auto" w:line="288" w:before="0" w:after="0"/>
        <w:jc w:val="both"/>
        <w:rPr/>
      </w:pPr>
      <w:r>
        <w:rPr>
          <w:rFonts w:ascii="Arial;sans-serif" w:hAnsi="Arial;sans-serif"/>
          <w:b w:val="false"/>
          <w:color w:val="000000"/>
          <w:sz w:val="20"/>
        </w:rPr>
        <w:t xml:space="preserve">As discussed in Note 12, </w:t>
      </w:r>
      <w:r>
        <w:rPr>
          <w:rFonts w:ascii="Arial;sans-serif" w:hAnsi="Arial;sans-serif"/>
          <w:b w:val="false"/>
          <w:i/>
          <w:color w:val="000000"/>
          <w:sz w:val="20"/>
        </w:rPr>
        <w:t>Commitments and Contingencies</w:t>
      </w:r>
      <w:r>
        <w:rPr>
          <w:rFonts w:ascii="Arial;sans-serif" w:hAnsi="Arial;sans-serif"/>
          <w:b w:val="false"/>
          <w:color w:val="000000"/>
          <w:sz w:val="20"/>
        </w:rPr>
        <w:t>, we enter into third-party guarantees primarily to cover the long-term obligations of our vendors. As part of these transactions, we guarantee that third parties will make contractual payments or achieve performance measures. At March 31, 2023, we had no material third-party guarantees recorded on our condensed consolidated balance sheet. Guarantees do not have, and we do not expect them to have, a material effect on our liquidity.</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Debt</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nature and amount of our long-term and short-term debt and the proportionate amount of each varies as a result of current and expected business requirements, market conditions and other factors. As such, we may issue commercial paper or secure other forms of financing throughout the year to meet short-term working capital or other financing needs.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its July 2022 meeting, the Board of Directors approved a new $2 billion long-term financing authorization that replaced the prior long-term financing authorization of $7 billion. As of March 31, 2023, $1.5 billion of the long-term financing authorization remained available.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total debt was $22.2 billion at March 31, 2023 and $22.9 billion at December 31, 2022. Our debt-to-capitalization ratio was 0.44 at March 31, 2023 and 0.46 at December 31, 2022. At March 31, 2023, the weighted-average term of our outstanding long-term debt was 8.2 years. Our average daily commercial paper borrowings outstanding were $2.8 billion in the first three months of 2023 and $1.2 billion in the first three months of 2022.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One of our subsidiaries, Mondelez International Holdings Netherlands B.V. (“MIHN”), has outstanding debt. The operations held by MIHN generated approximately 72.8% (or $6.7 billion) of the $9.2 billion of consolidated net revenue in the three months ended March 31, 2023. The operations held by MIHN represented approximately 82.7% (or $23.4 billion) of the $28.3 billion of net assets as of March 31, 2023.</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Refer to Note 8, </w:t>
      </w:r>
      <w:r>
        <w:rPr>
          <w:rFonts w:ascii="Arial;sans-serif" w:hAnsi="Arial;sans-serif"/>
          <w:b w:val="false"/>
          <w:i/>
          <w:color w:val="000000"/>
          <w:sz w:val="20"/>
        </w:rPr>
        <w:t xml:space="preserve">Debt and Borrowing Arrangements, </w:t>
      </w:r>
      <w:r>
        <w:rPr>
          <w:rFonts w:ascii="Arial;sans-serif" w:hAnsi="Arial;sans-serif"/>
          <w:b w:val="false"/>
          <w:color w:val="000000"/>
          <w:sz w:val="20"/>
        </w:rPr>
        <w:t>for more information on our debt and debt covenants.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Commodity Trends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regularly monitor worldwide supply, commodity cost and currency trends so we can cost-effectively secure ingredients, packaging and fuel required for production. During the first three months of 2023, the primary drivers of the increase in our aggregate commodity costs were higher dairy, energy, edible oils, sugar, grains, packaging, nuts, cocoa and other ingredient costs, as well as unfavorable year-over-year currency exchange transaction costs on imported materials.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number of external factors such as the current macroeconomic environment, including global inflation, effects of the war in Ukraine, climate and weather conditions, commodity, transportation and labor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0520"/>
                <wp:effectExtent l="0" t="0" r="0" b="0"/>
                <wp:wrapNone/>
                <wp:docPr id="47" name="Frame4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result of international supply chain, transportation and labor market disruptions and generally higher commodity, transportation and labor costs in the first three months of 2023, we expect price volatility and a higher aggregate cost environment to continue. While the costs of our principal raw materials fluctuate, we believe there will continue to be an adequate supply of the raw materials we use and that they will generally remain available.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Significant Accounting Estimates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2022. Our significant accounting estimates are described in </w:t>
      </w:r>
      <w:r>
        <w:rPr>
          <w:rFonts w:ascii="Arial;sans-serif" w:hAnsi="Arial;sans-serif"/>
          <w:b w:val="false"/>
          <w:i/>
          <w:color w:val="000000"/>
          <w:sz w:val="20"/>
        </w:rPr>
        <w:t>Management’s Discussion and Analysis of Financial Condition and Results of Operations</w:t>
      </w:r>
      <w:r>
        <w:rPr>
          <w:color w:val="000000"/>
        </w:rPr>
        <w:t xml:space="preserve"> </w:t>
      </w:r>
      <w:r>
        <w:rPr>
          <w:rFonts w:ascii="Arial;sans-serif" w:hAnsi="Arial;sans-serif"/>
          <w:b w:val="false"/>
          <w:color w:val="000000"/>
          <w:sz w:val="20"/>
        </w:rPr>
        <w:t xml:space="preserve">in our Annual Report on Form 10-K for the year ended December 31, 2022. See also Note 1, </w:t>
      </w:r>
      <w:r>
        <w:rPr>
          <w:rFonts w:ascii="Arial;sans-serif" w:hAnsi="Arial;sans-serif"/>
          <w:b w:val="false"/>
          <w:i/>
          <w:color w:val="000000"/>
          <w:sz w:val="20"/>
        </w:rPr>
        <w:t>Basis of Presentation</w:t>
      </w:r>
      <w:r>
        <w:rPr>
          <w:rFonts w:ascii="Arial;sans-serif" w:hAnsi="Arial;sans-serif"/>
          <w:b w:val="false"/>
          <w:color w:val="000000"/>
          <w:sz w:val="20"/>
        </w:rPr>
        <w:t>, in this report.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jc w:val="both"/>
        <w:rPr>
          <w:rFonts w:ascii="Arial;sans-serif" w:hAnsi="Arial;sans-serif"/>
          <w:b/>
          <w:color w:val="000000"/>
          <w:sz w:val="20"/>
        </w:rPr>
      </w:pPr>
      <w:r>
        <w:rPr>
          <w:rFonts w:ascii="Arial;sans-serif" w:hAnsi="Arial;sans-serif"/>
          <w:b/>
          <w:color w:val="000000"/>
          <w:sz w:val="20"/>
        </w:rPr>
        <w:t>Forward-Looking Statements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“potential,” “commitment,” “outlook,” “continue” or any other similar words.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or performance to differ materially from those contained in or implied by our forward-looking statements include, but are not limited to, the following: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weakness in macroeconomic conditions in our markets, including as a result of inflation (and related monetary policy actions by governments in response to inflation), instability of certain financial institutions, volatility of commodity and other input costs and availability of commodities;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geopolitical uncertainty, including the impact of ongoing or new developments in the war in Ukraine, related current and future sanctions imposed by governments and other authorities and related impacts, including on our business operations, employees, reputation, brands, financial condition and results of operations;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global or regional health pandemics or epidemics, including COVID-19;</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competition and our response to channel shifts and pricing and other competitive pressures;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pricing actions;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promotion and protection of our reputation and brand image;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weakness in consumer spending and/or changes in consumer preferences and demand and our ability to predict, identify, interpret and meet these changes;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risks from operating globally, including in emerging markets, such as political, economic and regulatory risks;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the outcome and effects on us of legal and tax proceedings and government investigations, including the European Commission legal matter;</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use of information technology and third party service providers;</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48" name="Frame4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unanticipated disruptions to our business, such as malware incidents, cyberattacks or other security breaches, and supply, commodity, labor and transportation constraints;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our ability to identify, complete, manage and realize the full extent of the benefits, cost savings or synergies presented by strategic transactions, including our recently completed acquisitions of Ricolino, Clif Bar, Chipita, Gourmet Food, Grenade and Hu, and the anticipated closing of our planned divestiture of our developed market gum business in North America and Europe;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our investments and our ownership interests in those investments, including JDE Peet's and KDP;</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the restructuring program and our other transformation initiatives not yielding the anticipated benefits;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changes in the assumptions on which the restructuring program is based;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the impact of climate change on our supply chain and operations;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consolidation of retail customers and competition with retailer and other economy brands;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changes in our relationships with customers, suppliers or distributors;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management of our workforce and shifts in labor availability or labor costs;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compliance with legal, regulatory, tax and benefit laws and related changes, claims or actions;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perceived or actual product quality issues or product recalls;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failure to maintain effective internal control over financial reporting or disclosure controls and procedures;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our ability to protect our intellectual property and intangible assets;</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tax matters including changes in tax laws and rates, disagreements with taxing authorities and imposition of new taxes;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changes in currency exchange rates, controls and restrictions;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volatility of and access to capital or other markets, the effectiveness of our cash management programs and our liquidity;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pension costs;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significant changes in valuation factors that may adversely affect our impairment testing of goodwill and intangible assets; and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the risks and uncertainties, as they may be amended from time to time, set forth in our filings with the U.S. Securities and Exchange Commission, including our Annual Report on Form 10-K for the year ended December 31, 2022 and subsequent Quarterly Reports on Form 10-Q.</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Non-GAAP Financial Measures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U.S. GAAP and non-GAAP financial measures below, and we also discuss our underlying U.S. GAAP results throughout our </w:t>
      </w:r>
      <w:r>
        <w:rPr>
          <w:rFonts w:ascii="Arial;sans-serif" w:hAnsi="Arial;sans-serif"/>
          <w:b w:val="false"/>
          <w:i/>
          <w:color w:val="000000"/>
          <w:sz w:val="20"/>
        </w:rPr>
        <w:t>Management’s Discussion and Analysis of Financial Condition and Results of Operations</w:t>
      </w:r>
      <w:r>
        <w:rPr>
          <w:color w:val="000000"/>
        </w:rPr>
        <w:t xml:space="preserve"> </w:t>
      </w:r>
      <w:r>
        <w:rPr>
          <w:rFonts w:ascii="Arial;sans-serif" w:hAnsi="Arial;sans-serif"/>
          <w:b w:val="false"/>
          <w:color w:val="000000"/>
          <w:sz w:val="20"/>
        </w:rPr>
        <w:t>in this Form 10-Q.</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sans-serif" w:hAnsi="Arial;sans-serif"/>
          <w:b w:val="false"/>
          <w:color w:val="000000"/>
          <w:sz w:val="12"/>
        </w:rPr>
        <w:t>(1)</w:t>
      </w:r>
      <w:r>
        <w:rPr>
          <w:rFonts w:ascii="Arial;sans-serif" w:hAnsi="Arial;sans-serif"/>
          <w:b w:val="false"/>
          <w:color w:val="000000"/>
          <w:sz w:val="20"/>
        </w:rPr>
        <w: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Organic Net Revenue” is defined as net revenues excluding the impacts of acquisitions, divestitures </w:t>
      </w:r>
      <w:r>
        <w:rPr>
          <w:rFonts w:ascii="Arial;sans-serif" w:hAnsi="Arial;sans-serif"/>
          <w:b w:val="false"/>
          <w:color w:val="000000"/>
          <w:sz w:val="13"/>
        </w:rPr>
        <w:t xml:space="preserve">(2) </w:t>
      </w:r>
      <w:r>
        <w:rPr>
          <w:rFonts w:ascii="Arial;sans-serif" w:hAnsi="Arial;sans-serif"/>
          <w:b w:val="false"/>
          <w:color w:val="000000"/>
          <w:sz w:val="20"/>
        </w:rPr>
        <w:t xml:space="preserve">and currency rate fluctuations </w:t>
      </w:r>
      <w:r>
        <w:rPr>
          <w:rFonts w:ascii="Arial;sans-serif" w:hAnsi="Arial;sans-serif"/>
          <w:b w:val="false"/>
          <w:color w:val="000000"/>
          <w:sz w:val="13"/>
        </w:rPr>
        <w:t>(3)</w:t>
      </w:r>
      <w:r>
        <w:rPr>
          <w:rFonts w:ascii="Arial;sans-serif" w:hAnsi="Arial;sans-serif"/>
          <w:b w:val="false"/>
          <w:color w:val="000000"/>
          <w:sz w:val="20"/>
        </w:rPr>
        <w:t xml:space="preserve">. We also evaluate Organic Net Revenue growth from emerging markets and developed markets.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0520"/>
                <wp:effectExtent l="0" t="0" r="0" b="0"/>
                <wp:wrapNone/>
                <wp:docPr id="49" name="Frame4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Our emerging markets include our Latin America region in its entirety; the AMEA region, excluding Australia, New Zealand and Japan; and the following countries from the Europe region: Russia, Ukraine, Türkiye, Kazakhstan, Georgia, Poland, Czech Republic, Slovak Republic, Hungary, Bulgaria, Romania, the Baltics and the East Adriatic countries. </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Our developed markets include the entire North America region, the Europe region excluding the countries included in the emerging markets definition, and Australia, New Zealand and Japan from the AMEA region.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Adjusted Operating Income” is defined as operating income excluding the impacts of the Simplify to Grow Program </w:t>
      </w:r>
      <w:r>
        <w:rPr>
          <w:rFonts w:ascii="Arial;sans-serif" w:hAnsi="Arial;sans-serif"/>
          <w:b w:val="false"/>
          <w:color w:val="000000"/>
          <w:sz w:val="13"/>
        </w:rPr>
        <w:t>(4)</w:t>
      </w:r>
      <w:r>
        <w:rPr>
          <w:rFonts w:ascii="Arial;sans-serif" w:hAnsi="Arial;sans-serif"/>
          <w:b w:val="false"/>
          <w:color w:val="000000"/>
          <w:sz w:val="20"/>
        </w:rPr>
        <w:t>; gains or losses (including non-cash impairment charges) on goodwill and intangible assets; divestiture </w:t>
      </w:r>
      <w:r>
        <w:rPr>
          <w:rFonts w:ascii="Arial;sans-serif" w:hAnsi="Arial;sans-serif"/>
          <w:b w:val="false"/>
          <w:color w:val="000000"/>
          <w:sz w:val="13"/>
        </w:rPr>
        <w:t>(2)</w:t>
      </w:r>
      <w:r>
        <w:rPr>
          <w:color w:val="000000"/>
        </w:rPr>
        <w:t> </w:t>
      </w:r>
      <w:r>
        <w:rPr>
          <w:rFonts w:ascii="Arial;sans-serif" w:hAnsi="Arial;sans-serif"/>
          <w:b w:val="false"/>
          <w:color w:val="000000"/>
          <w:sz w:val="20"/>
        </w:rPr>
        <w:t xml:space="preserve">or acquisition gains or losses, divestiture-related costs </w:t>
      </w:r>
      <w:r>
        <w:rPr>
          <w:rFonts w:ascii="Arial;sans-serif" w:hAnsi="Arial;sans-serif"/>
          <w:b w:val="false"/>
          <w:color w:val="000000"/>
          <w:sz w:val="13"/>
        </w:rPr>
        <w:t>(5)</w:t>
      </w:r>
      <w:r>
        <w:rPr>
          <w:rFonts w:ascii="Arial;sans-serif" w:hAnsi="Arial;sans-serif"/>
          <w:b w:val="false"/>
          <w:color w:val="000000"/>
          <w:sz w:val="20"/>
        </w:rPr>
        <w:t xml:space="preserve">, acquisition-related costs </w:t>
      </w:r>
      <w:r>
        <w:rPr>
          <w:rFonts w:ascii="Arial;sans-serif" w:hAnsi="Arial;sans-serif"/>
          <w:b w:val="false"/>
          <w:color w:val="000000"/>
          <w:sz w:val="13"/>
        </w:rPr>
        <w:t>(6)</w:t>
      </w:r>
      <w:r>
        <w:rPr>
          <w:rFonts w:ascii="Arial;sans-serif" w:hAnsi="Arial;sans-serif"/>
          <w:b w:val="false"/>
          <w:color w:val="000000"/>
          <w:sz w:val="20"/>
        </w:rPr>
        <w:t xml:space="preserve">, and acquisition integration costs and contingent consideration adjustments </w:t>
      </w:r>
      <w:r>
        <w:rPr>
          <w:rFonts w:ascii="Arial;sans-serif" w:hAnsi="Arial;sans-serif"/>
          <w:b w:val="false"/>
          <w:color w:val="000000"/>
          <w:sz w:val="13"/>
        </w:rPr>
        <w:t>(7)</w:t>
      </w:r>
      <w:r>
        <w:rPr>
          <w:rFonts w:ascii="Arial;sans-serif" w:hAnsi="Arial;sans-serif"/>
          <w:b w:val="false"/>
          <w:color w:val="000000"/>
          <w:sz w:val="20"/>
        </w:rPr>
        <w:t xml:space="preserve">; inventory step-up charges </w:t>
      </w:r>
      <w:r>
        <w:rPr>
          <w:rFonts w:ascii="Arial;sans-serif" w:hAnsi="Arial;sans-serif"/>
          <w:b w:val="false"/>
          <w:color w:val="000000"/>
          <w:sz w:val="13"/>
        </w:rPr>
        <w:t>(8)</w:t>
      </w:r>
      <w:r>
        <w:rPr>
          <w:rFonts w:ascii="Arial;sans-serif" w:hAnsi="Arial;sans-serif"/>
          <w:b w:val="false"/>
          <w:color w:val="000000"/>
          <w:sz w:val="20"/>
        </w:rPr>
        <w:t xml:space="preserve">; the operating results of divestitures </w:t>
      </w:r>
      <w:r>
        <w:rPr>
          <w:rFonts w:ascii="Arial;sans-serif" w:hAnsi="Arial;sans-serif"/>
          <w:b w:val="false"/>
          <w:color w:val="000000"/>
          <w:sz w:val="13"/>
        </w:rPr>
        <w:t>(2)</w:t>
      </w:r>
      <w:r>
        <w:rPr>
          <w:rFonts w:ascii="Arial;sans-serif" w:hAnsi="Arial;sans-serif"/>
          <w:b w:val="false"/>
          <w:color w:val="000000"/>
          <w:sz w:val="20"/>
        </w:rPr>
        <w:t xml:space="preserve">; remeasurement of net monetary position </w:t>
      </w:r>
      <w:r>
        <w:rPr>
          <w:rFonts w:ascii="Arial;sans-serif" w:hAnsi="Arial;sans-serif"/>
          <w:b w:val="false"/>
          <w:color w:val="000000"/>
          <w:sz w:val="13"/>
        </w:rPr>
        <w:t>(9)</w:t>
      </w:r>
      <w:r>
        <w:rPr>
          <w:rFonts w:ascii="Arial;sans-serif" w:hAnsi="Arial;sans-serif"/>
          <w:b w:val="false"/>
          <w:color w:val="000000"/>
          <w:sz w:val="20"/>
        </w:rPr>
        <w:t xml:space="preserve">; mark-to-market impacts from commodity, forecasted currency and equity method investment transaction derivative contracts </w:t>
      </w:r>
      <w:r>
        <w:rPr>
          <w:rFonts w:ascii="Arial;sans-serif" w:hAnsi="Arial;sans-serif"/>
          <w:b w:val="false"/>
          <w:color w:val="000000"/>
          <w:sz w:val="13"/>
        </w:rPr>
        <w:t>(10)</w:t>
      </w:r>
      <w:r>
        <w:rPr>
          <w:rFonts w:ascii="Arial;sans-serif" w:hAnsi="Arial;sans-serif"/>
          <w:b w:val="false"/>
          <w:color w:val="000000"/>
          <w:sz w:val="20"/>
        </w:rPr>
        <w:t xml:space="preserve">; impact from resolution of tax matters </w:t>
      </w:r>
      <w:r>
        <w:rPr>
          <w:rFonts w:ascii="Arial;sans-serif" w:hAnsi="Arial;sans-serif"/>
          <w:b w:val="false"/>
          <w:color w:val="000000"/>
          <w:sz w:val="13"/>
        </w:rPr>
        <w:t>(11)</w:t>
      </w:r>
      <w:r>
        <w:rPr>
          <w:rFonts w:ascii="Arial;sans-serif" w:hAnsi="Arial;sans-serif"/>
          <w:b w:val="false"/>
          <w:color w:val="000000"/>
          <w:sz w:val="20"/>
        </w:rPr>
        <w:t xml:space="preserve">; 2017 malware incident net recoveries; incremental costs due to the war in Ukraine </w:t>
      </w:r>
      <w:r>
        <w:rPr>
          <w:rFonts w:ascii="Arial;sans-serif" w:hAnsi="Arial;sans-serif"/>
          <w:b w:val="false"/>
          <w:color w:val="000000"/>
          <w:sz w:val="13"/>
        </w:rPr>
        <w:t>(12)</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impact from the European Commission legal matter </w:t>
      </w:r>
      <w:r>
        <w:rPr>
          <w:rFonts w:ascii="Arial;sans-serif" w:hAnsi="Arial;sans-serif"/>
          <w:b w:val="false"/>
          <w:color w:val="000000"/>
          <w:sz w:val="13"/>
        </w:rPr>
        <w:t>(13)</w:t>
      </w:r>
      <w:r>
        <w:rPr>
          <w:rFonts w:ascii="Arial;sans-serif" w:hAnsi="Arial;sans-serif"/>
          <w:b w:val="false"/>
          <w:color w:val="000000"/>
          <w:sz w:val="20"/>
        </w:rPr>
        <w:t xml:space="preserve">: impact from pension participation changes </w:t>
      </w:r>
      <w:r>
        <w:rPr>
          <w:rFonts w:ascii="Arial;sans-serif" w:hAnsi="Arial;sans-serif"/>
          <w:b w:val="false"/>
          <w:color w:val="000000"/>
          <w:sz w:val="13"/>
        </w:rPr>
        <w:t>(14)</w:t>
      </w:r>
      <w:r>
        <w:rPr>
          <w:rFonts w:ascii="Arial;sans-serif" w:hAnsi="Arial;sans-serif"/>
          <w:b w:val="false"/>
          <w:color w:val="000000"/>
          <w:sz w:val="20"/>
        </w:rPr>
        <w:t xml:space="preserve">; and costs associated with the JDE Peet's transaction. We also present “Adjusted Operating Income margin,” which is subject to the same adjustments as Adjusted Operating Income. We also evaluate growth in our Adjusted Operating Income on a constant currency basis </w:t>
      </w:r>
      <w:r>
        <w:rPr>
          <w:rFonts w:ascii="Arial;sans-serif" w:hAnsi="Arial;sans-serif"/>
          <w:b w:val="false"/>
          <w:color w:val="000000"/>
          <w:sz w:val="13"/>
        </w:rPr>
        <w:t>(3)</w:t>
      </w:r>
      <w:r>
        <w:rPr>
          <w:rFonts w:ascii="Arial;sans-serif" w:hAnsi="Arial;sans-serif"/>
          <w:b w:val="false"/>
          <w:color w:val="000000"/>
          <w:sz w:val="20"/>
        </w:rPr>
        <w: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gains or losses on interest rate swaps no longer designated as accounting cash flow hedges due to changed financing and hedging plans; net earnings from divestitures </w:t>
      </w:r>
      <w:r>
        <w:rPr>
          <w:rFonts w:ascii="Arial;sans-serif" w:hAnsi="Arial;sans-serif"/>
          <w:b w:val="false"/>
          <w:color w:val="000000"/>
          <w:sz w:val="13"/>
        </w:rPr>
        <w:t>(2)</w:t>
      </w:r>
      <w:r>
        <w:rPr>
          <w:rFonts w:ascii="Arial;sans-serif" w:hAnsi="Arial;sans-serif"/>
          <w:b w:val="false"/>
          <w:color w:val="000000"/>
          <w:sz w:val="20"/>
        </w:rPr>
        <w:t xml:space="preserve">; mark-to-market unrealized gains or losses and realized gains or losses from marketable securities </w:t>
      </w:r>
      <w:r>
        <w:rPr>
          <w:rFonts w:ascii="Arial;sans-serif" w:hAnsi="Arial;sans-serif"/>
          <w:b w:val="false"/>
          <w:color w:val="000000"/>
          <w:sz w:val="13"/>
        </w:rPr>
        <w:t>(15)</w:t>
      </w:r>
      <w:r>
        <w:rPr>
          <w:rFonts w:ascii="Arial;sans-serif" w:hAnsi="Arial;sans-serif"/>
          <w:b w:val="false"/>
          <w:color w:val="000000"/>
          <w:sz w:val="20"/>
        </w:rPr>
        <w:t xml:space="preserve">; initial impacts from enacted tax law changes </w:t>
      </w:r>
      <w:r>
        <w:rPr>
          <w:rFonts w:ascii="Arial;sans-serif" w:hAnsi="Arial;sans-serif"/>
          <w:b w:val="false"/>
          <w:color w:val="000000"/>
          <w:sz w:val="13"/>
        </w:rPr>
        <w:t>(16)</w:t>
      </w:r>
      <w:r>
        <w:rPr>
          <w:rFonts w:ascii="Arial;sans-serif" w:hAnsi="Arial;sans-serif"/>
          <w:b w:val="false"/>
          <w:color w:val="000000"/>
          <w:sz w:val="20"/>
        </w:rPr>
        <w:t xml:space="preserve">; and gains or losses on equity method investment transactions. Similarly, within Adjusted EPS, our equity method investment net earnings exclude our proportionate share of our investees’ significant operating and non-operating items </w:t>
      </w:r>
      <w:r>
        <w:rPr>
          <w:rFonts w:ascii="Arial;sans-serif" w:hAnsi="Arial;sans-serif"/>
          <w:b w:val="false"/>
          <w:color w:val="000000"/>
          <w:sz w:val="13"/>
        </w:rPr>
        <w:t>(15)</w:t>
      </w:r>
      <w:r>
        <w:rPr>
          <w:rFonts w:ascii="Arial;sans-serif" w:hAnsi="Arial;sans-serif"/>
          <w:b w:val="false"/>
          <w:color w:val="000000"/>
          <w:sz w:val="20"/>
        </w:rPr>
        <w:t xml:space="preserve">. We also evaluate growth in our Adjusted EPS on a constant currency basis </w:t>
      </w:r>
      <w:r>
        <w:rPr>
          <w:rFonts w:ascii="Arial;sans-serif" w:hAnsi="Arial;sans-serif"/>
          <w:b w:val="false"/>
          <w:color w:val="000000"/>
          <w:sz w:val="13"/>
        </w:rPr>
        <w:t>(3)</w:t>
      </w:r>
      <w:r>
        <w:rPr>
          <w:rFonts w:ascii="Arial;sans-serif" w:hAnsi="Arial;sans-serif"/>
          <w:b w:val="false"/>
          <w:color w:val="000000"/>
          <w:sz w:val="20"/>
        </w:rPr>
        <w:t>.</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(1)When items no longer impact our current or future presentation of non-GAAP operating results, we remove these items from our non-GAAP definitions. In the first quarter of 2023, we added to the non-GAAP definition for divestitures the inclusion of changes from equity method investment accounting to accounting for equity interests with readily determinable fair values (“marketable securities”; refer to footnote (2) below). In addition, we added to the non-GAAP definitions the exclusion of gains or losses associated with marketable securities (see footnote (15) below).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(2)Divestitures include completed sales of businesses, exits of major product lines upon completion of a sale or licensing agreement, the partial or full sale of an equity method investment and changes from equity method investment accounting to accounting for marketable securities. As we record our share of JDE Peet’s ongoing earnings on a one-quarter lag basis, any JDE Peet’s ownership reductions are reflected as divestitures within our non-GAAP results the following quarter.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(4)Non-GAAP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(5)Divestiture-related costs, which includes costs incurred in relation to the preparation and completion (including one-time costs such as severance related to elimination of stranded costs) of our divestitures as defined in footnote (2), also includes costs incurred associated with our publicly-announced processes to sell businesses. We exclude these items to better facilitate comparisons of our underlying operating performance across periods.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(6)Acquisition-related costs, which includes transaction costs such as third party advisor, investment banking and legal fees, also includes one-time compensation expense related to the buyout of non-vested ESOP shares. We exclude these items to better facilitate comparisons of our underlying operating performance across periods.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(7)Acquisition integration costs and contingent consideration adjustments include one-time costs related to the integration of acquisitions as well as any adjustments made to the fair market value of contingent compensation liabilities that have been previously booked for earn-outs related to acquisitions that do not relate to employee compensation expense. We exclude these items to better facilitate comparisons of our underlying operating performance across periods.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(8)In the third quarter of 2022, we began to exclude the one-time inventory step-up charges associated with acquired companies related to the fair market valuation of the acquired inventory. We exclude this item to better facilitate comparisons of our underlying operating performance across periods.</w:t>
      </w:r>
    </w:p>
    <w:p>
      <w:pPr>
        <w:pStyle w:val="TextBody"/>
        <w:spacing w:lineRule="auto" w:line="288" w:before="0" w:after="0"/>
        <w:ind w:left="0" w:right="0" w:hanging="360"/>
        <w:jc w:val="both"/>
        <w:rPr/>
      </w:pPr>
      <w:r>
        <w:rPr>
          <w:rFonts w:ascii="Arial;sans-serif" w:hAnsi="Arial;sans-serif"/>
          <w:b w:val="false"/>
          <w:color w:val="000000"/>
          <w:sz w:val="16"/>
        </w:rPr>
        <w:t xml:space="preserve">(9)In connection with our applying highly inflationary accounting (refer to Note 1, </w:t>
      </w:r>
      <w:r>
        <w:rPr>
          <w:rFonts w:ascii="Arial;sans-serif" w:hAnsi="Arial;sans-serif"/>
          <w:b w:val="false"/>
          <w:i/>
          <w:color w:val="000000"/>
          <w:sz w:val="16"/>
        </w:rPr>
        <w:t>Basis of Presentation</w:t>
      </w:r>
      <w:r>
        <w:rPr>
          <w:rFonts w:ascii="Arial;sans-serif" w:hAnsi="Arial;sans-serif"/>
          <w:b w:val="false"/>
          <w:color w:val="000000"/>
          <w:sz w:val="16"/>
        </w:rPr>
        <w:t xml:space="preserve">) for Argentina (beginning in the third quarter of 2018) and Türkiye (beginning in the second quarter of 2022), we exclude the related remeasurement gains or losses related to remeasuring net monetary assets or liabilities denominated in the local currency to the U.S. dollar during the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0520"/>
                <wp:effectExtent l="0" t="0" r="0" b="0"/>
                <wp:wrapNone/>
                <wp:docPr id="50" name="Frame4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16"/>
        </w:rPr>
      </w:pPr>
      <w:r>
        <w:rPr>
          <w:rFonts w:ascii="Arial;sans-serif" w:hAnsi="Arial;sans-serif"/>
          <w:b w:val="false"/>
          <w:color w:val="000000"/>
          <w:sz w:val="16"/>
        </w:rPr>
        <w:t>periods presented to be consistent with our prior accounting for these remeasurement gains/losses for Venezuela when it was subject to highly inflationary accounting prior to deconsolidation in 2015.</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(10)We exclude unrealized gains and losses (mark-to-market impacts) from outstanding commodity and forecasted currency and equity method investment transaction derivative contracts from our non-GAAP earnings measures. The mark-to-market impacts of commodity and forecasted currency transaction derivatives are excluded until such time that the related exposures impact our operating results. Since we purchase commodity and forecasted currency transaction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 We exclude equity method investment transaction derivative contract settlements as they represent protection of value for future divestitures.</w:t>
      </w:r>
    </w:p>
    <w:p>
      <w:pPr>
        <w:pStyle w:val="TextBody"/>
        <w:spacing w:lineRule="auto" w:line="288" w:before="0" w:after="0"/>
        <w:ind w:left="0" w:right="0" w:hanging="360"/>
        <w:jc w:val="both"/>
        <w:rPr/>
      </w:pPr>
      <w:r>
        <w:rPr>
          <w:rFonts w:ascii="Arial;sans-serif" w:hAnsi="Arial;sans-serif"/>
          <w:b w:val="false"/>
          <w:color w:val="000000"/>
          <w:sz w:val="16"/>
        </w:rPr>
        <w:t xml:space="preserve">(11)Refer to Note 12, </w:t>
      </w:r>
      <w:r>
        <w:rPr>
          <w:rFonts w:ascii="Arial;sans-serif" w:hAnsi="Arial;sans-serif"/>
          <w:b w:val="false"/>
          <w:i/>
          <w:color w:val="000000"/>
          <w:sz w:val="16"/>
        </w:rPr>
        <w:t>Commitments and Contingencies – Tax Matters</w:t>
      </w:r>
      <w:r>
        <w:rPr>
          <w:rFonts w:ascii="Arial;sans-serif" w:hAnsi="Arial;sans-serif"/>
          <w:b w:val="false"/>
          <w:color w:val="000000"/>
          <w:sz w:val="16"/>
        </w:rPr>
        <w:t>, in this report,</w:t>
      </w:r>
      <w:r>
        <w:rPr>
          <w:color w:val="000000"/>
        </w:rPr>
        <w:t xml:space="preserve"> </w:t>
      </w:r>
      <w:r>
        <w:rPr>
          <w:rFonts w:ascii="Arial;sans-serif" w:hAnsi="Arial;sans-serif"/>
          <w:b w:val="false"/>
          <w:color w:val="000000"/>
          <w:sz w:val="16"/>
        </w:rPr>
        <w:t xml:space="preserve">and Note 14, </w:t>
      </w:r>
      <w:r>
        <w:rPr>
          <w:rFonts w:ascii="Arial;sans-serif" w:hAnsi="Arial;sans-serif"/>
          <w:b w:val="false"/>
          <w:i/>
          <w:color w:val="000000"/>
          <w:sz w:val="16"/>
        </w:rPr>
        <w:t>Commitments and Contingencies –Tax Matters</w:t>
      </w:r>
      <w:r>
        <w:rPr>
          <w:rFonts w:ascii="Arial;sans-serif" w:hAnsi="Arial;sans-serif"/>
          <w:b w:val="false"/>
          <w:color w:val="000000"/>
          <w:sz w:val="16"/>
        </w:rPr>
        <w:t xml:space="preserve">, in our Annual Report on Form 10-K for the year ended December 31, 2022.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(12)In February 2022, Russia began a military invasion of Ukraine and we stopped our production and closed our facilities in Ukraine. We began to incur incremental costs directly related to the war including asset impairments, such as property and inventory losses, higher expected allowances for uncollectible accounts receivable and committed compensation. We have isolated and exclude these costs and related impacts as well as subsequent recoveries from our operating results to facilitate evaluation and comparisons of our ongoing results. Incremental costs related to increasing operations in other primarily European facilities are not included with these costs. </w:t>
      </w:r>
    </w:p>
    <w:p>
      <w:pPr>
        <w:pStyle w:val="TextBody"/>
        <w:spacing w:lineRule="auto" w:line="288" w:before="0" w:after="0"/>
        <w:ind w:left="0" w:right="0" w:hanging="360"/>
        <w:jc w:val="both"/>
        <w:rPr/>
      </w:pPr>
      <w:r>
        <w:rPr>
          <w:rFonts w:ascii="Arial;sans-serif" w:hAnsi="Arial;sans-serif"/>
          <w:b w:val="false"/>
          <w:color w:val="000000"/>
          <w:sz w:val="16"/>
        </w:rPr>
        <w:t xml:space="preserve">(13)In the fourth quarter of 2022, we began to exclude the impact from the European Commission legal matter.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We have been cooperating with the investigation and are currently engaged in discussions with the European Commission in an effort to reach a negotiated, proportionate resolution to this matter. As of December 31. 2022, we recorded an estimate of the possible cost to resolve this matter. Due to the unique nature of this matter, we believe it to be infrequent and unusual and therefore exclude it to better facilitate comparisons of our underlying operating performance across periods. Refer to Note 12, </w:t>
      </w:r>
      <w:r>
        <w:rPr>
          <w:rFonts w:ascii="Arial;sans-serif" w:hAnsi="Arial;sans-serif"/>
          <w:b w:val="false"/>
          <w:i/>
          <w:color w:val="000000"/>
          <w:sz w:val="16"/>
        </w:rPr>
        <w:t>Commitments and Contingencies</w:t>
      </w:r>
      <w:r>
        <w:rPr>
          <w:rFonts w:ascii="Arial;sans-serif" w:hAnsi="Arial;sans-serif"/>
          <w:b w:val="false"/>
          <w:color w:val="000000"/>
          <w:sz w:val="16"/>
        </w:rPr>
        <w:t>.</w:t>
      </w:r>
    </w:p>
    <w:p>
      <w:pPr>
        <w:pStyle w:val="TextBody"/>
        <w:spacing w:lineRule="auto" w:line="288" w:before="0" w:after="0"/>
        <w:ind w:left="0" w:right="0" w:hanging="360"/>
        <w:jc w:val="both"/>
        <w:rPr/>
      </w:pPr>
      <w:r>
        <w:rPr>
          <w:rFonts w:ascii="Arial;sans-serif" w:hAnsi="Arial;sans-serif"/>
          <w:b w:val="false"/>
          <w:color w:val="000000"/>
          <w:sz w:val="16"/>
        </w:rPr>
        <w:t xml:space="preserve">(14)The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sans-serif" w:hAnsi="Arial;sans-serif"/>
          <w:b w:val="false"/>
          <w:i/>
          <w:color w:val="000000"/>
          <w:sz w:val="16"/>
        </w:rPr>
        <w:t>Benefit Plans</w:t>
      </w:r>
      <w:r>
        <w:rPr>
          <w:rFonts w:ascii="Arial;sans-serif" w:hAnsi="Arial;sans-serif"/>
          <w:b w:val="false"/>
          <w:color w:val="000000"/>
          <w:sz w:val="16"/>
        </w:rPr>
        <w:t>, for more information on the multiemployer pension plan withdrawal.</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(15)In the first quarter of 2023, we began to exclude mark-to-market unrealized gains or losses, as well as realized gains or losses, associated with our marketable securities from our non-GAAP earnings measures. These marketable securities gains or losses are not indicative of underlying operations and are excluded to better facilitate comparisons of our underlying operating performance across periods.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(16)We have excluded the initial impacts from enacted tax law changes. Initial impacts include items such as the remeasurement of deferred tax balances and the transition tax from the 2017 U.S. tax reform. We exclude initial impacts from enacted tax law changes from our Adjusted EPS as they do not reflect our ongoing tax obligations under the enacted tax law changes.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(17)We have excluded our proportionate share of our equity method investees’ significant operating and non-operating items such as acquisition and divestiture-related costs, restructuring program costs and initial impacts from enacted tax law changes,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U.S. GAAP “diluted EPS attributable to Mondelēz International from continuing operations” includes all of the investees’ significant operating and non-operating items.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0520"/>
                <wp:effectExtent l="0" t="0" r="0" b="0"/>
                <wp:wrapNone/>
                <wp:docPr id="51" name="Frame5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Organic Net Revenue</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Applying the definition of “Organic Net Revenue,” the adjustments made to “net revenues” (the most comparable U.S. GAAP financial measure) were to exclude the impact of currency, acquisitions and divestitures. We believe that Organic Net Revenue reflects the underlying growth from the ongoing activities of our business and provides improved comparability of results. We also evaluate our Organic Net Revenue growth from emerging markets and developed markets, and these underlying measures are also reconciled to U.S. GAAP below.</w:t>
      </w:r>
    </w:p>
    <w:tbl>
      <w:tblPr>
        <w:tblW w:w="9439" w:type="dxa"/>
        <w:jc w:val="left"/>
        <w:tblInd w:w="0" w:type="dxa"/>
        <w:tblCellMar>
          <w:top w:w="28" w:type="dxa"/>
          <w:left w:w="28" w:type="dxa"/>
          <w:bottom w:w="28" w:type="dxa"/>
          <w:right w:w="28" w:type="dxa"/>
        </w:tblCellMar>
      </w:tblPr>
      <w:tblGrid>
        <w:gridCol w:w="706"/>
        <w:gridCol w:w="620"/>
        <w:gridCol w:w="624"/>
        <w:gridCol w:w="214"/>
        <w:gridCol w:w="642"/>
        <w:gridCol w:w="110"/>
        <w:gridCol w:w="110"/>
        <w:gridCol w:w="110"/>
        <w:gridCol w:w="110"/>
        <w:gridCol w:w="214"/>
        <w:gridCol w:w="642"/>
        <w:gridCol w:w="110"/>
        <w:gridCol w:w="110"/>
        <w:gridCol w:w="110"/>
        <w:gridCol w:w="110"/>
        <w:gridCol w:w="214"/>
        <w:gridCol w:w="642"/>
        <w:gridCol w:w="110"/>
        <w:gridCol w:w="109"/>
        <w:gridCol w:w="109"/>
        <w:gridCol w:w="109"/>
        <w:gridCol w:w="214"/>
        <w:gridCol w:w="642"/>
        <w:gridCol w:w="110"/>
        <w:gridCol w:w="110"/>
        <w:gridCol w:w="110"/>
        <w:gridCol w:w="110"/>
        <w:gridCol w:w="214"/>
        <w:gridCol w:w="642"/>
        <w:gridCol w:w="110"/>
        <w:gridCol w:w="110"/>
        <w:gridCol w:w="110"/>
        <w:gridCol w:w="110"/>
        <w:gridCol w:w="214"/>
        <w:gridCol w:w="642"/>
        <w:gridCol w:w="156"/>
      </w:tblGrid>
      <w:tr>
        <w:trPr/>
        <w:tc>
          <w:tcPr>
            <w:tcW w:w="706"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5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March 31, 2022</w:t>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Emerging</w:t>
              <w:br/>
              <w:t>Markets</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Developed</w:t>
              <w:br/>
              <w:t>Markets</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Emerging</w:t>
              <w:br/>
              <w:t>Markets</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Developed</w:t>
              <w:br/>
              <w:t>Markets</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5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4"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3,598</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5,568</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9,166</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2,964</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4,800</w:t>
            </w: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7,764</w:t>
            </w: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currency</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acquisitions</w:t>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divestitures</w:t>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Organic Net Revenue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3,700</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5,557</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9,257</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2,955</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4,800</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7,755</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Adjusted Operating Income</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Applying the definition of “Adjusted Operating Income,” the adjustments made to “operating income” (the most comparable U.S. GAAP financial measure) were to exclude the impacts of the Simplify to Grow Program; intangible asset impairment charges; mark-to-market impacts from commodity, forecasted currency and equity method investment transaction derivative contracts; acquisition integration costs and contingent consideration adjustments; acquisition-related costs; divestiture-related costs; operating income from divestitures; incremental costs due to the war in Ukraine; and the remeasurement of net monetary position. We also evaluate Adjusted Operating Income on a constant currency basis. We believe these measures provide improved comparability of underlying operating results.</w:t>
      </w:r>
    </w:p>
    <w:tbl>
      <w:tblPr>
        <w:tblW w:w="9609" w:type="dxa"/>
        <w:jc w:val="left"/>
        <w:tblInd w:w="0" w:type="dxa"/>
        <w:tblCellMar>
          <w:top w:w="28" w:type="dxa"/>
          <w:left w:w="28" w:type="dxa"/>
          <w:bottom w:w="28" w:type="dxa"/>
          <w:right w:w="28" w:type="dxa"/>
        </w:tblCellMar>
      </w:tblPr>
      <w:tblGrid>
        <w:gridCol w:w="1634"/>
        <w:gridCol w:w="1438"/>
        <w:gridCol w:w="1443"/>
        <w:gridCol w:w="221"/>
        <w:gridCol w:w="678"/>
        <w:gridCol w:w="114"/>
        <w:gridCol w:w="114"/>
        <w:gridCol w:w="114"/>
        <w:gridCol w:w="114"/>
        <w:gridCol w:w="221"/>
        <w:gridCol w:w="678"/>
        <w:gridCol w:w="114"/>
        <w:gridCol w:w="109"/>
        <w:gridCol w:w="109"/>
        <w:gridCol w:w="109"/>
        <w:gridCol w:w="225"/>
        <w:gridCol w:w="514"/>
        <w:gridCol w:w="117"/>
        <w:gridCol w:w="109"/>
        <w:gridCol w:w="109"/>
        <w:gridCol w:w="109"/>
        <w:gridCol w:w="270"/>
        <w:gridCol w:w="271"/>
        <w:gridCol w:w="675"/>
      </w:tblGrid>
      <w:tr>
        <w:trPr/>
        <w:tc>
          <w:tcPr>
            <w:tcW w:w="1634"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r>
      <w:tr>
        <w:trPr/>
        <w:tc>
          <w:tcPr>
            <w:tcW w:w="4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5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1,505</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1,094</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411</w:t>
            </w: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37.6</w:t>
            </w:r>
            <w:r>
              <w:rPr>
                <w:color w:val="000000"/>
              </w:rPr>
              <w:t> </w:t>
            </w:r>
          </w:p>
        </w:tc>
        <w:tc>
          <w:tcPr>
            <w:tcW w:w="6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Simplify to Grow Program </w:t>
            </w:r>
            <w:r>
              <w:rPr>
                <w:rFonts w:ascii="Arial;sans-serif" w:hAnsi="Arial;sans-serif"/>
                <w:b w:val="false"/>
                <w:color w:val="000000"/>
                <w:sz w:val="13"/>
              </w:rPr>
              <w:t>(1)</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Intangible asset impairment charge </w:t>
            </w:r>
            <w:r>
              <w:rPr>
                <w:rFonts w:ascii="Arial;sans-serif" w:hAnsi="Arial;sans-serif"/>
                <w:b w:val="false"/>
                <w:color w:val="000000"/>
                <w:sz w:val="13"/>
              </w:rPr>
              <w:t>(2)</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Mark-to-market gains from derivatives </w:t>
            </w:r>
            <w:r>
              <w:rPr>
                <w:rFonts w:ascii="Arial;sans-serif" w:hAnsi="Arial;sans-serif"/>
                <w:b w:val="false"/>
                <w:color w:val="000000"/>
                <w:sz w:val="13"/>
              </w:rPr>
              <w:t>(3)</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Acquisition integration costs and </w:t>
            </w:r>
          </w:p>
          <w:p>
            <w:pPr>
              <w:pStyle w:val="TableContents"/>
              <w:spacing w:lineRule="auto" w:line="240" w:before="0" w:after="0"/>
              <w:ind w:left="0" w:right="0" w:firstLine="180"/>
              <w:jc w:val="left"/>
              <w:rPr/>
            </w:pPr>
            <w:r>
              <w:rPr>
                <w:color w:val="000000"/>
              </w:rPr>
              <w:t>   </w:t>
            </w:r>
            <w:r>
              <w:rPr>
                <w:rFonts w:ascii="Arial;sans-serif" w:hAnsi="Arial;sans-serif"/>
                <w:b w:val="false"/>
                <w:color w:val="000000"/>
                <w:sz w:val="20"/>
              </w:rPr>
              <w:t xml:space="preserve">contingent consideration adjustments </w:t>
            </w:r>
            <w:r>
              <w:rPr>
                <w:rFonts w:ascii="Arial;sans-serif" w:hAnsi="Arial;sans-serif"/>
                <w:b w:val="false"/>
                <w:color w:val="000000"/>
                <w:sz w:val="13"/>
              </w:rPr>
              <w:t xml:space="preserve">(4) </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Acquisition-related costs </w:t>
            </w:r>
            <w:r>
              <w:rPr>
                <w:rFonts w:ascii="Arial;sans-serif" w:hAnsi="Arial;sans-serif"/>
                <w:b w:val="false"/>
                <w:color w:val="000000"/>
                <w:sz w:val="13"/>
              </w:rPr>
              <w:t>(4)</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Divestiture-related costs </w:t>
            </w:r>
            <w:r>
              <w:rPr>
                <w:rFonts w:ascii="Arial;sans-serif" w:hAnsi="Arial;sans-serif"/>
                <w:b w:val="false"/>
                <w:color w:val="000000"/>
                <w:sz w:val="13"/>
              </w:rPr>
              <w:t>(4)</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Operating income from divestitures </w:t>
            </w:r>
            <w:r>
              <w:rPr>
                <w:rFonts w:ascii="Arial;sans-serif" w:hAnsi="Arial;sans-serif"/>
                <w:b w:val="false"/>
                <w:color w:val="000000"/>
                <w:sz w:val="13"/>
              </w:rPr>
              <w:t>(4)</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Incremental costs due to war in Ukraine </w:t>
            </w:r>
            <w:r>
              <w:rPr>
                <w:rFonts w:ascii="Arial;sans-serif" w:hAnsi="Arial;sans-serif"/>
                <w:b w:val="false"/>
                <w:color w:val="000000"/>
                <w:sz w:val="13"/>
              </w:rPr>
              <w:t>(5)</w:t>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(5)</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4515"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4515"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Adjusted Operating Income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1,581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1,377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204</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14.8</w:t>
            </w:r>
            <w:r>
              <w:rPr>
                <w:color w:val="000000"/>
              </w:rPr>
              <w:t> </w:t>
            </w:r>
          </w:p>
        </w:tc>
        <w:tc>
          <w:tcPr>
            <w:tcW w:w="675" w:type="dxa"/>
            <w:tcBorders/>
            <w:shd w:fill="CCEEFF" w:val="clear"/>
            <w:tcMar>
              <w:top w:w="0" w:type="dxa"/>
              <w:left w:w="0" w:type="dxa"/>
              <w:bottom w:w="0" w:type="dxa"/>
              <w:right w:w="0" w:type="dxa"/>
            </w:tcMar>
            <w:vAlign w:val="center"/>
          </w:tcPr>
          <w:p>
            <w:pPr>
              <w:pStyle w:val="TableContents"/>
              <w:spacing w:lineRule="auto" w:line="240" w:before="0" w:after="283"/>
              <w:ind w:left="0" w:right="0" w:firstLine="180"/>
              <w:jc w:val="right"/>
              <w:rPr>
                <w:rFonts w:ascii="Arial;sans-serif" w:hAnsi="Arial;sans-serif"/>
                <w:b/>
                <w:color w:val="000000"/>
                <w:sz w:val="20"/>
              </w:rPr>
            </w:pPr>
            <w:r>
              <w:rPr>
                <w:rFonts w:ascii="Arial;sans-serif" w:hAnsi="Arial;sans-serif"/>
                <w:b/>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Unfavorable currency translation</w:t>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Adjusted Operating Income (constant currency)</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1,662</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1,377</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285</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20.7</w:t>
            </w:r>
            <w:r>
              <w:rPr>
                <w:color w:val="000000"/>
              </w:rPr>
              <w:t> </w:t>
            </w:r>
          </w:p>
        </w:tc>
        <w:tc>
          <w:tcPr>
            <w:tcW w:w="6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ind w:left="0" w:right="0" w:hanging="360"/>
        <w:jc w:val="both"/>
        <w:rPr/>
      </w:pPr>
      <w:r>
        <w:rPr>
          <w:rFonts w:ascii="Arial;sans-serif" w:hAnsi="Arial;sans-serif"/>
          <w:b w:val="false"/>
          <w:color w:val="000000"/>
          <w:sz w:val="16"/>
        </w:rPr>
        <w:t xml:space="preserve">(1)Refer to Note 7, </w:t>
      </w:r>
      <w:r>
        <w:rPr>
          <w:rFonts w:ascii="Arial;sans-serif" w:hAnsi="Arial;sans-serif"/>
          <w:b w:val="false"/>
          <w:i/>
          <w:color w:val="000000"/>
          <w:sz w:val="16"/>
        </w:rPr>
        <w:t>Restructuring Program,</w:t>
      </w:r>
      <w:r>
        <w:rPr>
          <w:color w:val="000000"/>
        </w:rPr>
        <w:t xml:space="preserve"> </w:t>
      </w:r>
      <w:r>
        <w:rPr>
          <w:rFonts w:ascii="Arial;sans-serif" w:hAnsi="Arial;sans-serif"/>
          <w:b w:val="false"/>
          <w:color w:val="000000"/>
          <w:sz w:val="16"/>
        </w:rPr>
        <w:t>for more information.</w:t>
      </w:r>
    </w:p>
    <w:p>
      <w:pPr>
        <w:pStyle w:val="TextBody"/>
        <w:spacing w:lineRule="auto" w:line="288" w:before="0" w:after="0"/>
        <w:ind w:left="0" w:right="0" w:hanging="360"/>
        <w:jc w:val="both"/>
        <w:rPr/>
      </w:pPr>
      <w:r>
        <w:rPr>
          <w:rFonts w:ascii="Arial;sans-serif" w:hAnsi="Arial;sans-serif"/>
          <w:b w:val="false"/>
          <w:color w:val="000000"/>
          <w:sz w:val="16"/>
        </w:rPr>
        <w:t xml:space="preserve">(2)Refer to Note 5, </w:t>
      </w:r>
      <w:r>
        <w:rPr>
          <w:rFonts w:ascii="Arial;sans-serif" w:hAnsi="Arial;sans-serif"/>
          <w:b w:val="false"/>
          <w:i/>
          <w:color w:val="000000"/>
          <w:sz w:val="16"/>
        </w:rPr>
        <w:t>Goodwill and Intangible Assets</w:t>
      </w:r>
      <w:r>
        <w:rPr>
          <w:rFonts w:ascii="Arial;sans-serif" w:hAnsi="Arial;sans-serif"/>
          <w:b w:val="false"/>
          <w:color w:val="000000"/>
          <w:sz w:val="16"/>
        </w:rPr>
        <w:t>,</w:t>
      </w:r>
      <w:r>
        <w:rPr>
          <w:color w:val="000000"/>
        </w:rPr>
        <w:t xml:space="preserve"> </w:t>
      </w:r>
      <w:r>
        <w:rPr>
          <w:rFonts w:ascii="Arial;sans-serif" w:hAnsi="Arial;sans-serif"/>
          <w:b w:val="false"/>
          <w:color w:val="000000"/>
          <w:sz w:val="16"/>
        </w:rPr>
        <w:t>for more information.</w:t>
      </w:r>
    </w:p>
    <w:p>
      <w:pPr>
        <w:pStyle w:val="TextBody"/>
        <w:spacing w:lineRule="auto" w:line="288" w:before="0" w:after="0"/>
        <w:ind w:left="0" w:right="0" w:hanging="360"/>
        <w:jc w:val="both"/>
        <w:rPr/>
      </w:pPr>
      <w:r>
        <w:rPr>
          <w:rFonts w:ascii="Arial;sans-serif" w:hAnsi="Arial;sans-serif"/>
          <w:b w:val="false"/>
          <w:color w:val="000000"/>
          <w:sz w:val="16"/>
        </w:rPr>
        <w:t xml:space="preserve">(3)Refer to Note 9, </w:t>
      </w:r>
      <w:r>
        <w:rPr>
          <w:rFonts w:ascii="Arial;sans-serif" w:hAnsi="Arial;sans-serif"/>
          <w:b w:val="false"/>
          <w:i/>
          <w:color w:val="000000"/>
          <w:sz w:val="16"/>
        </w:rPr>
        <w:t>Financial Instruments</w:t>
      </w:r>
      <w:r>
        <w:rPr>
          <w:rFonts w:ascii="Arial;sans-serif" w:hAnsi="Arial;sans-serif"/>
          <w:b w:val="false"/>
          <w:color w:val="000000"/>
          <w:sz w:val="16"/>
        </w:rPr>
        <w:t xml:space="preserve">, Note 16, </w:t>
      </w:r>
      <w:r>
        <w:rPr>
          <w:rFonts w:ascii="Arial;sans-serif" w:hAnsi="Arial;sans-serif"/>
          <w:b w:val="false"/>
          <w:i/>
          <w:color w:val="000000"/>
          <w:sz w:val="16"/>
        </w:rPr>
        <w:t>Segment Reporting</w:t>
      </w:r>
      <w:r>
        <w:rPr>
          <w:rFonts w:ascii="Arial;sans-serif" w:hAnsi="Arial;sans-serif"/>
          <w:b w:val="false"/>
          <w:color w:val="000000"/>
          <w:sz w:val="16"/>
        </w:rPr>
        <w:t xml:space="preserve">, and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 xml:space="preserve">section for more information on the unrealized gains/losses on commodity, forecasted currency and equity method investment transaction derivatives. </w:t>
      </w:r>
    </w:p>
    <w:p>
      <w:pPr>
        <w:pStyle w:val="TextBody"/>
        <w:spacing w:lineRule="auto" w:line="288" w:before="0" w:after="0"/>
        <w:ind w:left="0" w:right="0" w:hanging="360"/>
        <w:jc w:val="both"/>
        <w:rPr/>
      </w:pPr>
      <w:r>
        <w:rPr>
          <w:rFonts w:ascii="Arial;sans-serif" w:hAnsi="Arial;sans-serif"/>
          <w:b w:val="false"/>
          <w:color w:val="000000"/>
          <w:sz w:val="16"/>
        </w:rPr>
        <w:t xml:space="preserve">(4)Refer to Note 2, </w:t>
      </w:r>
      <w:r>
        <w:rPr>
          <w:rFonts w:ascii="Arial;sans-serif" w:hAnsi="Arial;sans-serif"/>
          <w:b w:val="false"/>
          <w:i/>
          <w:color w:val="000000"/>
          <w:sz w:val="16"/>
        </w:rPr>
        <w:t>Acquisitions and Divestitures</w:t>
      </w:r>
      <w:r>
        <w:rPr>
          <w:rFonts w:ascii="Arial;sans-serif" w:hAnsi="Arial;sans-serif"/>
          <w:b w:val="false"/>
          <w:color w:val="000000"/>
          <w:sz w:val="16"/>
        </w:rPr>
        <w:t>, for more information on the November 1, 2022 acquisition of Ricolino, August 1, 2022 acquisition of Clif Bar and the January 3, 2022 acquisition of Chipita.</w:t>
      </w:r>
    </w:p>
    <w:p>
      <w:pPr>
        <w:pStyle w:val="TextBody"/>
        <w:spacing w:lineRule="auto" w:line="288" w:before="0" w:after="0"/>
        <w:ind w:left="0" w:right="0" w:hanging="360"/>
        <w:jc w:val="both"/>
        <w:rPr/>
      </w:pPr>
      <w:r>
        <w:rPr>
          <w:rFonts w:ascii="Arial;sans-serif" w:hAnsi="Arial;sans-serif"/>
          <w:b w:val="false"/>
          <w:color w:val="000000"/>
          <w:sz w:val="16"/>
        </w:rPr>
        <w:t xml:space="preserve">(5)Refer to Note 1, </w:t>
      </w:r>
      <w:r>
        <w:rPr>
          <w:rFonts w:ascii="Arial;sans-serif" w:hAnsi="Arial;sans-serif"/>
          <w:b w:val="false"/>
          <w:i/>
          <w:color w:val="000000"/>
          <w:sz w:val="16"/>
        </w:rPr>
        <w:t xml:space="preserve">Basis of Presentation, </w:t>
      </w:r>
      <w:r>
        <w:rPr>
          <w:rFonts w:ascii="Arial;sans-serif" w:hAnsi="Arial;sans-serif"/>
          <w:b w:val="false"/>
          <w:color w:val="000000"/>
          <w:sz w:val="16"/>
        </w:rPr>
        <w:t>for information on our accounting for the war in Ukraine and our application of highly inflationary accounting for Argentina and Türkiye.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52" name="Frame5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Adjusted EPS</w:t>
      </w:r>
    </w:p>
    <w:p>
      <w:pPr>
        <w:pStyle w:val="TextBody"/>
        <w:spacing w:lineRule="auto" w:line="288" w:before="0" w:after="0"/>
        <w:jc w:val="both"/>
        <w:rPr/>
      </w:pPr>
      <w:r>
        <w:rPr>
          <w:rFonts w:ascii="Arial;sans-serif" w:hAnsi="Arial;sans-serif"/>
          <w:b w:val="false"/>
          <w:color w:val="000000"/>
          <w:sz w:val="20"/>
        </w:rPr>
        <w:t xml:space="preserve">Applying the definition of “Adjusted EPS,” </w:t>
      </w:r>
      <w:r>
        <w:rPr>
          <w:rFonts w:ascii="Arial;sans-serif" w:hAnsi="Arial;sans-serif"/>
          <w:b w:val="false"/>
          <w:color w:val="000000"/>
          <w:sz w:val="12"/>
        </w:rPr>
        <w:t>(1)</w:t>
      </w:r>
      <w:r>
        <w:rPr>
          <w:color w:val="000000"/>
        </w:rPr>
        <w:t xml:space="preserve"> </w:t>
      </w:r>
      <w:r>
        <w:rPr>
          <w:rFonts w:ascii="Arial;sans-serif" w:hAnsi="Arial;sans-serif"/>
          <w:b w:val="false"/>
          <w:color w:val="000000"/>
          <w:sz w:val="20"/>
        </w:rPr>
        <w:t>the adjustments made to “diluted EPS attributable to Mondelēz International” (the most comparable U.S. GAAP financial measure) were to exclude the impacts of the items listed in the Adjusted Operating Income tables above as well as net earnings from divestitures; losses on debt extinguishment and related expenses; gains or losses on marketable securities; gains or losses on equity method investment transactions; and our proportionate share of significant operating and non-operating items recorded by our JDE Peet's equity method investee. We also evaluate Adjusted EPS on a constant currency basis. We believe Adjusted EPS provides improved comparability of underlying operating results.</w:t>
      </w:r>
    </w:p>
    <w:tbl>
      <w:tblPr>
        <w:tblW w:w="10062" w:type="dxa"/>
        <w:jc w:val="left"/>
        <w:tblInd w:w="0" w:type="dxa"/>
        <w:tblCellMar>
          <w:top w:w="28" w:type="dxa"/>
          <w:left w:w="28" w:type="dxa"/>
          <w:bottom w:w="28" w:type="dxa"/>
          <w:right w:w="28" w:type="dxa"/>
        </w:tblCellMar>
      </w:tblPr>
      <w:tblGrid>
        <w:gridCol w:w="1794"/>
        <w:gridCol w:w="1577"/>
        <w:gridCol w:w="1579"/>
        <w:gridCol w:w="244"/>
        <w:gridCol w:w="626"/>
        <w:gridCol w:w="126"/>
        <w:gridCol w:w="126"/>
        <w:gridCol w:w="126"/>
        <w:gridCol w:w="126"/>
        <w:gridCol w:w="244"/>
        <w:gridCol w:w="626"/>
        <w:gridCol w:w="126"/>
        <w:gridCol w:w="109"/>
        <w:gridCol w:w="109"/>
        <w:gridCol w:w="109"/>
        <w:gridCol w:w="211"/>
        <w:gridCol w:w="541"/>
        <w:gridCol w:w="109"/>
        <w:gridCol w:w="109"/>
        <w:gridCol w:w="109"/>
        <w:gridCol w:w="109"/>
        <w:gridCol w:w="323"/>
        <w:gridCol w:w="323"/>
        <w:gridCol w:w="581"/>
      </w:tblGrid>
      <w:tr>
        <w:trPr/>
        <w:tc>
          <w:tcPr>
            <w:tcW w:w="1794"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Diluted EPS attributable to Mondelēz International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1.52</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0.61</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149.2</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Simplify to Grow Program </w:t>
            </w:r>
            <w:r>
              <w:rPr>
                <w:rFonts w:ascii="Arial;sans-serif" w:hAnsi="Arial;sans-serif"/>
                <w:b w:val="false"/>
                <w:color w:val="000000"/>
                <w:sz w:val="13"/>
              </w:rPr>
              <w:t>(2)</w:t>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Intangible asset impairment charge </w:t>
            </w:r>
            <w:r>
              <w:rPr>
                <w:rFonts w:ascii="Arial;sans-serif" w:hAnsi="Arial;sans-serif"/>
                <w:b w:val="false"/>
                <w:color w:val="000000"/>
                <w:sz w:val="13"/>
              </w:rPr>
              <w:t>(2)</w:t>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Mark-to-market gains from derivatives </w:t>
            </w:r>
            <w:r>
              <w:rPr>
                <w:rFonts w:ascii="Arial;sans-serif" w:hAnsi="Arial;sans-serif"/>
                <w:b w:val="false"/>
                <w:color w:val="000000"/>
                <w:sz w:val="12"/>
              </w:rPr>
              <w:t>(2)</w:t>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Acquisition integration costs and </w:t>
            </w:r>
          </w:p>
          <w:p>
            <w:pPr>
              <w:pStyle w:val="TableContents"/>
              <w:spacing w:lineRule="auto" w:line="240" w:before="0" w:after="0"/>
              <w:ind w:left="0" w:right="0" w:firstLine="180"/>
              <w:jc w:val="left"/>
              <w:rPr/>
            </w:pPr>
            <w:r>
              <w:rPr>
                <w:color w:val="000000"/>
              </w:rPr>
              <w:t>   </w:t>
            </w:r>
            <w:r>
              <w:rPr>
                <w:rFonts w:ascii="Arial;sans-serif" w:hAnsi="Arial;sans-serif"/>
                <w:b w:val="false"/>
                <w:color w:val="000000"/>
                <w:sz w:val="20"/>
              </w:rPr>
              <w:t xml:space="preserve">contingent consideration adjustments </w:t>
            </w:r>
            <w:r>
              <w:rPr>
                <w:rFonts w:ascii="Arial;sans-serif" w:hAnsi="Arial;sans-serif"/>
                <w:b w:val="false"/>
                <w:color w:val="000000"/>
                <w:sz w:val="13"/>
              </w:rPr>
              <w:t>(2)</w:t>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7"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Acquisition-related costs </w:t>
            </w:r>
            <w:r>
              <w:rPr>
                <w:rFonts w:ascii="Arial;sans-serif" w:hAnsi="Arial;sans-serif"/>
                <w:b w:val="false"/>
                <w:color w:val="000000"/>
                <w:sz w:val="13"/>
              </w:rPr>
              <w:t>(2)</w:t>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Divestiture-related costs </w:t>
            </w:r>
            <w:r>
              <w:rPr>
                <w:rFonts w:ascii="Arial;sans-serif" w:hAnsi="Arial;sans-serif"/>
                <w:b w:val="false"/>
                <w:color w:val="000000"/>
                <w:sz w:val="12"/>
              </w:rPr>
              <w:t>(2)</w:t>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Net earnings from divestitures </w:t>
            </w:r>
            <w:r>
              <w:rPr>
                <w:rFonts w:ascii="Arial;sans-serif" w:hAnsi="Arial;sans-serif"/>
                <w:b w:val="false"/>
                <w:color w:val="000000"/>
                <w:sz w:val="12"/>
              </w:rPr>
              <w:t>(2)</w:t>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7"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Incremental costs due to war in Ukraine </w:t>
            </w:r>
            <w:r>
              <w:rPr>
                <w:rFonts w:ascii="Arial;sans-serif" w:hAnsi="Arial;sans-serif"/>
                <w:b w:val="false"/>
                <w:color w:val="000000"/>
                <w:sz w:val="13"/>
              </w:rPr>
              <w:t>(2)</w:t>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(2)</w:t>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7"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7"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7"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Loss on debt extinguishment and related expenses </w:t>
            </w:r>
            <w:r>
              <w:rPr>
                <w:rFonts w:ascii="Arial;sans-serif" w:hAnsi="Arial;sans-serif"/>
                <w:b w:val="false"/>
                <w:color w:val="000000"/>
                <w:sz w:val="13"/>
              </w:rPr>
              <w:t>(3)</w:t>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7"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Gain on marketable securities </w:t>
            </w:r>
            <w:r>
              <w:rPr>
                <w:rFonts w:ascii="Arial;sans-serif" w:hAnsi="Arial;sans-serif"/>
                <w:b w:val="false"/>
                <w:color w:val="000000"/>
                <w:sz w:val="13"/>
              </w:rPr>
              <w:t>(4)</w:t>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(0.43)</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Gain on equity method investment transactions </w:t>
            </w:r>
            <w:r>
              <w:rPr>
                <w:rFonts w:ascii="Arial;sans-serif" w:hAnsi="Arial;sans-serif"/>
                <w:b w:val="false"/>
                <w:color w:val="000000"/>
                <w:sz w:val="13"/>
              </w:rPr>
              <w:t>(4)</w:t>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(0.26)</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Arial;sans-serif" w:hAnsi="Arial;sans-serif"/>
                <w:b w:val="false"/>
                <w:color w:val="000000"/>
                <w:sz w:val="20"/>
              </w:rPr>
              <w:t xml:space="preserve">Equity method investee items </w:t>
            </w:r>
            <w:r>
              <w:rPr>
                <w:rFonts w:ascii="Arial;sans-serif" w:hAnsi="Arial;sans-serif"/>
                <w:b w:val="false"/>
                <w:color w:val="000000"/>
                <w:sz w:val="13"/>
              </w:rPr>
              <w:t>(5)</w:t>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7"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Adjusted EPS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0.89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0.81</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0.08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9.9</w:t>
            </w:r>
            <w:r>
              <w:rPr>
                <w:color w:val="000000"/>
              </w:rPr>
              <w:t> </w:t>
            </w:r>
          </w:p>
        </w:tc>
        <w:tc>
          <w:tcPr>
            <w:tcW w:w="5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Unfavorable currency translation</w:t>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Adjusted EPS (constant currency)</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0.95</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0.81</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0.14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17.3</w:t>
            </w:r>
            <w:r>
              <w:rPr>
                <w:color w:val="000000"/>
              </w:rPr>
              <w:t> </w:t>
            </w:r>
          </w:p>
        </w:tc>
        <w:tc>
          <w:tcPr>
            <w:tcW w:w="5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(1)The tax expense/(benefit) of each of the pre-tax items excluded from our U.S. GAAP results was computed based on the facts and tax assumptions associated with each item, and such impacts have also been excluded from Adjusted EPS.</w:t>
      </w:r>
    </w:p>
    <w:p>
      <w:pPr>
        <w:pStyle w:val="TextBody"/>
        <w:spacing w:lineRule="auto" w:line="288" w:before="0" w:after="0"/>
        <w:ind w:left="0" w:right="0" w:hanging="360"/>
        <w:jc w:val="both"/>
        <w:rPr/>
      </w:pPr>
      <w:r>
        <w:rPr>
          <w:color w:val="000000"/>
        </w:rPr>
        <w:t>•</w:t>
      </w:r>
      <w:r>
        <w:rPr>
          <w:rFonts w:ascii="Arial;sans-serif" w:hAnsi="Arial;sans-serif"/>
          <w:b w:val="false"/>
          <w:color w:val="000000"/>
          <w:sz w:val="16"/>
        </w:rPr>
        <w:t>For the three months ended March 31, 2023, taxes for the: Simplify to Grow Program were $(6) million, mark-to-market gains from derivatives were $8 million, acquisition integration costs and contingent consideration adjustments were $(13) million, divestiture-related costs were $(4) million, net earnings from divestitures were $4 million, remeasurement of net monetary position were zero, gain on marketable securities were $201 million and gain on equity method investment transactions were $125 million.</w:t>
      </w:r>
    </w:p>
    <w:p>
      <w:pPr>
        <w:pStyle w:val="TextBody"/>
        <w:spacing w:lineRule="auto" w:line="288" w:before="0" w:after="0"/>
        <w:ind w:left="0" w:right="0" w:hanging="360"/>
        <w:jc w:val="both"/>
        <w:rPr/>
      </w:pPr>
      <w:r>
        <w:rPr>
          <w:color w:val="000000"/>
        </w:rPr>
        <w:t>•</w:t>
      </w:r>
      <w:r>
        <w:rPr>
          <w:rFonts w:ascii="Arial;sans-serif" w:hAnsi="Arial;sans-serif"/>
          <w:b w:val="false"/>
          <w:color w:val="000000"/>
          <w:sz w:val="16"/>
        </w:rPr>
        <w:t>For the three months ended March 31, 2022, taxes for the: Simplify to Grow Program were $(7) million, intangible asset impairment charges were $(19) million, mark-to-market gains from derivatives were $(5) million, acquisition integration costs and contingent consideration adjustments were $(50) million, acquisition-related costs were $(1) million, net earnings from divestitures were $10 million, incremental costs due to the war in Ukraine were $2 million and loss on debt extinguishment and related expenses were $(31) million.</w:t>
      </w:r>
    </w:p>
    <w:p>
      <w:pPr>
        <w:pStyle w:val="TextBody"/>
        <w:spacing w:lineRule="auto" w:line="288" w:before="0" w:after="0"/>
        <w:ind w:left="0" w:right="0" w:hanging="360"/>
        <w:jc w:val="both"/>
        <w:rPr/>
      </w:pPr>
      <w:r>
        <w:rPr>
          <w:rFonts w:ascii="Arial;sans-serif" w:hAnsi="Arial;sans-serif"/>
          <w:b w:val="false"/>
          <w:color w:val="000000"/>
          <w:sz w:val="16"/>
        </w:rPr>
        <w:t xml:space="preserve">(2)See the </w:t>
      </w:r>
      <w:r>
        <w:rPr>
          <w:rFonts w:ascii="Arial;sans-serif" w:hAnsi="Arial;sans-serif"/>
          <w:b w:val="false"/>
          <w:i/>
          <w:color w:val="000000"/>
          <w:sz w:val="16"/>
        </w:rPr>
        <w:t>Adjusted Operating Income</w:t>
      </w:r>
      <w:r>
        <w:rPr>
          <w:color w:val="000000"/>
        </w:rPr>
        <w:t xml:space="preserve"> </w:t>
      </w:r>
      <w:r>
        <w:rPr>
          <w:rFonts w:ascii="Arial;sans-serif" w:hAnsi="Arial;sans-serif"/>
          <w:b w:val="false"/>
          <w:color w:val="000000"/>
          <w:sz w:val="16"/>
        </w:rPr>
        <w:t>table above and the related footnotes for more information.</w:t>
      </w:r>
    </w:p>
    <w:p>
      <w:pPr>
        <w:pStyle w:val="TextBody"/>
        <w:spacing w:lineRule="auto" w:line="288" w:before="0" w:after="0"/>
        <w:ind w:left="0" w:right="0" w:hanging="360"/>
        <w:jc w:val="both"/>
        <w:rPr/>
      </w:pPr>
      <w:r>
        <w:rPr>
          <w:rFonts w:ascii="Arial;sans-serif" w:hAnsi="Arial;sans-serif"/>
          <w:b w:val="false"/>
          <w:color w:val="000000"/>
          <w:sz w:val="16"/>
        </w:rPr>
        <w:t xml:space="preserve">(3)Refer to Note 8, </w:t>
      </w:r>
      <w:r>
        <w:rPr>
          <w:rFonts w:ascii="Arial;sans-serif" w:hAnsi="Arial;sans-serif"/>
          <w:b w:val="false"/>
          <w:i/>
          <w:color w:val="000000"/>
          <w:sz w:val="16"/>
        </w:rPr>
        <w:t>Debt and Borrowing Arrangements</w:t>
      </w:r>
      <w:r>
        <w:rPr>
          <w:rFonts w:ascii="Arial;sans-serif" w:hAnsi="Arial;sans-serif"/>
          <w:b w:val="false"/>
          <w:color w:val="000000"/>
          <w:sz w:val="16"/>
        </w:rPr>
        <w:t>, for more information on the loss on debt extinguishment and related expenses</w:t>
      </w:r>
    </w:p>
    <w:p>
      <w:pPr>
        <w:pStyle w:val="TextBody"/>
        <w:spacing w:lineRule="auto" w:line="288" w:before="0" w:after="0"/>
        <w:ind w:left="0" w:right="0" w:hanging="360"/>
        <w:jc w:val="both"/>
        <w:rPr/>
      </w:pPr>
      <w:r>
        <w:rPr>
          <w:rFonts w:ascii="Arial;sans-serif" w:hAnsi="Arial;sans-serif"/>
          <w:b w:val="false"/>
          <w:color w:val="000000"/>
          <w:sz w:val="16"/>
        </w:rPr>
        <w:t xml:space="preserve">(4)Refer to Note 6, </w:t>
      </w:r>
      <w:r>
        <w:rPr>
          <w:rFonts w:ascii="Arial;sans-serif" w:hAnsi="Arial;sans-serif"/>
          <w:b w:val="false"/>
          <w:i/>
          <w:color w:val="000000"/>
          <w:sz w:val="16"/>
        </w:rPr>
        <w:t>Investments,</w:t>
      </w:r>
      <w:r>
        <w:rPr>
          <w:color w:val="000000"/>
        </w:rPr>
        <w:t xml:space="preserve"> </w:t>
      </w:r>
      <w:r>
        <w:rPr>
          <w:rFonts w:ascii="Arial;sans-serif" w:hAnsi="Arial;sans-serif"/>
          <w:b w:val="false"/>
          <w:color w:val="000000"/>
          <w:sz w:val="16"/>
        </w:rPr>
        <w:t>for more information on the gains and losses on equity method investment transactions and marketable securities.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(5)Includes our proportionate share of significant operating and non-operating items recorded by our JDE Peet's equity method investee, such as acquisition and divestiture-related costs and restructuring program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53" name="Frame5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9, </w:t>
      </w:r>
      <w:r>
        <w:rPr>
          <w:rFonts w:ascii="Arial;sans-serif" w:hAnsi="Arial;sans-serif"/>
          <w:b w:val="false"/>
          <w:i/>
          <w:color w:val="000000"/>
          <w:sz w:val="20"/>
        </w:rPr>
        <w:t>Financial Instruments</w:t>
      </w:r>
      <w:r>
        <w:rPr>
          <w:rFonts w:ascii="Arial;sans-serif" w:hAnsi="Arial;sans-serif"/>
          <w:b w:val="false"/>
          <w:color w:val="000000"/>
          <w:sz w:val="20"/>
        </w:rPr>
        <w:t>.</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sans-serif" w:hAnsi="Arial;sans-serif"/>
          <w:b w:val="false"/>
          <w:i/>
          <w:color w:val="000000"/>
          <w:sz w:val="20"/>
        </w:rPr>
        <w:t>Consolidated Results of Operations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Results of Operations by Reportable Segment</w:t>
      </w:r>
      <w:r>
        <w:rPr>
          <w:color w:val="000000"/>
        </w:rPr>
        <w:t xml:space="preserve"> </w:t>
      </w:r>
      <w:r>
        <w:rPr>
          <w:rFonts w:ascii="Arial;sans-serif" w:hAnsi="Arial;sans-serif"/>
          <w:b w:val="false"/>
          <w:color w:val="000000"/>
          <w:sz w:val="20"/>
        </w:rPr>
        <w:t xml:space="preserve">under </w:t>
      </w:r>
      <w:r>
        <w:rPr>
          <w:rFonts w:ascii="Arial;sans-serif" w:hAnsi="Arial;sans-serif"/>
          <w:b w:val="false"/>
          <w:i/>
          <w:color w:val="000000"/>
          <w:sz w:val="20"/>
        </w:rPr>
        <w:t>Discussion and Analysis of Historical Results</w:t>
      </w:r>
      <w:r>
        <w:rPr>
          <w:color w:val="000000"/>
        </w:rPr>
        <w:t xml:space="preserve"> </w:t>
      </w:r>
      <w:r>
        <w:rPr>
          <w:rFonts w:ascii="Arial;sans-serif" w:hAnsi="Arial;sans-serif"/>
          <w:b w:val="false"/>
          <w:color w:val="000000"/>
          <w:sz w:val="20"/>
        </w:rPr>
        <w:t>for currency exchange effects on our financial results during the three months ended March 31, 2023. Throughout our discussion and analysis of results, we isolate currency impacts and supplementally provide net revenues, operating income and diluted earnings per share on a constant currency basis.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We also continually monitor the market for commodities that we use in our products. Input costs may fluctuate widely due to international demand, weather conditions, government policy and regulation and the macroeconomic environment. Refer to </w:t>
      </w:r>
      <w:r>
        <w:rPr>
          <w:rFonts w:ascii="Arial;sans-serif" w:hAnsi="Arial;sans-serif"/>
          <w:b w:val="false"/>
          <w:i/>
          <w:color w:val="000000"/>
          <w:sz w:val="20"/>
        </w:rPr>
        <w:t xml:space="preserve">Recent Developments and Significant Items Affecting Comparability </w:t>
      </w:r>
      <w:r>
        <w:rPr>
          <w:rFonts w:ascii="Arial;sans-serif" w:hAnsi="Arial;sans-serif"/>
          <w:b w:val="false"/>
          <w:color w:val="000000"/>
          <w:sz w:val="20"/>
        </w:rPr>
        <w:t>above for updates on recent supply chain, transportation, labor and other disruptions that are increasing operating costs and impacting our results. To manage input cost volatility and inflation, we enter into forward purchase agreements and other derivative financial instruments. We also pursue productivity and cost saving measures and take pricing actions when necessary to mitigate the impact of higher input costs on earnings.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We regularly evaluate our variable and fixed-rate debt as well as current and expected interest rates in the markets in which we raise capital. Our primary exposures include movements in U.S. Treasury rates, corporate credit spreads and commercial paper rates. We periodically use interest rate swaps and forward interest rate contracts to achieve a desired proportion of variable versus fixed rate debt based on current and projected market conditions. For more information on our debt activity, see Note 8, </w:t>
      </w:r>
      <w:r>
        <w:rPr>
          <w:rFonts w:ascii="Arial;sans-serif" w:hAnsi="Arial;sans-serif"/>
          <w:b w:val="false"/>
          <w:i/>
          <w:color w:val="000000"/>
          <w:sz w:val="20"/>
        </w:rPr>
        <w:t>Debt and Borrowing Arrangements</w:t>
      </w:r>
      <w:r>
        <w:rPr>
          <w:rFonts w:ascii="Arial;sans-serif" w:hAnsi="Arial;sans-serif"/>
          <w:b w:val="false"/>
          <w:color w:val="000000"/>
          <w:sz w:val="20"/>
        </w:rPr>
        <w: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additional information on our currency, debt and hedging strategies, policies and practices on an ongoing basis, also refer to our Annual Report on Form 10-K for the year ended December 31, 2022.</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Item 4. Controls and Procedures.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March 31, 2023. Based on this evaluation, the CEO and CFO concluded that our disclosure controls and procedures were effective as of March 31, 2023.</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54" name="Frame5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together with our CEO and CFO, evaluated the changes in our internal control over financial reporting during the quarter ended March 31, 2023. There were no material changes in our internal control over financial reporting during the quarter ended March 31, 2023, that have materially affected, or are reasonably likely to materially affect, our internal control over financial reporting.</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5" name="Frame5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Item 1. Legal Proceedings.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Information regarding legal proceedings is available in Note 12, </w:t>
      </w:r>
      <w:r>
        <w:rPr>
          <w:rFonts w:ascii="Arial;sans-serif" w:hAnsi="Arial;sans-serif"/>
          <w:b w:val="false"/>
          <w:i/>
          <w:color w:val="000000"/>
          <w:sz w:val="20"/>
        </w:rPr>
        <w:t>Commitments and Contingencies</w:t>
      </w:r>
      <w:r>
        <w:rPr>
          <w:rFonts w:ascii="Arial;sans-serif" w:hAnsi="Arial;sans-serif"/>
          <w:b w:val="false"/>
          <w:color w:val="000000"/>
          <w:sz w:val="20"/>
        </w:rPr>
        <w:t>, to the condensed consolidated financial statements in this report.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Item 1A. Risk Factors.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There were no material changes to the risk factors disclosed in our Annual Report on Form 10-K for the year ended December 31, 2022.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stock repurchase activity for each of the three months in the quarter ended March 31, 2023 was:</w:t>
      </w:r>
    </w:p>
    <w:tbl>
      <w:tblPr>
        <w:tblW w:w="10205" w:type="dxa"/>
        <w:jc w:val="left"/>
        <w:tblInd w:w="0" w:type="dxa"/>
        <w:tblCellMar>
          <w:top w:w="28" w:type="dxa"/>
          <w:left w:w="28" w:type="dxa"/>
          <w:bottom w:w="28" w:type="dxa"/>
          <w:right w:w="28" w:type="dxa"/>
        </w:tblCellMar>
      </w:tblPr>
      <w:tblGrid>
        <w:gridCol w:w="806"/>
        <w:gridCol w:w="646"/>
        <w:gridCol w:w="457"/>
        <w:gridCol w:w="510"/>
        <w:gridCol w:w="511"/>
        <w:gridCol w:w="328"/>
        <w:gridCol w:w="109"/>
        <w:gridCol w:w="109"/>
        <w:gridCol w:w="109"/>
        <w:gridCol w:w="217"/>
        <w:gridCol w:w="666"/>
        <w:gridCol w:w="113"/>
        <w:gridCol w:w="109"/>
        <w:gridCol w:w="109"/>
        <w:gridCol w:w="109"/>
        <w:gridCol w:w="510"/>
        <w:gridCol w:w="511"/>
        <w:gridCol w:w="511"/>
        <w:gridCol w:w="109"/>
        <w:gridCol w:w="109"/>
        <w:gridCol w:w="109"/>
        <w:gridCol w:w="716"/>
        <w:gridCol w:w="2193"/>
        <w:gridCol w:w="529"/>
      </w:tblGrid>
      <w:tr>
        <w:trPr/>
        <w:tc>
          <w:tcPr>
            <w:tcW w:w="80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219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r>
      <w:tr>
        <w:trPr/>
        <w:tc>
          <w:tcPr>
            <w:tcW w:w="1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9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Issuer Purchases of Equity Securities</w:t>
            </w:r>
          </w:p>
        </w:tc>
      </w:tr>
      <w:tr>
        <w:trPr/>
        <w:tc>
          <w:tcPr>
            <w:tcW w:w="1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Period</w:t>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Total</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Number</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of Shares</w:t>
            </w:r>
          </w:p>
          <w:p>
            <w:pPr>
              <w:pStyle w:val="TableContents"/>
              <w:spacing w:lineRule="auto" w:line="240" w:before="0" w:after="0"/>
              <w:jc w:val="center"/>
              <w:rPr/>
            </w:pPr>
            <w:r>
              <w:rPr>
                <w:rFonts w:ascii="Arial;sans-serif" w:hAnsi="Arial;sans-serif"/>
                <w:b/>
                <w:color w:val="000000"/>
                <w:sz w:val="16"/>
              </w:rPr>
              <w:t xml:space="preserve">Purchased </w:t>
            </w:r>
            <w:r>
              <w:rPr>
                <w:rFonts w:ascii="Arial;sans-serif" w:hAnsi="Arial;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Price Paid</w:t>
            </w:r>
          </w:p>
          <w:p>
            <w:pPr>
              <w:pStyle w:val="TableContents"/>
              <w:spacing w:lineRule="auto" w:line="240" w:before="0" w:after="0"/>
              <w:jc w:val="center"/>
              <w:rPr/>
            </w:pPr>
            <w:r>
              <w:rPr>
                <w:rFonts w:ascii="Arial;sans-serif" w:hAnsi="Arial;sans-serif"/>
                <w:b/>
                <w:color w:val="000000"/>
                <w:sz w:val="16"/>
              </w:rPr>
              <w:t>per Share </w:t>
            </w:r>
            <w:r>
              <w:rPr>
                <w:rFonts w:ascii="Arial;sans-serif" w:hAnsi="Arial;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Total Number of</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Shares Purchased</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as Part of Publicly</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Announced Plans</w:t>
            </w:r>
          </w:p>
          <w:p>
            <w:pPr>
              <w:pStyle w:val="TableContents"/>
              <w:spacing w:lineRule="auto" w:line="240" w:before="0" w:after="0"/>
              <w:jc w:val="center"/>
              <w:rPr/>
            </w:pPr>
            <w:r>
              <w:rPr>
                <w:rFonts w:ascii="Arial;sans-serif" w:hAnsi="Arial;sans-serif"/>
                <w:b/>
                <w:color w:val="000000"/>
                <w:sz w:val="16"/>
              </w:rPr>
              <w:t xml:space="preserve">or Programs </w:t>
            </w:r>
            <w:r>
              <w:rPr>
                <w:rFonts w:ascii="Arial;sans-serif" w:hAnsi="Arial;sans-serif"/>
                <w:b/>
                <w:color w:val="000000"/>
                <w:sz w:val="10"/>
              </w:rPr>
              <w:t>(2)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 xml:space="preserve">Approximate Dollar Value of Shares That May Yet Be Purchased Under the Plans or Programs </w:t>
            </w:r>
            <w:r>
              <w:rPr>
                <w:rFonts w:ascii="Arial;sans-serif" w:hAnsi="Arial;sans-serif"/>
                <w:b/>
                <w:color w:val="000000"/>
                <w:sz w:val="10"/>
              </w:rPr>
              <w:t>(2)</w:t>
            </w:r>
          </w:p>
        </w:tc>
      </w:tr>
      <w:tr>
        <w:trPr/>
        <w:tc>
          <w:tcPr>
            <w:tcW w:w="1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1-31, 2023</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2,917,541 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2,916,179 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5,808 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1-28, 2023</w:t>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1,990,633 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1,552,803 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5,706 </w:t>
            </w:r>
          </w:p>
        </w:tc>
        <w:tc>
          <w:tcPr>
            <w:tcW w:w="5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1-31, 2023</w:t>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1,698,800 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1,697,054 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5,593 </w:t>
            </w:r>
          </w:p>
        </w:tc>
        <w:tc>
          <w:tcPr>
            <w:tcW w:w="5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Quarter Ended March 31, 2023</w:t>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6,606,974 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6,166,036 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1,362 shares, 437,830 shares and 1,746 shares for the fiscal months of January, February and March 2023, respectively.</w:t>
      </w:r>
    </w:p>
    <w:p>
      <w:pPr>
        <w:pStyle w:val="TextBody"/>
        <w:spacing w:lineRule="auto" w:line="288" w:before="0" w:after="0"/>
        <w:ind w:left="0" w:right="0" w:hanging="360"/>
        <w:jc w:val="both"/>
        <w:rPr/>
      </w:pPr>
      <w:r>
        <w:rPr>
          <w:rFonts w:ascii="Arial;sans-serif" w:hAnsi="Arial;sans-serif"/>
          <w:b w:val="false"/>
          <w:color w:val="000000"/>
          <w:sz w:val="16"/>
        </w:rPr>
        <w:t xml:space="preserve">(2)Dollar values stated in millions. Effective January 1, 2023, our Board of Directors authorized a program for the repurchase of up to $6.0 billion of our Common Stock through December 31, 2025, excluding excise tax. Since the program inception on January 1, 2023 through March 31, 2023, we have repurchased $406.6 million. As of March 31, 2023, we had approximately $5.6 billion share repurchase authorization remaining. See related information in Note 11, </w:t>
      </w:r>
      <w:r>
        <w:rPr>
          <w:rFonts w:ascii="Arial;sans-serif" w:hAnsi="Arial;sans-serif"/>
          <w:b w:val="false"/>
          <w:i/>
          <w:color w:val="000000"/>
          <w:sz w:val="16"/>
        </w:rPr>
        <w:t>Stock Plans</w:t>
      </w:r>
      <w:r>
        <w:rPr>
          <w:rFonts w:ascii="Arial;sans-serif" w:hAnsi="Arial;sans-serif"/>
          <w:b w:val="false"/>
          <w:color w:val="000000"/>
          <w:sz w:val="16"/>
        </w:rPr>
        <w:t>.</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(3)As of January 1, 2023, our share repurchases in excess of issuances are subject to a 1% excise tax enacted by the Inflation Reduction Act. Any excise tax incurred on share repurchases is recognized as part of the cost basis of the shares acquired in the consolidated statements of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6" name="Frame5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6. Exhibits.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88"/>
        <w:gridCol w:w="253"/>
        <w:gridCol w:w="255"/>
        <w:gridCol w:w="109"/>
        <w:gridCol w:w="109"/>
        <w:gridCol w:w="109"/>
        <w:gridCol w:w="2737"/>
        <w:gridCol w:w="2611"/>
        <w:gridCol w:w="3734"/>
      </w:tblGrid>
      <w:tr>
        <w:trPr/>
        <w:tc>
          <w:tcPr>
            <w:tcW w:w="28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7" w:type="dxa"/>
            <w:tcBorders/>
            <w:shd w:fill="auto" w:val="clear"/>
            <w:vAlign w:val="center"/>
          </w:tcPr>
          <w:p>
            <w:pPr>
              <w:pStyle w:val="TableContents"/>
              <w:spacing w:before="0" w:after="283"/>
              <w:rPr>
                <w:sz w:val="4"/>
                <w:szCs w:val="4"/>
              </w:rPr>
            </w:pPr>
            <w:r>
              <w:rPr>
                <w:sz w:val="4"/>
                <w:szCs w:val="4"/>
              </w:rPr>
            </w:r>
          </w:p>
        </w:tc>
        <w:tc>
          <w:tcPr>
            <w:tcW w:w="2611" w:type="dxa"/>
            <w:tcBorders/>
            <w:shd w:fill="auto" w:val="clear"/>
            <w:vAlign w:val="center"/>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Description</w:t>
            </w:r>
          </w:p>
        </w:tc>
      </w:tr>
      <w:tr>
        <w:trPr/>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
              <w:r>
                <w:rPr>
                  <w:rStyle w:val="InternetLink"/>
                  <w:rFonts w:ascii="Arial;sans-serif" w:hAnsi="Arial;sans-serif"/>
                  <w:b w:val="false"/>
                  <w:color w:val="0000FF"/>
                  <w:sz w:val="20"/>
                  <w:u w:val="single"/>
                </w:rPr>
                <w:t>364-Day Revolving Credit Agreement, dated February 22, 2023, by and among Mondelēz International, Inc., the lenders named therein and JPMorgan Chase Bank, N.A., as Administrative Agent (incorporated by reference to Exhibit 10.1 to the Registrant’s Current Report on Form 8-K filed with the SEC on February 22, 2023)</w:t>
              </w:r>
            </w:hyperlink>
            <w:r>
              <w:rPr>
                <w:rFonts w:ascii="Arial;sans-serif" w:hAnsi="Arial;sans-serif"/>
                <w:b w:val="false"/>
                <w:color w:val="000000"/>
                <w:sz w:val="20"/>
              </w:rPr>
              <w:t>.</w:t>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102_33123.htm">
              <w:r>
                <w:rPr>
                  <w:rStyle w:val="InternetLink"/>
                  <w:rFonts w:ascii="Arial;sans-serif" w:hAnsi="Arial;sans-serif"/>
                  <w:b w:val="false"/>
                  <w:color w:val="0000FF"/>
                  <w:sz w:val="20"/>
                  <w:u w:val="single"/>
                </w:rPr>
                <w:t>2023 Form of Amended and Restated 2005 Performance Incentive Plan Non-Qualified Global Stock Options Agreement</w:t>
              </w:r>
            </w:hyperlink>
            <w:r>
              <w:rPr>
                <w:rFonts w:ascii="Arial;sans-serif" w:hAnsi="Arial;sans-serif"/>
                <w:b w:val="false"/>
                <w:color w:val="000000"/>
                <w:sz w:val="20"/>
              </w:rPr>
              <w:t>.+</w:t>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03_33123.htm">
              <w:r>
                <w:rPr>
                  <w:rStyle w:val="InternetLink"/>
                  <w:rFonts w:ascii="Arial;sans-serif" w:hAnsi="Arial;sans-serif"/>
                  <w:b w:val="false"/>
                  <w:color w:val="0000FF"/>
                  <w:sz w:val="20"/>
                  <w:u w:val="single"/>
                </w:rPr>
                <w:t>2023 Form of Amended and Restated 2005 Performance Incentive Plan Global Long-Term Incentive Grant Agreement.</w:t>
              </w:r>
            </w:hyperlink>
            <w:r>
              <w:rPr>
                <w:rFonts w:ascii="Arial;sans-serif" w:hAnsi="Arial;sans-serif"/>
                <w:b w:val="false"/>
                <w:color w:val="000000"/>
                <w:sz w:val="20"/>
              </w:rPr>
              <w:t>+</w:t>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104_33123.htm">
              <w:r>
                <w:rPr>
                  <w:rStyle w:val="InternetLink"/>
                  <w:rFonts w:ascii="Arial;sans-serif" w:hAnsi="Arial;sans-serif"/>
                  <w:b w:val="false"/>
                  <w:color w:val="0000FF"/>
                  <w:sz w:val="20"/>
                  <w:u w:val="single"/>
                </w:rPr>
                <w:t>2023 Form of Amended and Restated 2005 Performance Incentive Plan Global Deferred Stock Unit Agreement.</w:t>
              </w:r>
            </w:hyperlink>
            <w:r>
              <w:rPr>
                <w:rFonts w:ascii="Arial;sans-serif" w:hAnsi="Arial;sans-serif"/>
                <w:b w:val="false"/>
                <w:color w:val="000000"/>
                <w:sz w:val="20"/>
              </w:rPr>
              <w:t>+</w:t>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311_33123.htm">
              <w:r>
                <w:rPr>
                  <w:rStyle w:val="InternetLink"/>
                  <w:rFonts w:ascii="Arial;sans-serif" w:hAnsi="Arial;sans-serif"/>
                  <w:b w:val="false"/>
                  <w:color w:val="0000FF"/>
                  <w:sz w:val="20"/>
                  <w:u w:val="single"/>
                </w:rPr>
                <w:t>Certification of Chief Executive Officer pursuant to Rule 13a-14(a)/15d-14(a) of the Securities Exchange Act of 1934, as amended.</w:t>
              </w:r>
            </w:hyperlink>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312_33123.htm">
              <w:r>
                <w:rPr>
                  <w:rStyle w:val="InternetLink"/>
                  <w:rFonts w:ascii="Arial;sans-serif" w:hAnsi="Arial;sans-serif"/>
                  <w:b w:val="false"/>
                  <w:color w:val="0000FF"/>
                  <w:sz w:val="20"/>
                  <w:u w:val="single"/>
                </w:rPr>
                <w:t>Certification of Chief Financial Officer pursuant to Rule 13a-14(a)/15d-14(a) of the Securities Exchange Act of 1934, as amended.</w:t>
              </w:r>
            </w:hyperlink>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321_33123.htm">
              <w:r>
                <w:rPr>
                  <w:rStyle w:val="InternetLink"/>
                  <w:rFonts w:ascii="Arial;sans-serif" w:hAnsi="Arial;sans-serif"/>
                  <w:b w:val="false"/>
                  <w:color w:val="0000FF"/>
                  <w:sz w:val="20"/>
                  <w:u w:val="single"/>
                </w:rPr>
                <w:t>Certifications of Chief Executive Officer and Chief Financial Officer pursuant to 18 U.S.C. 1350, as adopted pursuant to Section 906 of the Sarbanes-Oxley Act of 2002.</w:t>
              </w:r>
            </w:hyperlink>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following materials from Mondelēz International’s Quarterly Report on Form 10-Q for the quarter ended March 31, 2023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and (vi) Notes to Condensed Consolidated Financial Statements.</w:t>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cover page from Mondelēz International’s Quarterly Report on Form 10-Q for the quarter ended March 31, 2023, formatted in Inline XBRL (included as Exhibit 101).</w:t>
            </w:r>
          </w:p>
        </w:tc>
      </w:tr>
      <w:tr>
        <w:trPr/>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w:t>
            </w:r>
            <w:r>
              <w:rPr>
                <w:rFonts w:ascii="Arial;sans-serif" w:hAnsi="Arial;sans-serif"/>
                <w:b w:val="false"/>
                <w:color w:val="000000"/>
                <w:sz w:val="20"/>
              </w:rPr>
              <w:t>Indicates a management contract or compensatory plan or arrangement.</w:t>
            </w:r>
          </w:p>
        </w:tc>
      </w:tr>
    </w:tbl>
    <w:p>
      <w:pPr>
        <w:pStyle w:val="TextBody"/>
        <w:spacing w:before="100" w:after="283"/>
        <w:rPr/>
      </w:pPr>
      <w:r>
        <w:rPr/>
      </w:r>
    </w:p>
    <w:p>
      <w:pPr>
        <w:pStyle w:val="TextBody"/>
        <w:spacing w:before="0" w:after="0"/>
        <w:rPr/>
      </w:pPr>
      <w:r>
        <w:rPr/>
      </w:r>
    </w:p>
    <w:p>
      <w:pPr>
        <w:pStyle w:val="TextBody"/>
        <w:spacing w:before="0" w:after="0"/>
        <w:rPr/>
      </w:pPr>
      <w:r>
        <w:rPr/>
      </w:r>
    </w:p>
    <w:p>
      <w:pPr>
        <w:pStyle w:val="TextBody"/>
        <w:spacing w:before="0" w:after="0"/>
        <w:ind w:left="0" w:right="0" w:firstLine="855"/>
        <w:rPr/>
      </w:pPr>
      <w:r>
        <w:rPr/>
      </w:r>
    </w:p>
    <w:p>
      <w:pPr>
        <w:pStyle w:val="TextBody"/>
        <w:spacing w:before="34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0520"/>
                <wp:effectExtent l="0" t="0" r="0" b="0"/>
                <wp:wrapNone/>
                <wp:docPr id="57" name="Frame5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53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53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jc w:val="both"/>
        <w:rPr>
          <w:color w:val="000000"/>
        </w:rPr>
      </w:pPr>
      <w:r>
        <w:rPr>
          <w:color w:val="000000"/>
        </w:rPr>
        <w:t> </w:t>
      </w:r>
    </w:p>
    <w:tbl>
      <w:tblPr>
        <w:tblW w:w="3376" w:type="dxa"/>
        <w:jc w:val="left"/>
        <w:tblInd w:w="0" w:type="dxa"/>
        <w:tblCellMar>
          <w:top w:w="28" w:type="dxa"/>
          <w:left w:w="28" w:type="dxa"/>
          <w:bottom w:w="28" w:type="dxa"/>
          <w:right w:w="28" w:type="dxa"/>
        </w:tblCellMar>
      </w:tblPr>
      <w:tblGrid>
        <w:gridCol w:w="1081"/>
        <w:gridCol w:w="950"/>
        <w:gridCol w:w="1345"/>
      </w:tblGrid>
      <w:tr>
        <w:trPr/>
        <w:tc>
          <w:tcPr>
            <w:tcW w:w="1081"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r>
      <w:tr>
        <w:trPr/>
        <w:tc>
          <w:tcPr>
            <w:tcW w:w="3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MONDELĒZ INTERNATIONAL, INC.</w:t>
            </w:r>
          </w:p>
        </w:tc>
      </w:tr>
      <w:tr>
        <w:trPr/>
        <w:tc>
          <w:tcPr>
            <w:tcW w:w="3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 LUCA ZARAMELLA</w:t>
            </w:r>
          </w:p>
        </w:tc>
      </w:tr>
      <w:tr>
        <w:trPr/>
        <w:tc>
          <w:tcPr>
            <w:tcW w:w="33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r>
          </w:p>
        </w:tc>
      </w:tr>
      <w:tr>
        <w:trPr/>
        <w:tc>
          <w:tcPr>
            <w:tcW w:w="3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w:t>
            </w:r>
          </w:p>
        </w:tc>
      </w:tr>
      <w:tr>
        <w:trPr/>
        <w:tc>
          <w:tcPr>
            <w:tcW w:w="3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2C2C2C"/>
                <w:sz w:val="20"/>
              </w:rPr>
            </w:pPr>
            <w:r>
              <w:rPr>
                <w:rFonts w:ascii="Arial;sans-serif" w:hAnsi="Arial;sans-serif"/>
                <w:b w:val="false"/>
                <w:color w:val="2C2C2C"/>
                <w:sz w:val="20"/>
              </w:rPr>
              <w:t>(Duly Authorized Officer)</w:t>
            </w:r>
          </w:p>
        </w:tc>
      </w:tr>
      <w:tr>
        <w:trPr/>
        <w:tc>
          <w:tcPr>
            <w:tcW w:w="3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27, 2023</w:t>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58" name="Frame5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 Dirk Van de Put, certify that:</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Mondelēz International, Inc.;</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Date: April 27, 2023 </w:t>
      </w:r>
    </w:p>
    <w:p>
      <w:pPr>
        <w:pStyle w:val="TextBody"/>
        <w:spacing w:lineRule="auto" w:line="288" w:before="0" w:after="0"/>
        <w:rPr>
          <w:color w:val="000000"/>
        </w:rPr>
      </w:pPr>
      <w:r>
        <w:rPr>
          <w:color w:val="000000"/>
        </w:rPr>
        <w:t> </w:t>
      </w:r>
    </w:p>
    <w:tbl>
      <w:tblPr>
        <w:tblW w:w="3450" w:type="dxa"/>
        <w:jc w:val="right"/>
        <w:tblInd w:w="0" w:type="dxa"/>
        <w:tblCellMar>
          <w:top w:w="28" w:type="dxa"/>
          <w:left w:w="28" w:type="dxa"/>
          <w:bottom w:w="28" w:type="dxa"/>
          <w:right w:w="28" w:type="dxa"/>
        </w:tblCellMar>
      </w:tblPr>
      <w:tblGrid>
        <w:gridCol w:w="1099"/>
        <w:gridCol w:w="967"/>
        <w:gridCol w:w="1384"/>
      </w:tblGrid>
      <w:tr>
        <w:trPr/>
        <w:tc>
          <w:tcPr>
            <w:tcW w:w="1099"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DIRK VAN DE PUT</w:t>
            </w:r>
          </w:p>
        </w:tc>
      </w:tr>
      <w:tr>
        <w:trPr/>
        <w:tc>
          <w:tcPr>
            <w:tcW w:w="3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Dirk Van de Put</w:t>
              <w:br/>
              <w:t>Chairman and Chief Executive Officer</w:t>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59" name="Frame5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 Luca Zaramella, certify that:</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Mondelēz International, Inc.;</w:t>
      </w:r>
    </w:p>
    <w:p>
      <w:pPr>
        <w:pStyle w:val="TextBody"/>
        <w:spacing w:before="0" w:after="0"/>
        <w:ind w:left="0" w:right="0" w:hanging="36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36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36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Date: April 27, 2023 </w:t>
      </w:r>
    </w:p>
    <w:tbl>
      <w:tblPr>
        <w:tblW w:w="2744" w:type="dxa"/>
        <w:jc w:val="right"/>
        <w:tblInd w:w="0" w:type="dxa"/>
        <w:tblCellMar>
          <w:top w:w="28" w:type="dxa"/>
          <w:left w:w="28" w:type="dxa"/>
          <w:bottom w:w="28" w:type="dxa"/>
          <w:right w:w="28" w:type="dxa"/>
        </w:tblCellMar>
      </w:tblPr>
      <w:tblGrid>
        <w:gridCol w:w="879"/>
        <w:gridCol w:w="772"/>
        <w:gridCol w:w="1093"/>
      </w:tblGrid>
      <w:tr>
        <w:trPr/>
        <w:tc>
          <w:tcPr>
            <w:tcW w:w="87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LUCA ZARAMELLA</w:t>
            </w:r>
          </w:p>
        </w:tc>
      </w:tr>
      <w:tr>
        <w:trPr/>
        <w:tc>
          <w:tcPr>
            <w:tcW w:w="2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br/>
              <w:t>Executive Vice President and</w:t>
              <w:br/>
              <w:t>Chief Financial Officer</w:t>
            </w:r>
          </w:p>
        </w:tc>
      </w:tr>
    </w:tbl>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60" name="Frame5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857567ba8d654b33b371666775a41902_7">
        <w:r>
          <w:rPr>
            <w:rStyle w:val="InternetLink"/>
            <w:rFonts w:ascii="Arial;sans-serif" w:hAnsi="Arial;sans-serif"/>
            <w:b w:val="false"/>
            <w:color w:val="0000FF"/>
            <w:sz w:val="20"/>
            <w:u w:val="single"/>
          </w:rPr>
          <w:t>Table of Contents</w:t>
        </w:r>
      </w:hyperlink>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spacing w:lineRule="auto" w:line="288" w:before="360" w:after="283"/>
        <w:jc w:val="center"/>
        <w:rPr>
          <w:rFonts w:ascii="Arial;sans-serif" w:hAnsi="Arial;sans-serif"/>
          <w:b/>
          <w:color w:val="000000"/>
          <w:sz w:val="20"/>
        </w:rPr>
      </w:pPr>
      <w:r>
        <w:rPr>
          <w:rFonts w:ascii="Arial;sans-serif" w:hAnsi="Arial;sans-serif"/>
          <w:b/>
          <w:color w:val="000000"/>
          <w:sz w:val="20"/>
        </w:rPr>
        <w:t>CERTIFICATIONS OF</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CHIEF EXECUTIVE OFFICER AND CHIEF FINANCIAL OFFICER</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March 31, 2023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tbl>
      <w:tblPr>
        <w:tblW w:w="3450" w:type="dxa"/>
        <w:jc w:val="left"/>
        <w:tblInd w:w="0" w:type="dxa"/>
        <w:tblCellMar>
          <w:top w:w="28" w:type="dxa"/>
          <w:left w:w="28" w:type="dxa"/>
          <w:bottom w:w="28" w:type="dxa"/>
          <w:right w:w="28" w:type="dxa"/>
        </w:tblCellMar>
      </w:tblPr>
      <w:tblGrid>
        <w:gridCol w:w="1104"/>
        <w:gridCol w:w="968"/>
        <w:gridCol w:w="1378"/>
      </w:tblGrid>
      <w:tr>
        <w:trPr/>
        <w:tc>
          <w:tcPr>
            <w:tcW w:w="1104"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DIRK VAN DE PUT</w:t>
            </w:r>
          </w:p>
        </w:tc>
      </w:tr>
      <w:tr>
        <w:trPr/>
        <w:tc>
          <w:tcPr>
            <w:tcW w:w="3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Dirk Van de Put</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27, 2023</w:t>
            </w:r>
          </w:p>
        </w:tc>
      </w:tr>
    </w:tbl>
    <w:p>
      <w:pPr>
        <w:pStyle w:val="TextBody"/>
        <w:spacing w:lineRule="auto" w:line="288" w:before="80" w:after="283"/>
        <w:jc w:val="both"/>
        <w:rPr/>
      </w:pPr>
      <w:r>
        <w:rPr>
          <w:rFonts w:ascii="Arial;sans-serif" w:hAnsi="Arial;sans-serif"/>
          <w:b w:val="false"/>
          <w:color w:val="000000"/>
          <w:sz w:val="20"/>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March 31, 2023 (the "Report"), fully complies with the requirements of Section 13(a) or 15(d) of the Securities Exchange Act of 1934 and that the information contained in the Report fairly presents, in all material respects, Mondelēz International’s financial condition and results of operations.</w:t>
      </w:r>
      <w:r>
        <w:rPr>
          <w:color w:val="000000"/>
        </w:rPr>
        <w:t> </w:t>
      </w:r>
    </w:p>
    <w:tbl>
      <w:tblPr>
        <w:tblW w:w="2744" w:type="dxa"/>
        <w:jc w:val="left"/>
        <w:tblInd w:w="0" w:type="dxa"/>
        <w:tblCellMar>
          <w:top w:w="28" w:type="dxa"/>
          <w:left w:w="28" w:type="dxa"/>
          <w:bottom w:w="28" w:type="dxa"/>
          <w:right w:w="28" w:type="dxa"/>
        </w:tblCellMar>
      </w:tblPr>
      <w:tblGrid>
        <w:gridCol w:w="879"/>
        <w:gridCol w:w="772"/>
        <w:gridCol w:w="1093"/>
      </w:tblGrid>
      <w:tr>
        <w:trPr/>
        <w:tc>
          <w:tcPr>
            <w:tcW w:w="87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LUCA ZARAMELLA</w:t>
            </w:r>
          </w:p>
        </w:tc>
      </w:tr>
      <w:tr>
        <w:trPr/>
        <w:tc>
          <w:tcPr>
            <w:tcW w:w="2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27, 2023</w:t>
            </w:r>
          </w:p>
        </w:tc>
      </w:tr>
    </w:tbl>
    <w:p>
      <w:pPr>
        <w:pStyle w:val="TextBody"/>
        <w:spacing w:lineRule="auto" w:line="288" w:before="260" w:after="283"/>
        <w:jc w:val="both"/>
        <w:rPr>
          <w:rFonts w:ascii="Arial;sans-serif" w:hAnsi="Arial;sans-serif"/>
          <w:b w:val="false"/>
          <w:i/>
          <w:color w:val="000000"/>
          <w:sz w:val="20"/>
        </w:rPr>
      </w:pPr>
      <w:r>
        <w:rPr>
          <w:rFonts w:ascii="Arial;sans-serif" w:hAnsi="Arial;sans-serif"/>
          <w:b w:val="false"/>
          <w:i/>
          <w:color w:val="000000"/>
          <w:sz w:val="20"/>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p>
      <w:pPr>
        <w:pStyle w:val="TextBody"/>
        <w:spacing w:before="360" w:after="283"/>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Palatino;serif" w:hAnsi="Palatino;serif"/>
          <w:b w:val="false"/>
          <w:color w:val="000000"/>
          <w:sz w:val="24"/>
        </w:rPr>
      </w:pPr>
      <w:r>
        <w:rPr>
          <w:rFonts w:ascii="Palatino;serif" w:hAnsi="Palatino;serif"/>
          <w:b w:val="false"/>
          <w:color w:val="000000"/>
          <w:sz w:val="24"/>
        </w:rPr>
        <w:t>E</w:t>
      </w:r>
      <w:r>
        <w:rPr>
          <w:rFonts w:ascii="Palatino;serif" w:hAnsi="Palatino;serif"/>
          <w:b w:val="false"/>
          <w:color w:val="000000"/>
          <w:sz w:val="24"/>
        </w:rPr>
        <w:t>xhibit 10.2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0520"/>
                <wp:effectExtent l="0" t="0" r="0" b="0"/>
                <wp:wrapNone/>
                <wp:docPr id="61" name="Frame6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08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p>
                      <w:pPr>
                        <w:pStyle w:val="TextBody"/>
                        <w:spacing w:before="0" w:after="0"/>
                        <w:jc w:val="center"/>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2005 PERFORMANCE INCENTIVE PLAN</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as of February 3, 2017)</w:t>
      </w:r>
    </w:p>
    <w:p>
      <w:pPr>
        <w:pStyle w:val="TextBody"/>
        <w:spacing w:before="0" w:after="0"/>
        <w:jc w:val="center"/>
        <w:rPr/>
      </w:pPr>
      <w:r>
        <w:rPr/>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NON-QUALIFIED GLOBAL STOCK OPTION AGREEMENT</w:t>
      </w:r>
    </w:p>
    <w:p>
      <w:pPr>
        <w:pStyle w:val="TextBody"/>
        <w:spacing w:lineRule="auto" w:line="240" w:before="0" w:after="240"/>
        <w:rPr/>
      </w:pPr>
      <w:r>
        <w:rPr>
          <w:color w:val="000000"/>
        </w:rPr>
        <w:t>        </w:t>
      </w:r>
      <w:r>
        <w:rPr>
          <w:rFonts w:ascii="Times New Roman;sans-serif" w:hAnsi="Times New Roman;sans-serif"/>
          <w:b w:val="false"/>
          <w:color w:val="000000"/>
          <w:sz w:val="22"/>
        </w:rPr>
        <w:t>MONDELĒZ INTERNATIONAL, INC., a Virginia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employee (the “</w:t>
      </w:r>
      <w:r>
        <w:rPr>
          <w:rFonts w:ascii="Times New Roman;sans-serif" w:hAnsi="Times New Roman;sans-serif"/>
          <w:b w:val="false"/>
          <w:color w:val="000000"/>
          <w:sz w:val="22"/>
          <w:u w:val="single"/>
        </w:rPr>
        <w:t>Optionee</w:t>
      </w:r>
      <w:r>
        <w:rPr>
          <w:color w:val="000000"/>
        </w:rPr>
        <w:t>”</w:t>
      </w:r>
      <w:r>
        <w:rPr>
          <w:rFonts w:ascii="Times New Roman;sans-serif" w:hAnsi="Times New Roman;sans-serif"/>
          <w:b w:val="false"/>
          <w:color w:val="000000"/>
          <w:sz w:val="22"/>
        </w:rPr>
        <w:t>) identified in the award statement provided to the Optionee (the “</w:t>
      </w:r>
      <w:r>
        <w:rPr>
          <w:rFonts w:ascii="Times New Roman;sans-serif" w:hAnsi="Times New Roman;sans-serif"/>
          <w:b w:val="false"/>
          <w:color w:val="000000"/>
          <w:sz w:val="22"/>
          <w:u w:val="single"/>
        </w:rPr>
        <w:t>Award Statement</w:t>
      </w:r>
      <w:r>
        <w:rPr>
          <w:color w:val="000000"/>
        </w:rPr>
        <w:t>”</w:t>
      </w:r>
      <w:r>
        <w:rPr>
          <w:rFonts w:ascii="Times New Roman;sans-serif" w:hAnsi="Times New Roman;sans-serif"/>
          <w:b w:val="false"/>
          <w:color w:val="000000"/>
          <w:sz w:val="22"/>
        </w:rPr>
        <w:t>) under the Mondelēz International, Inc. Amended and Restated 2005 Performance Incentive Plan, as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non-qualified stock options (the “</w:t>
      </w:r>
      <w:r>
        <w:rPr>
          <w:rFonts w:ascii="Times New Roman;sans-serif" w:hAnsi="Times New Roman;sans-serif"/>
          <w:b w:val="false"/>
          <w:color w:val="000000"/>
          <w:sz w:val="22"/>
          <w:u w:val="single"/>
        </w:rPr>
        <w:t>Option</w:t>
      </w:r>
      <w:r>
        <w:rPr>
          <w:color w:val="000000"/>
        </w:rPr>
        <w:t>”</w:t>
      </w:r>
      <w:r>
        <w:rPr>
          <w:rFonts w:ascii="Times New Roman;sans-serif" w:hAnsi="Times New Roman;sans-serif"/>
          <w:b w:val="false"/>
          <w:color w:val="000000"/>
          <w:sz w:val="22"/>
        </w:rPr>
        <w:t>). The Option entitles the Optionee to exercise options for up to the aggregate number of shares set forth in the Award Statement (the “</w:t>
      </w:r>
      <w:r>
        <w:rPr>
          <w:rFonts w:ascii="Times New Roman;sans-serif" w:hAnsi="Times New Roman;sans-serif"/>
          <w:b w:val="false"/>
          <w:color w:val="000000"/>
          <w:sz w:val="22"/>
          <w:u w:val="single"/>
        </w:rPr>
        <w:t>Option Shares</w:t>
      </w:r>
      <w:r>
        <w:rPr>
          <w:color w:val="000000"/>
        </w:rPr>
        <w:t>”</w:t>
      </w:r>
      <w:r>
        <w:rPr>
          <w:rFonts w:ascii="Times New Roman;sans-serif" w:hAnsi="Times New Roman;sans-serif"/>
          <w:b w:val="false"/>
          <w:color w:val="000000"/>
          <w:sz w:val="22"/>
        </w:rPr>
        <w:t>) of the Company’s Common Stock, at the price per share set forth in the Award Statement (the “</w:t>
      </w:r>
      <w:r>
        <w:rPr>
          <w:rFonts w:ascii="Times New Roman;sans-serif" w:hAnsi="Times New Roman;sans-serif"/>
          <w:b w:val="false"/>
          <w:color w:val="000000"/>
          <w:sz w:val="22"/>
          <w:u w:val="single"/>
        </w:rPr>
        <w:t>Grant Price</w:t>
      </w:r>
      <w:r>
        <w:rPr>
          <w:color w:val="000000"/>
        </w:rPr>
        <w:t>”</w:t>
      </w:r>
      <w:r>
        <w:rPr>
          <w:rFonts w:ascii="Times New Roman;sans-serif" w:hAnsi="Times New Roman;sans-serif"/>
          <w:b w:val="false"/>
          <w:color w:val="000000"/>
          <w:sz w:val="22"/>
        </w:rPr>
        <w:t>). Capitalized terms not otherwise defined in this Non-Qualified Global Stock Option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shall have the same meaning as defined under the Plan. All references to action of or approval by the Committee shall be deemed to include action of or approval by any other person(s) to whom the Committee has delegated authority to act.</w:t>
      </w:r>
    </w:p>
    <w:p>
      <w:pPr>
        <w:pStyle w:val="TextBody"/>
        <w:spacing w:lineRule="auto" w:line="240" w:before="0" w:after="240"/>
        <w:ind w:left="0" w:right="0" w:firstLine="360"/>
        <w:rPr>
          <w:rFonts w:ascii="Times New Roman;sans-serif" w:hAnsi="Times New Roman;sans-serif"/>
          <w:b w:val="false"/>
          <w:color w:val="000000"/>
          <w:sz w:val="22"/>
        </w:rPr>
      </w:pPr>
      <w:r>
        <w:rPr>
          <w:rFonts w:ascii="Times New Roman;sans-serif" w:hAnsi="Times New Roman;sans-serif"/>
          <w:b w:val="false"/>
          <w:color w:val="000000"/>
          <w:sz w:val="22"/>
        </w:rPr>
        <w:t>The Option is subject to the following terms and conditions (including the country-specific terms set forth in Appendix A to this Agreement):</w:t>
      </w:r>
    </w:p>
    <w:p>
      <w:pPr>
        <w:pStyle w:val="TextBody"/>
        <w:spacing w:lineRule="auto" w:line="240" w:before="0" w:after="240"/>
        <w:ind w:left="0" w:right="0" w:firstLine="360"/>
        <w:rPr>
          <w:rFonts w:ascii="Times New Roman;sans-serif" w:hAnsi="Times New Roman;sans-serif"/>
          <w:b/>
          <w:color w:val="000000"/>
          <w:sz w:val="22"/>
        </w:rPr>
      </w:pPr>
      <w:r>
        <w:rPr>
          <w:rFonts w:ascii="Times New Roman;sans-serif" w:hAnsi="Times New Roman;sans-serif"/>
          <w:b/>
          <w:color w:val="000000"/>
          <w:sz w:val="22"/>
        </w:rPr>
        <w:t>The Optionee must either execute and deliver an acceptance of the terms set forth in this Agreement or electronically accept the terms set forth in this Agreement, in the manner and within a period specified by the Committee. The Committee may, in its sole discretion, cancel the Option if the Optionee fails to accept this Agreement and related documents within the specified period or using the procedures for acceptance established by the Committee.</w:t>
      </w:r>
    </w:p>
    <w:p>
      <w:pPr>
        <w:pStyle w:val="TextBody"/>
        <w:spacing w:lineRule="auto" w:line="240" w:before="0" w:after="240"/>
        <w:ind w:left="0" w:right="0" w:firstLine="450"/>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Except as expressly provided in this Agreement, this Option may not be exercised before the vesting requirements (“</w:t>
      </w:r>
      <w:r>
        <w:rPr>
          <w:rFonts w:ascii="Times New Roman;sans-serif" w:hAnsi="Times New Roman;sans-serif"/>
          <w:b w:val="false"/>
          <w:color w:val="000000"/>
          <w:sz w:val="22"/>
          <w:u w:val="single"/>
        </w:rPr>
        <w:t>Vesting Requirements</w:t>
      </w:r>
      <w:r>
        <w:rPr>
          <w:color w:val="000000"/>
        </w:rPr>
        <w:t>”</w:t>
      </w:r>
      <w:r>
        <w:rPr>
          <w:rFonts w:ascii="Times New Roman;sans-serif" w:hAnsi="Times New Roman;sans-serif"/>
          <w:b w:val="false"/>
          <w:color w:val="000000"/>
          <w:sz w:val="22"/>
        </w:rPr>
        <w:t>) set forth in the schedule to the Award Statement (the “</w:t>
      </w:r>
      <w:r>
        <w:rPr>
          <w:rFonts w:ascii="Times New Roman;sans-serif" w:hAnsi="Times New Roman;sans-serif"/>
          <w:b w:val="false"/>
          <w:color w:val="000000"/>
          <w:sz w:val="22"/>
          <w:u w:val="single"/>
        </w:rPr>
        <w:t>Schedule</w:t>
      </w:r>
      <w:r>
        <w:rPr>
          <w:color w:val="000000"/>
        </w:rPr>
        <w:t>”</w:t>
      </w:r>
      <w:r>
        <w:rPr>
          <w:rFonts w:ascii="Times New Roman;sans-serif" w:hAnsi="Times New Roman;sans-serif"/>
          <w:b w:val="false"/>
          <w:color w:val="000000"/>
          <w:sz w:val="22"/>
        </w:rPr>
        <w:t>) have been satisfied.</w:t>
      </w:r>
    </w:p>
    <w:p>
      <w:pPr>
        <w:pStyle w:val="TextBody"/>
        <w:spacing w:lineRule="auto" w:line="240" w:before="0" w:after="240"/>
        <w:ind w:left="0" w:right="0" w:firstLine="450"/>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Vesting Upon Termination of Employment</w:t>
      </w:r>
      <w:r>
        <w:rPr>
          <w:rFonts w:ascii="Times New Roman;sans-serif" w:hAnsi="Times New Roman;sans-serif"/>
          <w:b w:val="false"/>
          <w:color w:val="000000"/>
          <w:sz w:val="22"/>
        </w:rPr>
        <w:t xml:space="preserve">. Unless determined otherwise by the Committee or except as expressly provided in this Agreement, if the Optionee terminates employment with the Mondelēz Group before satisfying the Vesting Requirements, this Option will not be exercisable. If the Optionee terminates employment with the Mondelez Group before satisfying the Vesting Requirements due to: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(a)     the Optionee’s death or Disability (as defined below in paragraph 15), then this Option will become immediately exercisable for 100% of the Option Shares identified in the Award Statement; or </w:t>
      </w:r>
    </w:p>
    <w:p>
      <w:pPr>
        <w:pStyle w:val="TextBody"/>
        <w:spacing w:lineRule="auto" w:line="240" w:before="0" w:after="240"/>
        <w:ind w:left="0" w:right="0" w:firstLine="720"/>
        <w:rPr/>
      </w:pPr>
      <w:r>
        <w:rPr>
          <w:rFonts w:ascii="Times New Roman;sans-serif" w:hAnsi="Times New Roman;sans-serif"/>
          <w:b w:val="false"/>
          <w:color w:val="000000"/>
          <w:sz w:val="22"/>
        </w:rPr>
        <w:t>(b)     the Optionee’s Retirement (as defined below in paragraph 15) occurring on or after 180 days of the date of grant (“</w:t>
      </w:r>
      <w:r>
        <w:rPr>
          <w:rFonts w:ascii="Times New Roman;sans-serif" w:hAnsi="Times New Roman;sans-serif"/>
          <w:b w:val="false"/>
          <w:color w:val="000000"/>
          <w:sz w:val="22"/>
          <w:u w:val="single"/>
        </w:rPr>
        <w:t>Grant Date</w:t>
      </w:r>
      <w:r>
        <w:rPr>
          <w:color w:val="000000"/>
        </w:rPr>
        <w:t>”</w:t>
      </w:r>
      <w:r>
        <w:rPr>
          <w:rFonts w:ascii="Times New Roman;sans-serif" w:hAnsi="Times New Roman;sans-serif"/>
          <w:b w:val="false"/>
          <w:color w:val="000000"/>
          <w:sz w:val="22"/>
        </w:rPr>
        <w:t>) of the Option, or as otherwise determined by the Committee, and provided the Option is not otherwise accounted for, or included in, the Optionee’s severance or retirement arrangement with the Mondelēz Group and the Optionee timely executes a general release and waiver of claims in a form and manner determined by the Company in its sole discretion, then this Option will continue to vest and become exercisable as identified on the Schedule as if the Optionee’s employment had not terminated.</w:t>
      </w:r>
    </w:p>
    <w:p>
      <w:pPr>
        <w:pStyle w:val="TextBody"/>
        <w:spacing w:lineRule="auto" w:line="240" w:before="0" w:after="240"/>
        <w:ind w:left="0" w:right="0" w:firstLine="450"/>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Exercisability Upon Termination of Employment from the Mondelēz Group</w:t>
      </w:r>
      <w:r>
        <w:rPr>
          <w:rFonts w:ascii="Times New Roman;sans-serif" w:hAnsi="Times New Roman;sans-serif"/>
          <w:b w:val="false"/>
          <w:color w:val="000000"/>
          <w:sz w:val="22"/>
        </w:rPr>
        <w:t>. During the period commencing on the first date that the Vesting Requirements are satisfied (or, such earlier date determined in accordance with paragraph 2) until the close of the market on the expiration date set forth in the Schedule (“</w:t>
      </w:r>
      <w:r>
        <w:rPr>
          <w:rFonts w:ascii="Times New Roman;sans-serif" w:hAnsi="Times New Roman;sans-serif"/>
          <w:b w:val="false"/>
          <w:color w:val="000000"/>
          <w:sz w:val="22"/>
          <w:u w:val="single"/>
        </w:rPr>
        <w:t>Expiration Date</w:t>
      </w:r>
      <w:r>
        <w:rPr>
          <w:color w:val="000000"/>
        </w:rPr>
        <w:t>”</w:t>
      </w:r>
      <w:r>
        <w:rPr>
          <w:rFonts w:ascii="Times New Roman;sans-serif" w:hAnsi="Times New Roman;sans-serif"/>
          <w:b w:val="false"/>
          <w:color w:val="000000"/>
          <w:sz w:val="22"/>
        </w:rPr>
        <w:t>) (or if the market is closed on such date, the close of the market on the last date the market is open prior to the Expiration Date), this Option may be exercised in whole or in part with respect to such Option Shares, subject to the following provisions: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(a)    In the event that the Optionee’s employment terminates by reason of Retirement, death or Disability, such Option may be exercised on or prior to the Expiration Date;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(b)    If employment is terminated by the Optionee (other than by Retirement, death or Disability), such Option may be exercised until the close of the market 90 days from the effective date of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01320"/>
                <wp:effectExtent l="0" t="0" r="0" b="0"/>
                <wp:wrapNone/>
                <wp:docPr id="62" name="Frame61"/>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1</w:t>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termination (the “</w:t>
      </w:r>
      <w:r>
        <w:rPr>
          <w:rFonts w:ascii="Times New Roman;sans-serif" w:hAnsi="Times New Roman;sans-serif"/>
          <w:b w:val="false"/>
          <w:color w:val="000000"/>
          <w:sz w:val="22"/>
          <w:u w:val="single"/>
        </w:rPr>
        <w:t>90-Day Period</w:t>
      </w:r>
      <w:r>
        <w:rPr>
          <w:color w:val="000000"/>
        </w:rPr>
        <w:t>”</w:t>
      </w:r>
      <w:r>
        <w:rPr>
          <w:rFonts w:ascii="Times New Roman;sans-serif" w:hAnsi="Times New Roman;sans-serif"/>
          <w:b w:val="false"/>
          <w:color w:val="000000"/>
          <w:sz w:val="22"/>
        </w:rPr>
        <w:t>) (or if the market is closed on such date, the close of the market on the last date the market is open prior to the expiration of the 90-Day Period);</w:t>
      </w:r>
    </w:p>
    <w:p>
      <w:pPr>
        <w:pStyle w:val="TextBody"/>
        <w:spacing w:lineRule="auto" w:line="240" w:before="0" w:after="240"/>
        <w:ind w:left="0" w:right="0" w:firstLine="720"/>
        <w:rPr/>
      </w:pPr>
      <w:r>
        <w:rPr>
          <w:rFonts w:ascii="Times New Roman;sans-serif" w:hAnsi="Times New Roman;sans-serif"/>
          <w:b w:val="false"/>
          <w:color w:val="000000"/>
          <w:sz w:val="22"/>
        </w:rPr>
        <w:t>(c)    If, other than by death, Disability or Retirement, the Optionee’s employment is terminated by the Mondelēz Group without Cause for any reason (even if such termination constitutes unfair dismissal under the employment laws of the country where the Optionee resides or if the Optionee’s termination is later determined to be invalid and/or his or her employment is reinstated) or in the event of any other termination of employment caused directly or indirectly by the Mondelēz Group, such Option may be exercised until the close of the market 12 months from the effective date of termination (the “</w:t>
      </w:r>
      <w:r>
        <w:rPr>
          <w:rFonts w:ascii="Times New Roman;sans-serif" w:hAnsi="Times New Roman;sans-serif"/>
          <w:b w:val="false"/>
          <w:color w:val="000000"/>
          <w:sz w:val="22"/>
          <w:u w:val="single"/>
        </w:rPr>
        <w:t>12-Month Period</w:t>
      </w:r>
      <w:r>
        <w:rPr>
          <w:color w:val="000000"/>
        </w:rPr>
        <w:t>”</w:t>
      </w:r>
      <w:r>
        <w:rPr>
          <w:rFonts w:ascii="Times New Roman;sans-serif" w:hAnsi="Times New Roman;sans-serif"/>
          <w:b w:val="false"/>
          <w:color w:val="000000"/>
          <w:sz w:val="22"/>
        </w:rPr>
        <w:t>) (or if the market is closed on such date, the close of the market on the last date the market is open prior to the expiration of the 12-Month Period); and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    If the Optionee’s employment is involuntarily suspended or terminated by the Mondelēz Group for Cause, the Option shall be forfeited.</w:t>
      </w:r>
    </w:p>
    <w:p>
      <w:pPr>
        <w:pStyle w:val="TextBody"/>
        <w:spacing w:lineRule="auto" w:line="240" w:before="0" w:after="240"/>
        <w:rPr/>
      </w:pPr>
      <w:r>
        <w:rPr>
          <w:color w:val="000000"/>
        </w:rPr>
        <w:t>        </w:t>
      </w:r>
      <w:r>
        <w:rPr>
          <w:rFonts w:ascii="Times New Roman;sans-serif" w:hAnsi="Times New Roman;sans-serif"/>
          <w:b w:val="false"/>
          <w:color w:val="000000"/>
          <w:sz w:val="22"/>
        </w:rPr>
        <w:t>No provision of this paragraph 3 shall permit the exercise of any Option after the Expiration Date. For purposes of this Agreement, the Optionee’s employment shall be deemed to be terminated when he or she is no longer actively employed by the Mondelēz Group (regardless of the reason for such termination and whether or not later found to be invalid or in breach of employment laws in the jurisdiction where the Optionee is employed or the terms of the Optionee’s employment agreement, if any). The Optionee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Optionee is no longer actively employed for purposes of the Option. Unless otherwise determined by the Committee, leaves of absence shall not constitute a termination of employment for purposes of this Agreement. Notwithstanding the foregoing provisions and unless otherwise determined by the Company, this Option may only be exercised on a day that the Nasdaq Global Select Market (the “</w:t>
      </w:r>
      <w:r>
        <w:rPr>
          <w:rFonts w:ascii="Times New Roman;sans-serif" w:hAnsi="Times New Roman;sans-serif"/>
          <w:b w:val="false"/>
          <w:color w:val="000000"/>
          <w:sz w:val="22"/>
          <w:u w:val="single"/>
        </w:rPr>
        <w:t>Exchange</w:t>
      </w:r>
      <w:r>
        <w:rPr>
          <w:color w:val="000000"/>
        </w:rPr>
        <w:t>”</w:t>
      </w:r>
      <w:r>
        <w:rPr>
          <w:rFonts w:ascii="Times New Roman;sans-serif" w:hAnsi="Times New Roman;sans-serif"/>
          <w:b w:val="false"/>
          <w:color w:val="000000"/>
          <w:sz w:val="22"/>
        </w:rPr>
        <w:t>) is open. Accordingly, if the Expiration Date (or the expiration of the 90-Day Period and/or the 12-Month Period) is a day the Exchange is closed, the Expiration Date (or the expiration of the 90-Day Period and/or the 12-Month Period) shall be the immediately preceding day on which the Exchange is open.</w:t>
      </w:r>
    </w:p>
    <w:p>
      <w:pPr>
        <w:pStyle w:val="TextBody"/>
        <w:spacing w:lineRule="auto" w:line="240" w:before="0" w:after="240"/>
        <w:ind w:left="0" w:right="0" w:firstLine="450"/>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Exercise of Option and Withholding Taxes</w:t>
      </w:r>
      <w:r>
        <w:rPr>
          <w:rFonts w:ascii="Times New Roman;sans-serif" w:hAnsi="Times New Roman;sans-serif"/>
          <w:b w:val="false"/>
          <w:color w:val="000000"/>
          <w:sz w:val="22"/>
        </w:rPr>
        <w:t>. This Option may be exercised only in accordance with the procedures and limitations (including the country-specific terms set forth in Appendix A to this Agreement) set forth in this paragraph 4, the Company’s Equity Grants Guide, as amended from time to time, or such other similar-type communication provided by the Company. Payment of the aggregate Grant Price shall be by any of the following, or a combination thereof:</w:t>
      </w:r>
    </w:p>
    <w:p>
      <w:pPr>
        <w:pStyle w:val="TextBody"/>
        <w:spacing w:lineRule="auto" w:line="240" w:before="0" w:after="240"/>
        <w:ind w:left="0" w:right="0" w:hanging="1080"/>
        <w:rPr>
          <w:rFonts w:ascii="Times New Roman;sans-serif" w:hAnsi="Times New Roman;sans-serif"/>
          <w:b w:val="false"/>
          <w:color w:val="000000"/>
          <w:sz w:val="22"/>
        </w:rPr>
      </w:pPr>
      <w:r>
        <w:rPr>
          <w:rFonts w:ascii="Times New Roman;sans-serif" w:hAnsi="Times New Roman;sans-serif"/>
          <w:b w:val="false"/>
          <w:color w:val="000000"/>
          <w:sz w:val="22"/>
        </w:rPr>
        <w:t xml:space="preserve">(a)to the extent permitted by applicable law, by cash, check or cash equivalent; </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 xml:space="preserve">(b)consideration received by the Company from a cashless exercise through a licensed securities broker acceptable to the Company; </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(c)if the Optionee is a U.S. taxpayer or if permitted by the Committee, by surrender of shares of Common Stock previously owned by the Optionee which meet the conditions established by the Committee; or</w:t>
      </w:r>
    </w:p>
    <w:p>
      <w:pPr>
        <w:pStyle w:val="TextBody"/>
        <w:spacing w:lineRule="auto" w:line="240" w:before="0" w:after="240"/>
        <w:ind w:left="0" w:right="0" w:hanging="1080"/>
        <w:rPr>
          <w:rFonts w:ascii="Times New Roman;sans-serif" w:hAnsi="Times New Roman;sans-serif"/>
          <w:b w:val="false"/>
          <w:color w:val="000000"/>
          <w:sz w:val="22"/>
        </w:rPr>
      </w:pPr>
      <w:r>
        <w:rPr>
          <w:rFonts w:ascii="Times New Roman;sans-serif" w:hAnsi="Times New Roman;sans-serif"/>
          <w:b w:val="false"/>
          <w:color w:val="000000"/>
          <w:sz w:val="22"/>
        </w:rPr>
        <w:t>(d)any other methods approved by the Committee and permitted by applicable laws.</w:t>
      </w:r>
    </w:p>
    <w:p>
      <w:pPr>
        <w:pStyle w:val="TextBody"/>
        <w:spacing w:lineRule="auto" w:line="240" w:before="0" w:after="240"/>
        <w:rPr/>
      </w:pPr>
      <w:r>
        <w:rPr>
          <w:color w:val="000000"/>
        </w:rPr>
        <w:t>        </w:t>
      </w:r>
      <w:r>
        <w:rPr>
          <w:rFonts w:ascii="Times New Roman;sans-serif" w:hAnsi="Times New Roman;sans-serif"/>
          <w:b w:val="false"/>
          <w:color w:val="000000"/>
          <w:sz w:val="22"/>
        </w:rPr>
        <w:t>The Optionee acknowledges that, regardless of any action taken by the Company or, if different, the Optionee’s employer (the “</w:t>
      </w:r>
      <w:r>
        <w:rPr>
          <w:rFonts w:ascii="Times New Roman;sans-serif" w:hAnsi="Times New Roman;sans-serif"/>
          <w:b w:val="false"/>
          <w:color w:val="000000"/>
          <w:sz w:val="22"/>
          <w:u w:val="single"/>
        </w:rPr>
        <w:t>Employer</w:t>
      </w:r>
      <w:r>
        <w:rPr>
          <w:color w:val="000000"/>
        </w:rPr>
        <w:t>”</w:t>
      </w:r>
      <w:r>
        <w:rPr>
          <w:rFonts w:ascii="Times New Roman;sans-serif" w:hAnsi="Times New Roman;sans-serif"/>
          <w:b w:val="false"/>
          <w:color w:val="000000"/>
          <w:sz w:val="22"/>
        </w:rPr>
        <w:t>), the ultimate liability for all income tax, social insurance, payroll tax, fringe benefits tax, payment on account or other tax-related items related to the Optionee’s participation in the Plan and legally applicable to the Optionee or deemed by the Company or the Employer, in their discretion, to be an appropriate charge to the Optionee even if legally applicable to the Company or the Employer (“</w:t>
      </w:r>
      <w:r>
        <w:rPr>
          <w:rFonts w:ascii="Times New Roman;sans-serif" w:hAnsi="Times New Roman;sans-serif"/>
          <w:b w:val="false"/>
          <w:color w:val="000000"/>
          <w:sz w:val="22"/>
          <w:u w:val="single"/>
        </w:rPr>
        <w:t>Tax-Related Items</w:t>
      </w:r>
      <w:r>
        <w:rPr>
          <w:color w:val="000000"/>
        </w:rPr>
        <w:t>”</w:t>
      </w:r>
      <w:r>
        <w:rPr>
          <w:rFonts w:ascii="Times New Roman;sans-serif" w:hAnsi="Times New Roman;sans-serif"/>
          <w:b w:val="false"/>
          <w:color w:val="000000"/>
          <w:sz w:val="22"/>
        </w:rPr>
        <w:t xml:space="preserve">), is and remains the Optionee’s responsibility and may exceed the amount, if any, actually withheld by the Company or the Employer. The Optionee further acknowledges that the Company and/or the Employer (a) make no representations or undertakings regarding the treatment of any Tax-Related Items in connection with any aspect of the Option, including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01320"/>
                <wp:effectExtent l="0" t="0" r="0" b="0"/>
                <wp:wrapNone/>
                <wp:docPr id="63" name="Frame62"/>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2</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grant, vesting or exercise of the Option, the subsequent sale of Option Shares acquired pursuant to such exercise and the receipt of any dividends; and (b) do not commit to and are under no obligation to structure the terms of the grant or any aspect of the Option to reduce or eliminate the Optionee’s liability for Tax-Related Items or achieve any particular tax result. Further, if the Optionee becomes subject to any Tax-Related Items in more than one jurisdiction, the Optionee acknowledges that the Company and/or the Employer (or former employer, as applicable) may be required to withhold or account for (including report) Tax-Related Items in more than one jurisdiction.</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The Optionee acknowledges and agrees that the Company may refuse to issue or deliver shares of Common Stock upon exercise of the Option if Optionee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In this regard, the Optionee authorizes the Company and/or the Employer, in their sole discretion and without any notice or further authorization by the Optionee, to satisfy any applicable withholding obligations with regard to all Tax-Related Items legally due by the Optionee (or otherwise due from the Optionee as set forth above in this paragraph 4) and any hypothetical taxes from the Optionee’s wages or other cash compensation paid by the Company and/or the Employer or from proceeds of the sale of Option Shares. Alternatively, or in addition, the Company may instruct the broker it has selected for this purpose (on the Optionee’s behalf and at the Optionee’s direction pursuant to this authorization without further consent) to sell the Option Shares that the Optionee acquires to meet the Tax-Related Items withholding obligation and any hypothetical taxes. In addition, unless otherwise determined by the Committee, Tax-Related Items or hypothetical taxes may be paid by withholding from Option Shares subject to the exercised Option, provided, however, that withholding in Option Shares shall be subject to approval by the Committee to the extent deemed necessary or advisable by counsel to the Company at the time of any relevant tax withholding event. Finally, the Optionee agrees to pay to the Company or the Employer any amount of Tax-Related Items and hypothetical taxes that the Company or the Employer may be required to withhold as a result of the Optionee’s participation in the Plan or the Optionee’s exercise of the Option that cannot be satisfied by the means previously described.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may withhold or account for Tax-Related Items and any hypothetical taxes by considering statutory withholding rates or other applicable withholding rates, including minimum rates or maximum rates applicable in the Optionee’s jurisdiction(s), in which case the Optionee may receive a refund of any over-withheld amount in cash and will have no entitlement to the equivalent shares of Common Stock or, if not refunded, the Optionee may be able to seek a refund from the applicable tax authorities. In the event of under-withholding, the Optionee may be required to pay any additional Tax-Related Items directly to the applicable tax authority or to the Company and/or the Employer. If the obligation for Tax-Related Items is satisfied by withholding in shares of Common Stock, for tax purposes, the Optionee is deemed to have been issued the full number of Option Shares, notwithstanding that a number of the Option Shares are held back solely for the purpose of paying the Tax-Related Items and/or hypothetical taxes due as a result of any aspect of the Optionee’s participation in the Plan.</w:t>
      </w:r>
    </w:p>
    <w:p>
      <w:pPr>
        <w:pStyle w:val="TextBody"/>
        <w:spacing w:lineRule="auto" w:line="240" w:before="0" w:after="240"/>
        <w:ind w:left="0" w:right="0" w:firstLine="450"/>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Cash-Out of Option</w:t>
      </w:r>
      <w:r>
        <w:rPr>
          <w:rFonts w:ascii="Times New Roman;sans-serif" w:hAnsi="Times New Roman;sans-serif"/>
          <w:b w:val="false"/>
          <w:color w:val="000000"/>
          <w:sz w:val="22"/>
        </w:rPr>
        <w:t>. The Committee may elect to cash out all or a portion of the Option to be exercised pursuant to any method of exercise by paying the Optionee an amount in cash or Common Stock, or both, equal to the Fair Market Value of the shares of Common Stock on the exercise date less the Grant Price for such shares.</w:t>
      </w:r>
    </w:p>
    <w:p>
      <w:pPr>
        <w:pStyle w:val="TextBody"/>
        <w:spacing w:lineRule="auto" w:line="240" w:before="0" w:after="240"/>
        <w:ind w:left="0" w:right="0" w:firstLine="450"/>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Restrictions and Covenants</w:t>
      </w:r>
      <w:r>
        <w:rPr>
          <w:rFonts w:ascii="Times New Roman;sans-serif" w:hAnsi="Times New Roman;sans-serif"/>
          <w:b w:val="false"/>
          <w:color w:val="000000"/>
          <w:sz w:val="22"/>
        </w:rPr>
        <w: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(a)In addition to such other conditions as may be established by the Company or the Committee, in consideration for making a Grant under the terms of the Plan, the Optionee agrees and covenants as follows for a period of twelve (12) months following the date of the Optionee’s termination of employment from the Mondelēz Group:</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01320"/>
                <wp:effectExtent l="0" t="0" r="0" b="0"/>
                <wp:wrapNone/>
                <wp:docPr id="64" name="Frame63"/>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3</w:t>
                      </w:r>
                    </w:p>
                    <w:p>
                      <w:pPr>
                        <w:pStyle w:val="TextBody"/>
                        <w:spacing w:before="0" w:after="0"/>
                        <w:rPr/>
                      </w:pPr>
                      <w:r>
                        <w:rPr/>
                      </w:r>
                    </w:p>
                  </w:txbxContent>
                </v:textbox>
              </v:rect>
            </w:pict>
          </mc:Fallback>
        </mc:AlternateConten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Optionee, without the express written permission of the Company’s chief human resources officer, will not engage in any conduct in which the Optionee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Optionee has reason to know has been under development by the Mondelēz Group during the Optionee’s employment with the Mondelēz Group). The Optionee will not engage in any activity that may require or inevitably require the Optionee’s use or disclosure of the Mondelēz Group’s confidential information, proprietary information and/or trade secrets;</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2.to protect the Mondelēz Group’s investment in its employees and to ensure the long-term success of the business, the Optionee, without the express written permission of the Company’s chief human resources officer, will not directly or indirectly solicit, hire, recruit, attempt to hire or recruit, or induce the termination of employment of any employee of the Mondelēz Group; and</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3.to protect the Mondelēz Group’s investment in its development of goodwill and customers and to ensure the long-term success of the business, the Optionee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pStyle w:val="TextBody"/>
        <w:spacing w:lineRule="auto" w:line="240" w:before="0" w:after="240"/>
        <w:rPr/>
      </w:pPr>
      <w:r>
        <w:rPr>
          <w:rFonts w:ascii="Times New Roman;sans-serif" w:hAnsi="Times New Roman;sans-serif"/>
          <w:b w:val="false"/>
          <w:color w:val="000000"/>
          <w:sz w:val="22"/>
        </w:rPr>
        <w:t>The provisions contained herein in paragraph 6 are not in lieu of, but are in addition to the continuing obligation of the Optionee (which the Optionee acknowledges by accepting any Grant under the Plan) to not use or disclose the Mondelēz Group’s trade secrets or Confidential Information known to the Optionee until any particular trade secret or Confidential Information becomes generally known (through no fault of the Optionee), whereupon the restriction on use and disclosure shall cease as to that item. For purposes of this agreement,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includes, but is not limited to, certain sales, marketing, strategy, financial, product, personnel, manufacturing, technical and other proprietary information and material which are the property of the Mondelēz Group. The Optionee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(b)A main purpose of the Plan is to strengthen the alignment of long-term interests between optionees and the Mondelēz Group by providing an ownership interest in the Company, and to prevent former employees whose interests become adverse to the Company from maintaining that ownership interest. By acceptance of any Grant (including the Option) under the Plan, the Optionee acknowledges and agrees that if the Optionee breaches any of the covenants set forth in paragraph 6(a): </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1.all unvested Grants (including any unvested portion of the Option) shall be immediately forfeited;</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2.the Company may cancel, rescind, suspend, withhold or otherwise limit or restrict any unexpired, vested, unpaid or deferred Grants (including the vested but unexercised portion of the Option) at any time if the Optionee is not in compliance with all terms and conditions set forth in the Plan and this Agreement including, but not limited to, paragraph 6(a);</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01320"/>
                <wp:effectExtent l="0" t="0" r="0" b="0"/>
                <wp:wrapNone/>
                <wp:docPr id="65" name="Frame64"/>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4</w:t>
                      </w:r>
                    </w:p>
                    <w:p>
                      <w:pPr>
                        <w:pStyle w:val="TextBody"/>
                        <w:spacing w:before="0" w:after="0"/>
                        <w:rPr/>
                      </w:pPr>
                      <w:r>
                        <w:rPr/>
                      </w:r>
                    </w:p>
                  </w:txbxContent>
                </v:textbox>
              </v:rect>
            </w:pict>
          </mc:Fallback>
        </mc:AlternateConten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3.the Optionee shall repay to the Mondelēz Group the net proceeds of any exercise or Plan benefit that occurs at any time after the earlier of the following two dates: (i) the date twelve (12) months immediately preceding any such violation; or (ii) the date six (6) months prior to the Optionee’s termination of employment with the Mondelēz Group. The Optionee shall repay to the Mondelēz Group the net proceeds in such a manner and on such terms and conditions as may be required by the Mondelēz Group, and the Mondelēz Group shall be entitled to set-off against the amount of any such net proceeds any amount owed to the Optionee by the Mondelēz Group, in a way that is intended to avoid the application of penalties under Section 409A of the Code, if applicable, or other applicable law. For purposes of this paragraph, net proceeds shall mean the difference between the Fair Market Value of the shares of Common Stock and the Grant Price less any Tax-Related Items; and</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4.the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Optionee acknowledges that such breach would cause the Mondelēz Group to suffer irreparable harm. The aforementioned equitable relief shall be in addition to, not in lieu of, legal remedies, monetary damages or other available forms of relief.</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(c)If any provision contained in this paragraph 6 shall for any reason, whether by application of existing law or law which may develop after the Optionee’s acceptance of a Grant under the Plan be determined by a court of competent jurisdiction to be overly broad as to scope of activity, duration or territory, the Optionee agrees to join the Mondelēz Group in requesting such court to construe such provision by limiting or reducing it so as to be enforceable to the extent compatible with then applicable law.</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(d)Notwithstanding the foregoing, no section of this Agreement is intended to or shall limit, prevent, impede or interfere with the Optionee's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Optionee does not need prior authorization from the Mondelēz Group to make any such reports or disclosures and is not required to notify the Mondelēz Group that the Optionee has made such reports or disclosures.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(e)The Optionee is hereby advised in writing to consult with an attorney before entering into the covenants outlined in this Section 6. The Optionee acknowledges that prior to acceptance of this Agreement, the Optionee has been advised by the Company of the Optionee's right to seek independent advice from an attorney of the Optionee's own selection regarding this Agreement, including the restraints imposed upon him or her pursuant to this Section 6. The Optionee acknowledges that they have entered into this Agreement knowingly and voluntarily and with full knowledge and understanding of the provisions of this Agreement after being given the opportunity to consult with counsel. The Optionee further represents that in entering into this Agreement, the Optionee is not relying on any statements or representations made by any of the Company's directors, officers, employees or agents which are not expressly set forth herein, and that the Optionee is relying only upon their own judgment and any advice provided by the Optionee's attorney. The Optionee acknowledges he or she has been provided at minimum 14 calendar days to review the provisions contained herein but may voluntarily waive this period and sign prior to the 14 calendar day period lapsing.</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(f)For purposes of this Section 6, the Company and any member of the Mondelēz Group shall be deemed to be third-party beneficiaries with the right to seek enforcement of any of the provisions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01320"/>
                <wp:effectExtent l="0" t="0" r="0" b="0"/>
                <wp:wrapNone/>
                <wp:docPr id="66" name="Frame65"/>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5</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of this Section 6. Further, for purposes of this Section 6, references to acting directly or indirectly include acting jointly with or through another person.</w:t>
      </w:r>
    </w:p>
    <w:p>
      <w:pPr>
        <w:pStyle w:val="TextBody"/>
        <w:spacing w:lineRule="auto" w:line="240" w:before="0" w:after="240"/>
        <w:ind w:left="0" w:right="0" w:firstLine="360"/>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Clawback Policy/Forfeiture</w:t>
      </w:r>
      <w:r>
        <w:rPr>
          <w:rFonts w:ascii="Times New Roman;sans-serif" w:hAnsi="Times New Roman;sans-serif"/>
          <w:b w:val="false"/>
          <w:color w:val="000000"/>
          <w:sz w:val="22"/>
        </w:rPr>
        <w:t>. The Optionee understands and agrees that in the Committee's sole discretion, the Company may cancel all or part of the Option or require repayment by the Optionee to the Company of all or part of any cash payment or shares of Common Stock acquired at exercise pursuant to any recovery, recoupment, clawback and/or other forfeiture policy maintained by the Company, including a violation of paragraph 6 above, from time to time. In addition, any payments or benefits the Optionee may receive hereunder shall be subject to repayment or forfeiture as may be required to comply with the requirements under the U.S. 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pStyle w:val="TextBody"/>
        <w:spacing w:lineRule="auto" w:line="240" w:before="0" w:after="240"/>
        <w:ind w:left="0" w:right="0" w:firstLine="360"/>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Transfer Restrictions</w:t>
      </w:r>
      <w:r>
        <w:rPr>
          <w:rFonts w:ascii="Times New Roman;sans-serif" w:hAnsi="Times New Roman;sans-serif"/>
          <w:b w:val="false"/>
          <w:color w:val="000000"/>
          <w:sz w:val="22"/>
        </w:rPr>
        <w:t xml:space="preserve">. Unless otherwise required by law, this Option is not transferable or assignable by the Optionee in any manner other than by will or the laws of descent and distribution applicable to the Optionee and is exercisable during the Optionee’s lifetime only by the Optionee. </w:t>
      </w:r>
    </w:p>
    <w:p>
      <w:pPr>
        <w:pStyle w:val="TextBody"/>
        <w:spacing w:lineRule="auto" w:line="240" w:before="0" w:after="240"/>
        <w:ind w:left="0" w:right="0" w:firstLine="360"/>
        <w:rPr/>
      </w:pPr>
      <w:r>
        <w:rPr>
          <w:rFonts w:ascii="Times New Roman;sans-serif" w:hAnsi="Times New Roman;sans-serif"/>
          <w:b w:val="false"/>
          <w:color w:val="000000"/>
          <w:sz w:val="22"/>
        </w:rPr>
        <w:t>9.</w:t>
      </w:r>
      <w:r>
        <w:rPr>
          <w:color w:val="000000"/>
        </w:rPr>
        <w:t xml:space="preserve"> </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xml:space="preserve">.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Grant Date, the Board or the Committee shall make adjustments to the terms and provisions of this Grant (including, without limiting the generality of the foregoing, terms and provisions relating to the Grant Price and the number and kind of shares subject to this Option) as it deems appropriate including, but not limited to, the substitution of equity interests in other entities involved in such transactions, to provide for cash payments in lieu of the Option, and to determine whether continued employment with any entity resulting from such transaction or event will or will not be treated as a continued employment with the Mondelēz Group, in each case, subject to any Board or Committee action specifically addressing any such adjustments, cash payments or continued employment treatment. </w:t>
      </w:r>
    </w:p>
    <w:p>
      <w:pPr>
        <w:pStyle w:val="TextBody"/>
        <w:spacing w:lineRule="auto" w:line="240" w:before="0" w:after="240"/>
        <w:ind w:left="0" w:right="0" w:firstLine="360"/>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Whenever the word “Optionee” is used herein under circumstances such that the provision should logically be construed to apply to the executors, the administrators, or the person or persons to whom this Option may be transferred pursuant to this Agreement, it shall be deemed to include such person or persons.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pStyle w:val="TextBody"/>
        <w:spacing w:lineRule="auto" w:line="240" w:before="0" w:after="240"/>
        <w:ind w:left="0" w:right="0" w:firstLine="360"/>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Entire Agreement; Governing Law</w:t>
      </w:r>
      <w:r>
        <w:rPr>
          <w:rFonts w:ascii="Times New Roman;sans-serif" w:hAnsi="Times New Roman;sans-serif"/>
          <w:b w:val="false"/>
          <w:color w:val="000000"/>
          <w:sz w:val="22"/>
        </w:rPr>
        <w:t xml:space="preserve">. The Award Statement, the Plan and this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as provided in the Award Statement, the Plan or this Agreement or by means of a writing signed by the Company and the Optionee.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Optionee is deemed to submit to the exclusive jurisdiction of the Commonwealth of Virginia, U.S.A., and agrees that such litigation shall be conducted in the courts of Henrico County, Virginia, or the federal courts for the United States for the Eastern District of Virginia. </w:t>
      </w:r>
    </w:p>
    <w:p>
      <w:pPr>
        <w:pStyle w:val="TextBody"/>
        <w:spacing w:lineRule="auto" w:line="240" w:before="0" w:after="240"/>
        <w:ind w:left="0" w:right="0" w:firstLine="360"/>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Grant Confers No Rights to Continued Employment - Nature of the Grant</w:t>
      </w:r>
      <w:r>
        <w:rPr>
          <w:rFonts w:ascii="Times New Roman;sans-serif" w:hAnsi="Times New Roman;sans-serif"/>
          <w:b w:val="false"/>
          <w:color w:val="000000"/>
          <w:sz w:val="22"/>
        </w:rPr>
        <w:t xml:space="preserve">. Nothing contained in the Plan or this Agreement (including the country-specific terms set forth in Appendix A to this Agreement) shall give the Optionee the right to be retained in the employment of any member of the Mondelēz Group, affect the right of the Employer to terminate the Optionee’s employment, or be interpreted as forming or amending an employment or service contract with any member of the Mondelēz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01320"/>
                <wp:effectExtent l="0" t="0" r="0" b="0"/>
                <wp:wrapNone/>
                <wp:docPr id="67" name="Frame66"/>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6</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Group. The adoption and maintenance of the Plan shall not constitute an inducement to, or condition of, the employment of the Optionee. Further, the Optionee acknowledges, understands and agrees that:</w:t>
      </w:r>
    </w:p>
    <w:p>
      <w:pPr>
        <w:pStyle w:val="TextBody"/>
        <w:spacing w:lineRule="auto" w:line="240" w:before="0" w:after="240"/>
        <w:ind w:left="0" w:right="0" w:firstLine="810"/>
        <w:rPr/>
      </w:pPr>
      <w:r>
        <w:rPr>
          <w:rFonts w:ascii="Times New Roman;sans-serif" w:hAnsi="Times New Roman;sans-serif"/>
          <w:b w:val="false"/>
          <w:color w:val="000000"/>
          <w:sz w:val="22"/>
        </w:rPr>
        <w:t>(a)</w:t>
      </w:r>
      <w:r>
        <w:rPr>
          <w:rFonts w:ascii="Times New Roman;sans-serif" w:hAnsi="Times New Roman;sans-serif"/>
          <w:b w:val="false"/>
          <w:color w:val="000000"/>
          <w:sz w:val="22"/>
        </w:rPr>
        <w:t>the Plan is established voluntarily by the Company, it is discretionary in nature and it may be modified, amended, suspended or terminated by the Company at any time, to the extent permitted by the Plan;</w:t>
      </w:r>
    </w:p>
    <w:p>
      <w:pPr>
        <w:pStyle w:val="TextBody"/>
        <w:spacing w:lineRule="auto" w:line="240" w:before="0" w:after="240"/>
        <w:ind w:left="0" w:right="0" w:firstLine="810"/>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grant of the Option is exceptional, voluntary and occasional and does not create any contractual or other right to receive future grants of options, or benefits in lieu of options, even if options have been granted in the past; </w:t>
      </w:r>
    </w:p>
    <w:p>
      <w:pPr>
        <w:pStyle w:val="TextBody"/>
        <w:spacing w:lineRule="auto" w:line="240" w:before="0" w:after="240"/>
        <w:ind w:left="0" w:right="0" w:firstLine="810"/>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all decisions with respect to future option or other Grants, if any, will be at the sole discretion of the Committee; </w:t>
      </w:r>
    </w:p>
    <w:p>
      <w:pPr>
        <w:pStyle w:val="TextBody"/>
        <w:spacing w:lineRule="auto" w:line="240" w:before="0" w:after="240"/>
        <w:ind w:left="0" w:right="0" w:firstLine="810"/>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Optionee is voluntarily participating in the Plan; </w:t>
      </w:r>
    </w:p>
    <w:p>
      <w:pPr>
        <w:pStyle w:val="TextBody"/>
        <w:spacing w:lineRule="auto" w:line="240" w:before="0" w:after="240"/>
        <w:ind w:left="0" w:right="0" w:firstLine="810"/>
        <w:rPr/>
      </w:pPr>
      <w:r>
        <w:rPr>
          <w:rFonts w:ascii="Times New Roman;sans-serif" w:hAnsi="Times New Roman;sans-serif"/>
          <w:b w:val="false"/>
          <w:color w:val="000000"/>
          <w:sz w:val="22"/>
        </w:rPr>
        <w:t>(e)</w:t>
      </w:r>
      <w:r>
        <w:rPr>
          <w:rFonts w:ascii="Times New Roman;sans-serif" w:hAnsi="Times New Roman;sans-serif"/>
          <w:b w:val="false"/>
          <w:color w:val="000000"/>
          <w:sz w:val="22"/>
        </w:rPr>
        <w:t>the Option and the Option Shares subject to the Option, and the income and value of same, are not intended to replace any pension rights or compensation;</w:t>
      </w:r>
    </w:p>
    <w:p>
      <w:pPr>
        <w:pStyle w:val="TextBody"/>
        <w:spacing w:lineRule="auto" w:line="240" w:before="0" w:after="240"/>
        <w:ind w:left="0" w:right="0" w:firstLine="810"/>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the Option and the Option Shares subject to the Option, and the income and value of same, are not part of normal or expected compensation or salary for purposes of calculating any severance, resignation, termination, redundancy, dismissal, end-of-service payments, holiday pay, bonuses, long-service awards, leave-related payment, pension, retirement or welfare benefits or similar mandatory payments; </w:t>
      </w:r>
    </w:p>
    <w:p>
      <w:pPr>
        <w:pStyle w:val="TextBody"/>
        <w:spacing w:lineRule="auto" w:line="240" w:before="0" w:after="240"/>
        <w:ind w:left="0" w:right="0" w:firstLine="810"/>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the future value of the underlying shares of Common Stock is unknown, indeterminable and cannot be predicted; </w:t>
      </w:r>
    </w:p>
    <w:p>
      <w:pPr>
        <w:pStyle w:val="TextBody"/>
        <w:spacing w:lineRule="auto" w:line="240" w:before="0" w:after="240"/>
        <w:ind w:left="0" w:right="0" w:firstLine="810"/>
        <w:rPr/>
      </w:pPr>
      <w:r>
        <w:rPr>
          <w:rFonts w:ascii="Times New Roman;sans-serif" w:hAnsi="Times New Roman;sans-serif"/>
          <w:b w:val="false"/>
          <w:color w:val="000000"/>
          <w:sz w:val="22"/>
        </w:rPr>
        <w:t>(h)</w:t>
      </w:r>
      <w:r>
        <w:rPr>
          <w:rFonts w:ascii="Times New Roman;sans-serif" w:hAnsi="Times New Roman;sans-serif"/>
          <w:b w:val="false"/>
          <w:color w:val="000000"/>
          <w:sz w:val="22"/>
        </w:rPr>
        <w:t>if the underlying shares of Common Stock do not increase in value, the Option will have no value;</w:t>
      </w:r>
    </w:p>
    <w:p>
      <w:pPr>
        <w:pStyle w:val="TextBody"/>
        <w:spacing w:lineRule="auto" w:line="240" w:before="0" w:after="240"/>
        <w:ind w:left="0" w:right="0" w:firstLine="810"/>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if the Optionee exercises the Option and obtains shares of Common Stock, the value of those shares of Common Stock acquired upon exercise may increase or decrease in value, even below the Grant Price; </w:t>
      </w:r>
    </w:p>
    <w:p>
      <w:pPr>
        <w:pStyle w:val="TextBody"/>
        <w:spacing w:lineRule="auto" w:line="240" w:before="0" w:after="240"/>
        <w:ind w:left="0" w:right="0" w:firstLine="810"/>
        <w:rPr/>
      </w:pPr>
      <w:r>
        <w:rPr>
          <w:rFonts w:ascii="Times New Roman;sans-serif" w:hAnsi="Times New Roman;sans-serif"/>
          <w:b w:val="false"/>
          <w:color w:val="000000"/>
          <w:sz w:val="22"/>
        </w:rPr>
        <w:t>(j)</w:t>
      </w:r>
      <w:r>
        <w:rPr>
          <w:rFonts w:ascii="Times New Roman;sans-serif" w:hAnsi="Times New Roman;sans-serif"/>
          <w:b w:val="false"/>
          <w:color w:val="000000"/>
          <w:sz w:val="22"/>
        </w:rPr>
        <w:t>unless otherwise agreed with the Company, the Option and the shares of Common Stock subject to the Option, and the income and value of same, are not granted as consideration for, or in connection with, the service the Optionee may provide as a director of any entity of the Mondelēz Group;</w:t>
      </w:r>
    </w:p>
    <w:p>
      <w:pPr>
        <w:pStyle w:val="TextBody"/>
        <w:spacing w:lineRule="auto" w:line="240" w:before="0" w:after="240"/>
        <w:ind w:left="0" w:right="0" w:firstLine="810"/>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the Optionee understands and agrees that Optionee should consult with the Optionee’s own personal tax, legal and financial advisors regarding the Optionee’s participation in the Plan before taking any action related to the Plan and that the Company is not providing any tax, legal or financial advice, nor is the Company making any recommendations regarding the Optionee’s participation in the Plan, or the Optionee’s acquisition or sale of the underlying shares of Common Stock; </w:t>
      </w:r>
    </w:p>
    <w:p>
      <w:pPr>
        <w:pStyle w:val="TextBody"/>
        <w:spacing w:lineRule="auto" w:line="240" w:before="0" w:after="240"/>
        <w:ind w:left="0" w:right="0" w:firstLine="810"/>
        <w:rPr/>
      </w:pPr>
      <w:r>
        <w:rPr>
          <w:rFonts w:ascii="Times New Roman;sans-serif" w:hAnsi="Times New Roman;sans-serif"/>
          <w:b w:val="false"/>
          <w:color w:val="000000"/>
          <w:sz w:val="22"/>
        </w:rPr>
        <w:t>(l)</w:t>
      </w:r>
      <w:r>
        <w:rPr>
          <w:rFonts w:ascii="Times New Roman;sans-serif" w:hAnsi="Times New Roman;sans-serif"/>
          <w:b w:val="false"/>
          <w:color w:val="000000"/>
          <w:sz w:val="22"/>
        </w:rPr>
        <w:t xml:space="preserve">the Option is designated as not constituting an Incentive Stock Option; this Agreement shall be interpreted and treated consistently with such designation; </w:t>
      </w:r>
    </w:p>
    <w:p>
      <w:pPr>
        <w:pStyle w:val="TextBody"/>
        <w:spacing w:lineRule="auto" w:line="240" w:before="0" w:after="240"/>
        <w:ind w:left="0" w:right="0" w:firstLine="810"/>
        <w:rPr/>
      </w:pPr>
      <w:r>
        <w:rPr>
          <w:rFonts w:ascii="Times New Roman;sans-serif" w:hAnsi="Times New Roman;sans-serif"/>
          <w:b w:val="false"/>
          <w:color w:val="000000"/>
          <w:sz w:val="22"/>
        </w:rPr>
        <w:t>(m)</w:t>
      </w:r>
      <w:r>
        <w:rPr>
          <w:rFonts w:ascii="Times New Roman;sans-serif" w:hAnsi="Times New Roman;sans-serif"/>
          <w:b w:val="false"/>
          <w:color w:val="000000"/>
          <w:sz w:val="22"/>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Company's Common Stock;</w:t>
      </w:r>
    </w:p>
    <w:p>
      <w:pPr>
        <w:pStyle w:val="TextBody"/>
        <w:spacing w:lineRule="auto" w:line="240" w:before="0" w:after="240"/>
        <w:ind w:left="0" w:right="0" w:firstLine="810"/>
        <w:rPr/>
      </w:pPr>
      <w:r>
        <w:rPr>
          <w:rFonts w:ascii="Times New Roman;sans-serif" w:hAnsi="Times New Roman;sans-serif"/>
          <w:b w:val="false"/>
          <w:color w:val="000000"/>
          <w:sz w:val="22"/>
        </w:rPr>
        <w:t>(n)</w:t>
      </w:r>
      <w:r>
        <w:rPr>
          <w:rFonts w:ascii="Times New Roman;sans-serif" w:hAnsi="Times New Roman;sans-serif"/>
          <w:b w:val="false"/>
          <w:color w:val="000000"/>
          <w:sz w:val="22"/>
        </w:rPr>
        <w:t>the Option and the shares of Common Stock subject to the Option, and the income and value of same, are not part of Optionee’s normal or expected compensation or salary for any purpose;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01320"/>
                <wp:effectExtent l="0" t="0" r="0" b="0"/>
                <wp:wrapNone/>
                <wp:docPr id="68" name="Frame67"/>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7</w:t>
                      </w:r>
                    </w:p>
                    <w:p>
                      <w:pPr>
                        <w:pStyle w:val="TextBody"/>
                        <w:spacing w:before="0" w:after="0"/>
                        <w:rPr/>
                      </w:pPr>
                      <w:r>
                        <w:rPr/>
                      </w:r>
                    </w:p>
                  </w:txbxContent>
                </v:textbox>
              </v:rect>
            </w:pict>
          </mc:Fallback>
        </mc:AlternateContent>
      </w:r>
    </w:p>
    <w:p>
      <w:pPr>
        <w:pStyle w:val="TextBody"/>
        <w:spacing w:lineRule="auto" w:line="240" w:before="0" w:after="240"/>
        <w:ind w:left="0" w:right="0" w:firstLine="810"/>
        <w:rPr/>
      </w:pPr>
      <w:r>
        <w:rPr>
          <w:rFonts w:ascii="Times New Roman;sans-serif" w:hAnsi="Times New Roman;sans-serif"/>
          <w:b w:val="false"/>
          <w:color w:val="000000"/>
          <w:sz w:val="22"/>
        </w:rPr>
        <w:t>(o)</w:t>
      </w:r>
      <w:r>
        <w:rPr>
          <w:rFonts w:ascii="Times New Roman;sans-serif" w:hAnsi="Times New Roman;sans-serif"/>
          <w:b w:val="false"/>
          <w:color w:val="000000"/>
          <w:sz w:val="22"/>
        </w:rPr>
        <w:t>neither the Company, the Employer nor any member of the Mondelēz Group shall be liable for any foreign exchange rate fluctuation between the Optionee’s local currency and the United States Dollar that may affect the value of the Option or any shares of Common Stock delivered to the Optionee upon exercise of the Option or of any proceeds resulting from the Optionee’s sale of such shares; and</w:t>
      </w:r>
    </w:p>
    <w:p>
      <w:pPr>
        <w:pStyle w:val="TextBody"/>
        <w:spacing w:lineRule="auto" w:line="240" w:before="0" w:after="240"/>
        <w:ind w:left="0" w:right="0" w:firstLine="810"/>
        <w:rPr/>
      </w:pPr>
      <w:r>
        <w:rPr>
          <w:rFonts w:ascii="Times New Roman;sans-serif" w:hAnsi="Times New Roman;sans-serif"/>
          <w:b w:val="false"/>
          <w:color w:val="000000"/>
          <w:sz w:val="22"/>
        </w:rPr>
        <w:t>(p)</w:t>
      </w:r>
      <w:r>
        <w:rPr>
          <w:rFonts w:ascii="Times New Roman;sans-serif" w:hAnsi="Times New Roman;sans-serif"/>
          <w:b w:val="false"/>
          <w:color w:val="000000"/>
          <w:sz w:val="22"/>
        </w:rPr>
        <w:t xml:space="preserve">no claim or entitlement to compensation or damages shall arise from forfeiture of the Option </w:t>
      </w:r>
      <w:r>
        <w:rPr>
          <w:rFonts w:ascii="Times New Roman;sans-serif" w:hAnsi="Times New Roman;sans-serif"/>
          <w:b w:val="false"/>
          <w:color w:val="000000"/>
          <w:sz w:val="22"/>
          <w:highlight w:val="white"/>
        </w:rPr>
        <w:t xml:space="preserve">or the recoupment of any </w:t>
      </w:r>
      <w:r>
        <w:rPr>
          <w:rFonts w:ascii="Times New Roman;sans-serif" w:hAnsi="Times New Roman;sans-serif"/>
          <w:b w:val="false"/>
          <w:color w:val="000000"/>
          <w:sz w:val="22"/>
        </w:rPr>
        <w:t>shares of Common Stock</w:t>
      </w:r>
      <w:r>
        <w:rPr>
          <w:color w:val="000000"/>
          <w:highlight w:val="white"/>
        </w:rPr>
        <w:t xml:space="preserve"> </w:t>
      </w:r>
      <w:r>
        <w:rPr>
          <w:rFonts w:ascii="Times New Roman;sans-serif" w:hAnsi="Times New Roman;sans-serif"/>
          <w:b w:val="false"/>
          <w:color w:val="000000"/>
          <w:sz w:val="22"/>
          <w:highlight w:val="white"/>
        </w:rPr>
        <w:t xml:space="preserve">acquired under the Plan </w:t>
      </w:r>
      <w:r>
        <w:rPr>
          <w:rFonts w:ascii="Times New Roman;sans-serif" w:hAnsi="Times New Roman;sans-serif"/>
          <w:b w:val="false"/>
          <w:color w:val="000000"/>
          <w:sz w:val="22"/>
        </w:rPr>
        <w:t xml:space="preserve">resulting from (a) the termination of the Optionee’s employment or other service relationship by the Company or the Employer (for any reason whatsoever, whether or not later found to be invalid or in breach of any employment laws in the jurisdiction where the Optionee is employed or the terms of the Optionee’s employment agreement, if any); </w:t>
      </w:r>
      <w:r>
        <w:rPr>
          <w:rFonts w:ascii="Times New Roman;sans-serif" w:hAnsi="Times New Roman;sans-serif"/>
          <w:b w:val="false"/>
          <w:color w:val="000000"/>
          <w:sz w:val="22"/>
          <w:highlight w:val="white"/>
        </w:rPr>
        <w:t>and/or (b) the application of any recoupment policy or any recovery or clawback policy otherwise required by law</w:t>
      </w:r>
      <w:r>
        <w:rPr>
          <w:rFonts w:ascii="Times New Roman;sans-serif" w:hAnsi="Times New Roman;sans-serif"/>
          <w:b w:val="false"/>
          <w:color w:val="000000"/>
          <w:sz w:val="22"/>
        </w:rPr>
        <w:t>.</w:t>
      </w:r>
    </w:p>
    <w:p>
      <w:pPr>
        <w:pStyle w:val="TextBody"/>
        <w:spacing w:lineRule="auto" w:line="240" w:before="0" w:after="240"/>
        <w:ind w:left="0" w:right="0" w:firstLine="360"/>
        <w:rPr/>
      </w:pPr>
      <w:r>
        <w:rPr>
          <w:rFonts w:ascii="Times New Roman;sans-serif" w:hAnsi="Times New Roman;sans-serif"/>
          <w:b w:val="false"/>
          <w:color w:val="000000"/>
          <w:sz w:val="22"/>
        </w:rPr>
        <w:t>13.</w:t>
      </w:r>
      <w:r>
        <w:rPr>
          <w:rFonts w:ascii="Times New Roman;sans-serif" w:hAnsi="Times New Roman;sans-serif"/>
          <w:b/>
          <w:i/>
          <w:color w:val="000000"/>
          <w:sz w:val="22"/>
          <w:u w:val="single"/>
        </w:rPr>
        <w:t>Data Privacy</w:t>
      </w:r>
      <w:r>
        <w:rPr>
          <w:rFonts w:ascii="Times New Roman;sans-serif" w:hAnsi="Times New Roman;sans-serif"/>
          <w:b/>
          <w:i/>
          <w:color w:val="000000"/>
          <w:sz w:val="22"/>
        </w:rPr>
        <w:t>. The Optionee explicitly and unambiguously consents to the collection, use and transfer, in electronic or other form, of the Optionee’s personal data as described in this Agreement and any other Option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by and among the Mondelēz Group for the exclusive purpose of implementing, administering and managing the Optionee’s participation in the Plan.</w:t>
      </w:r>
    </w:p>
    <w:p>
      <w:pPr>
        <w:pStyle w:val="TextBody"/>
        <w:spacing w:lineRule="auto" w:line="240" w:before="0" w:after="240"/>
        <w:ind w:left="0" w:right="0" w:firstLine="720"/>
        <w:rPr>
          <w:rFonts w:ascii="Times New Roman;sans-serif" w:hAnsi="Times New Roman;sans-serif"/>
          <w:b/>
          <w:i/>
          <w:color w:val="000000"/>
          <w:sz w:val="22"/>
        </w:rPr>
      </w:pPr>
      <w:r>
        <w:rPr>
          <w:rFonts w:ascii="Times New Roman;sans-serif" w:hAnsi="Times New Roman;sans-serif"/>
          <w:b/>
          <w:i/>
          <w:color w:val="000000"/>
          <w:sz w:val="22"/>
        </w:rPr>
        <w:t>The Optionee understands that the Mondelēz Group may hold certain personal information about the Optionee, including, but not limited to, the Optionee’s name, home address, email address and telephone number, date of birth, social security, passport or insurance number or other identification number (e.g., resident registration number), salary, nationality, job title, any shares of stock or directorships held in the Company, details of all Options or any other entitlement to shares of stock or other equivalent benefits awarded, canceled, purchased, exercised, vested, unvested or outstanding in the Optionee’s favor, for the exclusive purpose of implementing, administering and managing the Plan.</w:t>
      </w:r>
    </w:p>
    <w:p>
      <w:pPr>
        <w:pStyle w:val="TextBody"/>
        <w:spacing w:lineRule="auto" w:line="240" w:before="0" w:after="240"/>
        <w:ind w:left="0" w:right="0" w:firstLine="720"/>
        <w:rPr/>
      </w:pPr>
      <w:r>
        <w:rPr>
          <w:rFonts w:ascii="Times New Roman;sans-serif" w:hAnsi="Times New Roman;sans-serif"/>
          <w:b/>
          <w:i/>
          <w:color w:val="000000"/>
          <w:sz w:val="22"/>
        </w:rPr>
        <w:t>The Optionee understands that Data will be transferred to E*TRADE Financial Corporate Services Inc. and its affiliates (“</w:t>
      </w:r>
      <w:r>
        <w:rPr>
          <w:rFonts w:ascii="Times New Roman;sans-serif" w:hAnsi="Times New Roman;sans-serif"/>
          <w:b/>
          <w:i/>
          <w:color w:val="000000"/>
          <w:sz w:val="22"/>
          <w:u w:val="single"/>
        </w:rPr>
        <w:t>E*TRADE</w:t>
      </w:r>
      <w:r>
        <w:rPr>
          <w:color w:val="000000"/>
        </w:rPr>
        <w:t>”</w:t>
      </w:r>
      <w:r>
        <w:rPr>
          <w:rFonts w:ascii="Times New Roman;sans-serif" w:hAnsi="Times New Roman;sans-serif"/>
          <w:b/>
          <w:i/>
          <w:color w:val="000000"/>
          <w:sz w:val="22"/>
        </w:rPr>
        <w:t xml:space="preserve">),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If the Optionee resides outside the United States, the Optionee understands that the Optionee may request a list with the names and addresses of any potential recipients of the Data by contacting the Optionee’s local human resources representative. The Optionee authorizes the Company, E*TRADE,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If the Optionee resides outside the United States,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with the Employer will not be affected; the only consequence of refusing or withdrawing the Optionee’s consent is that the Company would not be able to grant the Optionee an option or other equity awards or administer or maintain such grants. The Optionee also understands that the Company has no obligation to substitute other forms of grants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01320"/>
                <wp:effectExtent l="0" t="0" r="0" b="0"/>
                <wp:wrapNone/>
                <wp:docPr id="69" name="Frame68"/>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8</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consent or withdrawal of consent, the Optionee understands that he or she may contact his or her local human resources representative.</w:t>
      </w:r>
    </w:p>
    <w:p>
      <w:pPr>
        <w:pStyle w:val="TextBody"/>
        <w:spacing w:lineRule="auto" w:line="240" w:before="0" w:after="240"/>
        <w:ind w:left="0" w:right="0" w:firstLine="720"/>
        <w:rPr>
          <w:rFonts w:ascii="Times New Roman;sans-serif" w:hAnsi="Times New Roman;sans-serif"/>
          <w:b/>
          <w:i/>
          <w:color w:val="000000"/>
          <w:sz w:val="22"/>
        </w:rPr>
      </w:pPr>
      <w:r>
        <w:rPr>
          <w:rFonts w:ascii="Times New Roman;sans-serif" w:hAnsi="Times New Roman;sans-serif"/>
          <w:b/>
          <w:i/>
          <w:color w:val="000000"/>
          <w:sz w:val="22"/>
        </w:rPr>
        <w:t>Further, upon request of the Company or the Employer, the Optionee agrees to provide an executed data privacy form (or any other agreements or consents)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Optionee’s fails to provide any such consent or agreement as requested by the Company and/or the Employer.</w:t>
      </w:r>
    </w:p>
    <w:p>
      <w:pPr>
        <w:pStyle w:val="TextBody"/>
        <w:spacing w:lineRule="auto" w:line="240" w:before="0" w:after="240"/>
        <w:ind w:left="0" w:right="0" w:firstLine="270"/>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The terms and provisions of the Plan (a copy of which will be made available online or furnished to the Optionee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an Optionee is no longer actively employed, and any interpretation, determination or other action made or taken by the Committee regarding the Plan or this Agreement shall be final, binding and conclusive.</w:t>
      </w:r>
    </w:p>
    <w:p>
      <w:pPr>
        <w:pStyle w:val="TextBody"/>
        <w:spacing w:lineRule="auto" w:line="240" w:before="0" w:after="240"/>
        <w:ind w:left="0" w:right="0" w:firstLine="270"/>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Miscellaneous Definitions</w:t>
      </w:r>
      <w:r>
        <w:rPr>
          <w:rFonts w:ascii="Times New Roman;sans-serif" w:hAnsi="Times New Roman;sans-serif"/>
          <w:b w:val="false"/>
          <w:color w:val="000000"/>
          <w:sz w:val="22"/>
        </w:rPr>
        <w:t>. 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 and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means, unless otherwise determined by the Committee in its sole discretion, the termination of employment on or after either (i) the date the Optionee is age 55</w:t>
      </w:r>
      <w:r>
        <w:rPr>
          <w:color w:val="000000"/>
        </w:rPr>
        <w:t xml:space="preserve"> </w:t>
      </w:r>
      <w:r>
        <w:rPr>
          <w:rFonts w:ascii="Times New Roman;sans-serif" w:hAnsi="Times New Roman;sans-serif"/>
          <w:b w:val="false"/>
          <w:color w:val="000000"/>
          <w:sz w:val="22"/>
        </w:rPr>
        <w:t>or older</w:t>
      </w:r>
      <w:r>
        <w:rPr>
          <w:color w:val="000000"/>
        </w:rPr>
        <w:t xml:space="preserve"> </w:t>
      </w:r>
      <w:r>
        <w:rPr>
          <w:rFonts w:ascii="Times New Roman;sans-serif" w:hAnsi="Times New Roman;sans-serif"/>
          <w:b w:val="false"/>
          <w:color w:val="000000"/>
          <w:sz w:val="22"/>
        </w:rPr>
        <w:t>with at least ten (10) or more years of active continuous employment with the Mondelēz Group or (ii) the date the Optionee is age 65 or older with at least five (5) or more years of active continuous employment with the Mondelēz Group.</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if the Company receives an opinion of counsel that there has been a legal judgment and/or legal development in the Optionee’s jurisdiction that likely would result in the favorable Retirement treatment (as set forth in paragraphs 2 and 3) that applies to the Option being deemed unlawful and/or discriminatory, then the Company will not apply the favorable Retirement treatment at the time of termination and the Option will be treated as it would under the rules that apply if the Optionee’s employment is terminated for reasons other than Retirement, death or Disability.</w:t>
      </w:r>
    </w:p>
    <w:p>
      <w:pPr>
        <w:pStyle w:val="TextBody"/>
        <w:spacing w:lineRule="auto" w:line="240" w:before="0" w:after="240"/>
        <w:ind w:left="0" w:right="0" w:firstLine="270"/>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The Optionee acknowledges that he or she is sufficiently proficient in English, or, alternatively, the Optionee acknowledges that he or she will seek appropriate assistance, to understand the terms and conditions in the Agreement. Furthermore, if this Agreement or any other document related to the Plan is translated into a language other than English and if the meaning of the translated version is different from the English version, the English version will control.</w:t>
      </w:r>
    </w:p>
    <w:p>
      <w:pPr>
        <w:pStyle w:val="TextBody"/>
        <w:spacing w:lineRule="auto" w:line="240" w:before="0" w:after="240"/>
        <w:ind w:left="0" w:right="0" w:firstLine="270"/>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Compliance With Law</w:t>
      </w:r>
      <w:r>
        <w:rPr>
          <w:rFonts w:ascii="Times New Roman;sans-serif" w:hAnsi="Times New Roman;sans-serif"/>
          <w:b w:val="false"/>
          <w:color w:val="000000"/>
          <w:sz w:val="22"/>
        </w:rPr>
        <w:t>. Notwithstanding any other provision of the Plan or this Agreement, unless there is an available exemption from any registration, qualification or other legal requirement applicable to the shares of Common Stock, the Company shall not be required to deliver any Option Shares issuable upon exercise of the Option prior to the completion of any registration or qualification of the Option Shares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Commission or any state or foreign securities commission or to seek approval or clearance from any governmental authority for the issuance or sale of the shares. Further, the Optionee agrees that the Company shall have unilateral authority to amend the Plan and this Agreement without the Optionee’s consent to the extent necessary to comply with securities or other laws applicable to the issuance of shares of Common Stock.</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01320"/>
                <wp:effectExtent l="0" t="0" r="0" b="0"/>
                <wp:wrapNone/>
                <wp:docPr id="70" name="Frame69"/>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9</w:t>
                      </w:r>
                    </w:p>
                    <w:p>
                      <w:pPr>
                        <w:pStyle w:val="TextBody"/>
                        <w:spacing w:before="0" w:after="0"/>
                        <w:rPr/>
                      </w:pPr>
                      <w:r>
                        <w:rPr/>
                      </w:r>
                    </w:p>
                  </w:txbxContent>
                </v:textbox>
              </v:rect>
            </w:pict>
          </mc:Fallback>
        </mc:AlternateContent>
      </w:r>
    </w:p>
    <w:p>
      <w:pPr>
        <w:pStyle w:val="TextBody"/>
        <w:spacing w:lineRule="auto" w:line="240" w:before="0" w:after="240"/>
        <w:ind w:left="0" w:right="0" w:firstLine="270"/>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Optionee related to current or future participation in the Plan may also be delivered through electronic means as described in paragraph 19 below.</w:t>
      </w:r>
    </w:p>
    <w:p>
      <w:pPr>
        <w:pStyle w:val="TextBody"/>
        <w:spacing w:lineRule="auto" w:line="240" w:before="0" w:after="240"/>
        <w:ind w:left="0" w:right="0" w:firstLine="270"/>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any on-line or electronic system established and maintained by the Company or a third party designated by the Company.</w:t>
      </w:r>
    </w:p>
    <w:p>
      <w:pPr>
        <w:pStyle w:val="TextBody"/>
        <w:spacing w:lineRule="auto" w:line="240" w:before="0" w:after="240"/>
        <w:ind w:left="0" w:right="0" w:firstLine="270"/>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Agreement Severable</w:t>
      </w:r>
      <w:r>
        <w:rPr>
          <w:rFonts w:ascii="Times New Roman;sans-serif" w:hAnsi="Times New Roman;sans-serif"/>
          <w:b w:val="false"/>
          <w:color w:val="000000"/>
          <w:sz w:val="22"/>
        </w:rPr>
        <w:t>. The provisions of this Agreement are severable and if any one or more provisions are determined to be illegal or otherwise unenforceable, in whole or in part, the remaining provisions shall nevertheless be binding and enforceable.</w:t>
      </w:r>
    </w:p>
    <w:p>
      <w:pPr>
        <w:pStyle w:val="TextBody"/>
        <w:spacing w:lineRule="auto" w:line="240" w:before="0" w:after="240"/>
        <w:ind w:left="0" w:right="0" w:firstLine="270"/>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Headings of paragraphs and sections used in this Agreement are for convenience only and are not part of this Agreement, and must not be used in construing it.</w:t>
      </w:r>
    </w:p>
    <w:p>
      <w:pPr>
        <w:pStyle w:val="TextBody"/>
        <w:spacing w:lineRule="auto" w:line="240" w:before="0" w:after="240"/>
        <w:ind w:left="0" w:right="0" w:firstLine="270"/>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Optionee’s participation in the Plan, on the Option and on any shares of Common Stock acquired under the Plan, to the extent the Company determines it is necessary or advisable for legal or administrative reasons and to require the Optionee to sign any additional agreements or undertakings that may be necessary to accomplish the foregoing.</w:t>
      </w:r>
    </w:p>
    <w:p>
      <w:pPr>
        <w:pStyle w:val="TextBody"/>
        <w:spacing w:lineRule="auto" w:line="240" w:before="0" w:after="240"/>
        <w:ind w:left="0" w:right="0" w:firstLine="270"/>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Insider Trading/Market Abuse Laws</w:t>
      </w:r>
      <w:r>
        <w:rPr>
          <w:rFonts w:ascii="Times New Roman;sans-serif" w:hAnsi="Times New Roman;sans-serif"/>
          <w:b w:val="false"/>
          <w:color w:val="000000"/>
          <w:sz w:val="22"/>
        </w:rPr>
        <w:t>. The Optionee may be subject to insider trading and/or market abuse laws which may affect the Optionee’s ability to accept, acquire, sell or otherwise dispose of shares of Common Stock, rights to such shares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Options) or rights linked to the value of shares of Common Stock under the Plan during such times as the Optionee is considered to have “material nonpublic information” or “insider information” regarding the Company (as defined by the laws or regulations in the relevant jurisdiction). Local insider trading laws and regulations may prohibit the cancellation or amendment of orders the Optionee places before the Optionee possessed inside information. Furthermore, the Optionee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Optionee acknowledges that it is his or her responsibility to comply with any applicable restrictions, and that the Optionee should speak to his or her personal advisor on this matter.</w:t>
      </w:r>
    </w:p>
    <w:p>
      <w:pPr>
        <w:pStyle w:val="TextBody"/>
        <w:spacing w:lineRule="auto" w:line="240" w:before="0" w:after="240"/>
        <w:ind w:left="0" w:right="0" w:firstLine="270"/>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Exchange Control Tax and Foreign Asset/Account Reporting Requirements</w:t>
      </w:r>
      <w:r>
        <w:rPr>
          <w:rFonts w:ascii="Times New Roman;sans-serif" w:hAnsi="Times New Roman;sans-serif"/>
          <w:b w:val="false"/>
          <w:color w:val="000000"/>
          <w:sz w:val="22"/>
        </w:rPr>
        <w:t xml:space="preserve">. The Optionee acknowledges that there may be exchange control, tax, foreign asset and/or account reporting requirements which may affect the Optionee’s ability to acquire or hold shares of Common Stock acquired under the Plan or cash received from participating in the Plan (including from any dividends paid on shares of Common Stock acquired under the Plan) in a brokerage, bank account or legal entity outside the Optionee’s country. The Optionee may be required to report such accounts, balances, assets and/or the related transactions to the tax or other authorities in his or her country. The Optionee also may be required to repatriate sale proceeds or other funds received as a result of the Optionee’s participation in the Plan to his or her country through a designated bank or broker within a certain time after receipt. In addition, the Optionee agrees to take any and all actions required by the Company, any other entity in the Mondelēz Group or the local laws, rules and regulations in the Optionee’s country of residence (and country of employment, if different) that may be required to comply with such laws, rules and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01320"/>
                <wp:effectExtent l="0" t="0" r="0" b="0"/>
                <wp:wrapNone/>
                <wp:docPr id="71" name="Frame70"/>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10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10</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regulations. The Optionee acknowledges that it is the Optionee’s responsibility to be compliant with such regulations, and the Optionee should consult his or her personal legal advisor for any details.</w:t>
      </w:r>
    </w:p>
    <w:p>
      <w:pPr>
        <w:pStyle w:val="TextBody"/>
        <w:spacing w:lineRule="auto" w:line="240" w:before="0" w:after="240"/>
        <w:ind w:left="0" w:right="0" w:firstLine="270"/>
        <w:rPr/>
      </w:pPr>
      <w:r>
        <w:rPr>
          <w:rFonts w:ascii="Times New Roman;sans-serif" w:hAnsi="Times New Roman;sans-serif"/>
          <w:b w:val="false"/>
          <w:color w:val="000000"/>
          <w:sz w:val="22"/>
        </w:rPr>
        <w:t>25.</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Notwithstanding any provisions in this Agreement, the Option shall be subject to any terms set forth in the Appendix to this Agreement for the Optionee’s country. Moreover, if the Optionee relocates to one of the countries included in the Appendix, the terms for such country will apply to the Optionee, to the extent the Company determines that the application of such terms is necessary or advisable for legal or administrative reasons. The Appendix constitutes part of this Agreement.</w:t>
      </w:r>
    </w:p>
    <w:p>
      <w:pPr>
        <w:pStyle w:val="TextBody"/>
        <w:spacing w:lineRule="auto" w:line="240" w:before="0" w:after="240"/>
        <w:ind w:left="0" w:right="0" w:firstLine="270"/>
        <w:rPr/>
      </w:pPr>
      <w:r>
        <w:rPr>
          <w:rFonts w:ascii="Times New Roman;sans-serif" w:hAnsi="Times New Roman;sans-serif"/>
          <w:b w:val="false"/>
          <w:color w:val="000000"/>
          <w:sz w:val="22"/>
        </w:rPr>
        <w:t>26.</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The Optionee acknowledges that a waiver by the Company of a breach of any provision of this Agreement shall not operate or be construed as a waiver of any other provision of this Agreement or of any subsequent breach by the Optionee or any other participant of the Plan.</w:t>
      </w:r>
    </w:p>
    <w:p>
      <w:pPr>
        <w:pStyle w:val="TextBody"/>
        <w:spacing w:lineRule="auto" w:line="240" w:before="0" w:after="240"/>
        <w:ind w:left="0" w:right="0" w:firstLine="270"/>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The Optionee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Option is granted, only in such a manner as to conform to such laws, rules and regulations. To the extent permitted by applicable law, the Award Statement, the Plan and this Agreement shall be deemed amended to the extent necessary to conform to such laws, rules and regulations.</w:t>
      </w:r>
    </w:p>
    <w:p>
      <w:pPr>
        <w:pStyle w:val="TextBody"/>
        <w:ind w:left="0" w:right="0" w:firstLine="720"/>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01320"/>
                <wp:effectExtent l="0" t="0" r="0" b="0"/>
                <wp:wrapNone/>
                <wp:docPr id="72" name="Frame71"/>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11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11</w:t>
                      </w:r>
                    </w:p>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w:t>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The Optionee acknowledges that the Optionee has reviewed the Plan, the Award Statement and this Agreement (including any appendices hereto) in their entirety and fully understands their respective provisions. The Optionee agrees to accept as binding, conclusive and final all decisions or interpretations of the Committee upon any questions arising under the Plan, the Award Statement or this Agreement.</w:t>
      </w:r>
    </w:p>
    <w:p>
      <w:pPr>
        <w:pStyle w:val="TextBody"/>
        <w:spacing w:before="0" w:after="0"/>
        <w:jc w:val="both"/>
        <w:rPr/>
      </w:pPr>
      <w:r>
        <w:rPr/>
      </w:r>
    </w:p>
    <w:p>
      <w:pPr>
        <w:pStyle w:val="TextBody"/>
        <w:spacing w:lineRule="auto" w:line="240"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Agreement has been executed as of the Grant Date.</w:t>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240" w:after="283"/>
        <w:jc w:val="both"/>
        <w:rPr/>
      </w:pPr>
      <w:r>
        <w:rPr/>
      </w:r>
    </w:p>
    <w:p>
      <w:pPr>
        <w:pStyle w:val="TextBody"/>
        <w:spacing w:lineRule="auto"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MONDELĒZ INTERNATIONAL, INC.</w:t>
      </w:r>
    </w:p>
    <w:p>
      <w:pPr>
        <w:pStyle w:val="TextBody"/>
        <w:spacing w:before="0" w:after="0"/>
        <w:jc w:val="both"/>
        <w:rPr/>
      </w:pPr>
      <w:r>
        <w:rPr/>
      </w:r>
    </w:p>
    <w:p>
      <w:pPr>
        <w:pStyle w:val="TextBody"/>
        <w:spacing w:before="0" w:after="0"/>
        <w:jc w:val="both"/>
        <w:rPr/>
      </w:pPr>
      <w:r>
        <w:rPr/>
        <w:drawing>
          <wp:inline distT="0" distB="63500" distL="0" distR="0">
            <wp:extent cx="2457450" cy="609600"/>
            <wp:effectExtent l="0" t="0" r="0" b="0"/>
            <wp:docPr id="7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 descr=""/>
                    <pic:cNvPicPr>
                      <a:picLocks noChangeAspect="1" noChangeArrowheads="1"/>
                    </pic:cNvPicPr>
                  </pic:nvPicPr>
                  <pic:blipFill>
                    <a:blip r:embed="rId4"/>
                    <a:stretch>
                      <a:fillRect/>
                    </a:stretch>
                  </pic:blipFill>
                  <pic:spPr bwMode="auto">
                    <a:xfrm>
                      <a:off x="0" y="0"/>
                      <a:ext cx="2457450" cy="609600"/>
                    </a:xfrm>
                    <a:prstGeom prst="rect">
                      <a:avLst/>
                    </a:prstGeom>
                  </pic:spPr>
                </pic:pic>
              </a:graphicData>
            </a:graphic>
          </wp:inline>
        </w:drawing>
      </w:r>
    </w:p>
    <w:p>
      <w:pPr>
        <w:pStyle w:val="TextBody"/>
        <w:spacing w:before="0" w:after="0"/>
        <w:jc w:val="both"/>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Ellen M. Smith</w:t>
        <w:br/>
        <w:t>SVP &amp; Chief Counsel, Chief Compliance Officer &amp; Corporate Secretary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01320"/>
                <wp:effectExtent l="0" t="0" r="0" b="0"/>
                <wp:wrapNone/>
                <wp:docPr id="74" name="Frame72"/>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12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12</w:t>
                      </w:r>
                    </w:p>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MONDELĒZ INTERNATIONAL, INC. </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2005 PERFORMANCE INCENTIVE PLAN</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as of February 3, 2017)</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ADDITIONAL TERMS AND CONDITIONS OF THE</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NON-QUALIFIED GLOBAL STOCK OPTION AGREEMENT</w:t>
      </w:r>
    </w:p>
    <w:p>
      <w:pPr>
        <w:pStyle w:val="TextBody"/>
        <w:spacing w:lineRule="auto" w:line="240" w:before="0" w:after="240"/>
        <w:rPr/>
      </w:pPr>
      <w:r>
        <w:rPr>
          <w:rFonts w:ascii="Times New Roman;sans-serif" w:hAnsi="Times New Roman;sans-serif"/>
          <w:b w:val="false"/>
          <w:color w:val="000000"/>
          <w:sz w:val="22"/>
        </w:rPr>
        <w:t>This Appendix A includes additional terms and conditions that govern the Option granted to the Optionee under the Plan if he or she resides and/or works in one of the countries listed herein. If the Optionee is a citizen or resident (or is considered as such for local law purposes) of a country other than the country in which the Optionee is currently residing and/or working, or if the Optionee transfers to another country after receiving the Option, the Company shall, in its discretion, determine to what extent the terms and conditions contained herein shall be applicable to the Optionee. Certain capitalized terms used but not defined in this Appendix A have the meanings set forth in the Plan and/or the Non-Qualified Global Stock Option Agreement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This Appendix A also includes information regarding securities, exchange control and certain other issues of which the Optionee should be aware with respect to participation in the Plan. The information is based on the securities, exchange control and other laws in effect in the respective countries as of January 2023. Such laws are often complex and change frequently. As a result, the Optionee should not rely on the information in this Appendix A as the only source of information relating to the consequences of his or her participation in the Plan because the information may be out of date at the time the Optionee exercises the Option or sells shares of Common Stock acquired under the Plan.</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addition, the information contained herein is general in nature and may not apply to the Optionee’s particular situation, and the Company is not in a position to assure the Optionee of a particular result. Accordingly, the Optionee should seek appropriate professional advice as to how the relevant laws in his or her country may apply to the Optionee’s situation.</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Finally, if the Optionee is a citizen or resident of a country other than the one in which he or she is currently working, transfers employment after the Grant Date, or is considered a resident of another country for local law purposes, the information contained herein may not be applicable to the Optionee in the same manner.</w:t>
      </w:r>
    </w:p>
    <w:p>
      <w:pPr>
        <w:pStyle w:val="TextBody"/>
        <w:spacing w:lineRule="auto" w:line="240" w:before="0" w:after="0"/>
        <w:rPr>
          <w:rFonts w:ascii="Times New Roman;sans-serif" w:hAnsi="Times New Roman;sans-serif"/>
          <w:b/>
          <w:color w:val="000000"/>
          <w:sz w:val="22"/>
          <w:highlight w:val="white"/>
          <w:u w:val="single"/>
        </w:rPr>
      </w:pPr>
      <w:r>
        <w:rPr>
          <w:rFonts w:ascii="Times New Roman;sans-serif" w:hAnsi="Times New Roman;sans-serif"/>
          <w:b/>
          <w:color w:val="000000"/>
          <w:sz w:val="22"/>
          <w:highlight w:val="white"/>
          <w:u w:val="single"/>
        </w:rPr>
        <w:t>EUROPEAN UNION / EUROPEAN ECONOMIC AREA, SWITZERLAND AND THE UNITED KINGDOM</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before="0" w:after="0"/>
        <w:rPr/>
      </w:pPr>
      <w:r>
        <w:rPr/>
      </w:r>
    </w:p>
    <w:p>
      <w:pPr>
        <w:pStyle w:val="TextBody"/>
        <w:spacing w:lineRule="auto" w:line="240" w:before="0" w:after="240"/>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13 of the Agreement: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If the Optionee is based in the European Union (“EU”), the European Economic Area, Switzerland or the United Kingdom, the Optionee should note that Mondelēz International, Inc., with registered address at 905 West Fulton Market, Suite 200, Chicago, Illinois 60607, U.S.A. is the controller responsible for the processing of the Optionee's Personal Data (as defined below) in connection with the Agreement and the Plan.</w:t>
      </w:r>
    </w:p>
    <w:p>
      <w:pPr>
        <w:pStyle w:val="TextBody"/>
        <w:spacing w:before="7" w:after="283"/>
        <w:jc w:val="both"/>
        <w:rPr/>
      </w:pPr>
      <w:r>
        <w:rPr/>
      </w:r>
    </w:p>
    <w:p>
      <w:pPr>
        <w:pStyle w:val="TextBody"/>
        <w:spacing w:lineRule="auto" w:line="240" w:before="0" w:after="240"/>
        <w:rPr/>
      </w:pPr>
      <w:r>
        <w:rPr>
          <w:rFonts w:ascii="Times New Roman;sans-serif" w:hAnsi="Times New Roman;sans-serif"/>
          <w:b w:val="false"/>
          <w:color w:val="000000"/>
          <w:sz w:val="22"/>
          <w:u w:val="single"/>
        </w:rPr>
        <w:t>Data Collection and Usage</w:t>
      </w:r>
      <w:r>
        <w:rPr>
          <w:rFonts w:ascii="Times New Roman;sans-serif" w:hAnsi="Times New Roman;sans-serif"/>
          <w:b w:val="false"/>
          <w:color w:val="000000"/>
          <w:sz w:val="22"/>
        </w:rPr>
        <w:t xml:space="preserve">. Pursuant to applicable data protection laws, the Optionee is hereby notified that the Company collects, processes and uses the following types of personal data about the Optionee: name, home address and telephone number, email address, date of birth, social insurance, passport number or other identification number, salary, nationality, job title, any shares of stock or directorships held in any entity in the Mondelēz Group, details of all Options or any other entitlement to shares awarded, canceled, settled, vested, unvested or outstanding in the Optionee’s favor, which the Company receives from the Optionee or the Employer (“Personal Data”) for the exclusive legitimate purpose of granting Options and implementing, administering and managing the Optionee’s participation in the Plan.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01320"/>
                <wp:effectExtent l="0" t="0" r="0" b="0"/>
                <wp:wrapNone/>
                <wp:docPr id="75" name="Frame73"/>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13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13</w:t>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u w:val="single"/>
        </w:rPr>
        <w:t>Purposes and Legal Bases of Processing</w:t>
      </w:r>
      <w:r>
        <w:rPr>
          <w:rFonts w:ascii="Times New Roman;sans-serif" w:hAnsi="Times New Roman;sans-serif"/>
          <w:b w:val="false"/>
          <w:color w:val="000000"/>
          <w:sz w:val="22"/>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Optionee understands that providing the Company with Personal Data is necessary for the performance of the Agreement and that the Optionee's refusal to provide Personal Data would make it impossible for the Company to perform its contractual obligations and may affect the Optionee's ability to participate in the Plan.</w:t>
      </w:r>
    </w:p>
    <w:p>
      <w:pPr>
        <w:pStyle w:val="TextBody"/>
        <w:spacing w:lineRule="auto" w:line="240" w:before="0" w:after="240"/>
        <w:rPr/>
      </w:pPr>
      <w:r>
        <w:rPr>
          <w:rFonts w:ascii="Times New Roman;sans-serif" w:hAnsi="Times New Roman;sans-serif"/>
          <w:b w:val="false"/>
          <w:color w:val="000000"/>
          <w:sz w:val="22"/>
          <w:u w:val="single"/>
        </w:rPr>
        <w:t>International Data Transfers</w:t>
      </w:r>
      <w:r>
        <w:rPr>
          <w:rFonts w:ascii="Times New Roman;sans-serif" w:hAnsi="Times New Roman;sans-serif"/>
          <w:b w:val="false"/>
          <w:color w:val="000000"/>
          <w:sz w:val="22"/>
        </w:rPr>
        <w:t xml:space="preserve">. The Company is located in the United States which means that it will be necessary for Personal Data to be transferred to, and processed in, the United States. The Optionee understands and acknowledges that the United States is not subject to an unlimited adequacy finding by the European Commission and that the Optionee’s Personal Data may not have an equivalent level of protection as compared to the Optionee’s country of residence. To provide appropriate safeguards for the protection of the Optionee’s Personal Data, the Personal Data is transferred to the Company based on data transfer and processing agreements implementing the EU Standard Contractual Clauses. Further, the Optionee understands that the Company transfers his or her Personal Data, or parts thereof to third parties based on agreements implementing the EU Standard Contractual Clauses. These third parties include E*TRADE Financial Corporate Services Inc. and its affiliates (“E*TRADE”), an independent service provider based in the United States which assists the Company with the implementation, administration and management of the Plan. E*TRADE has opened or will open an account for the Optionee to receive and trade shares of Common Stock acquired under the Plan. The Optionee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Optionee may be asked to agree on separate terms and data processing practices with E*TRADE, PricewaterhouseCoopers LLP or KPMG LLP with such agreement being a condition to the Optionee’s ability to participate in the Plan. </w:t>
      </w:r>
    </w:p>
    <w:p>
      <w:pPr>
        <w:pStyle w:val="TextBody"/>
        <w:spacing w:lineRule="auto" w:line="240" w:before="0" w:after="240"/>
        <w:rPr/>
      </w:pPr>
      <w:r>
        <w:rPr>
          <w:rFonts w:ascii="Times New Roman;sans-serif" w:hAnsi="Times New Roman;sans-serif"/>
          <w:b w:val="false"/>
          <w:color w:val="000000"/>
          <w:sz w:val="22"/>
        </w:rPr>
        <w:t xml:space="preserve">The Optionee may request a copy of the safeguards used to protect his or her Personal Data or the names and addresses of any potential recipients of Personal Data by contacting the Company at </w:t>
      </w:r>
      <w:r>
        <w:rPr>
          <w:rFonts w:ascii="Times New Roman;sans-serif" w:hAnsi="Times New Roman;sans-serif"/>
          <w:b w:val="false"/>
          <w:color w:val="000000"/>
          <w:sz w:val="22"/>
          <w:u w:val="single"/>
        </w:rPr>
        <w:t>DataProtectionOfficeMEU@mdlz.com</w:t>
      </w:r>
      <w:r>
        <w:rPr>
          <w:rFonts w:ascii="Times New Roman;sans-serif" w:hAnsi="Times New Roman;sans-serif"/>
          <w:b w:val="false"/>
          <w:color w:val="000000"/>
          <w:sz w:val="22"/>
        </w:rPr>
        <w:t>.</w:t>
      </w:r>
    </w:p>
    <w:p>
      <w:pPr>
        <w:pStyle w:val="TextBody"/>
        <w:spacing w:lineRule="auto" w:line="240" w:before="0" w:after="240"/>
        <w:rPr/>
      </w:pPr>
      <w:r>
        <w:rPr>
          <w:rFonts w:ascii="Times New Roman;sans-serif" w:hAnsi="Times New Roman;sans-serif"/>
          <w:b w:val="false"/>
          <w:color w:val="000000"/>
          <w:sz w:val="22"/>
          <w:u w:val="single"/>
        </w:rPr>
        <w:t>Data Retention</w:t>
      </w:r>
      <w:r>
        <w:rPr>
          <w:rFonts w:ascii="Times New Roman;sans-serif" w:hAnsi="Times New Roman;sans-serif"/>
          <w:b w:val="false"/>
          <w:color w:val="000000"/>
          <w:sz w:val="22"/>
        </w:rPr>
        <w:t xml:space="preserve">. The Company will use the Personal Data only as long as necessary to implement, administer and manage the Optionee’s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 </w:t>
      </w:r>
    </w:p>
    <w:p>
      <w:pPr>
        <w:pStyle w:val="TextBody"/>
        <w:spacing w:lineRule="auto" w:line="240" w:before="0" w:after="240"/>
        <w:rPr/>
      </w:pPr>
      <w:r>
        <w:rPr>
          <w:rFonts w:ascii="Times New Roman;sans-serif" w:hAnsi="Times New Roman;sans-serif"/>
          <w:b w:val="false"/>
          <w:color w:val="000000"/>
          <w:sz w:val="22"/>
          <w:u w:val="single"/>
        </w:rPr>
        <w:t>Data Subject Rights</w:t>
      </w:r>
      <w:r>
        <w:rPr>
          <w:rFonts w:ascii="Times New Roman;sans-serif" w:hAnsi="Times New Roman;sans-serif"/>
          <w:b w:val="false"/>
          <w:color w:val="000000"/>
          <w:sz w:val="22"/>
        </w:rPr>
        <w:t xml:space="preserve">. To the extent provided by law, the Optionee has the right to (i) inquire whether and what kind of Personal Data the Company holds about the Optionee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Optionee feels its processing is inappropriate, (v) object, in certain circumstances, to the processing of Personal Data for legitimate interests, (vi) request portability of Personal Data that the Optionee has actively or passively provided to the Company, where the processing of such Personal Data is based on consent or a contractual agreement with the Optionee and is carried out by automated means, or (vii) lodge a complaint with the competent local data protection authority. To receive additional information regarding the Optionee’s rights, raise any other questions regarding the practices described in the Agreement or to exercise his or her rights, the Optionee should contact the Company at </w:t>
      </w:r>
      <w:r>
        <w:rPr>
          <w:rFonts w:ascii="Times New Roman;sans-serif" w:hAnsi="Times New Roman;sans-serif"/>
          <w:b w:val="false"/>
          <w:color w:val="000000"/>
          <w:sz w:val="22"/>
          <w:u w:val="single"/>
        </w:rPr>
        <w:t>DataProtectionOfficeMEU@mdlz.com</w:t>
      </w:r>
      <w:r>
        <w:rPr>
          <w:rFonts w:ascii="Times New Roman;sans-serif" w:hAnsi="Times New Roman;sans-serif"/>
          <w:b w:val="false"/>
          <w:color w:val="000000"/>
          <w:sz w:val="22"/>
        </w:rPr>
        <w: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ARGENTINA</w:t>
      </w:r>
    </w:p>
    <w:p>
      <w:pPr>
        <w:pStyle w:val="TextBody"/>
        <w:spacing w:lineRule="auto" w:line="304"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01320"/>
                <wp:effectExtent l="0" t="0" r="0" b="0"/>
                <wp:wrapNone/>
                <wp:docPr id="76" name="Frame74"/>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14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14</w:t>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Notwithstanding anything to the contrary in the Agreement, due to regulatory requirements in Argentina, the 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pStyle w:val="TextBody"/>
        <w:spacing w:lineRule="auto" w:line="240" w:before="0" w:after="240"/>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Notwithstanding anything to the contrary in the Agreement, paragraph 6 of the Agreement will not apply to Argentinian Optionees.</w:t>
      </w:r>
    </w:p>
    <w:p>
      <w:pPr>
        <w:pStyle w:val="TextBody"/>
        <w:spacing w:lineRule="auto" w:line="240" w:before="0" w:after="240"/>
        <w:rPr/>
      </w:pPr>
      <w:r>
        <w:rPr>
          <w:rFonts w:ascii="Times New Roman;sans-serif" w:hAnsi="Times New Roman;sans-serif"/>
          <w:b/>
          <w:color w:val="000000"/>
          <w:sz w:val="22"/>
        </w:rPr>
        <w:t>Labor Law Policy and Acknowledgement</w:t>
      </w:r>
      <w:r>
        <w:rPr>
          <w:rFonts w:ascii="Times New Roman;sans-serif" w:hAnsi="Times New Roman;sans-serif"/>
          <w:b w:val="false"/>
          <w:color w:val="000000"/>
          <w:sz w:val="22"/>
        </w:rPr>
        <w:t>. The following provision supplements paragraph 12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and agrees that the Grant is made by the Company (not the Employer) in its sole discretion and that the value of the Option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If, notwithstanding the foregoing, any benefits under the Plan are considered for any purpose under Argentine labor law, the Optionee acknowledges and agrees that such benefits shall not accrue more frequently than on each vesting date.</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Type of Offering</w:t>
      </w:r>
      <w:r>
        <w:rPr>
          <w:rFonts w:ascii="Times New Roman;sans-serif" w:hAnsi="Times New Roman;sans-serif"/>
          <w:b w:val="false"/>
          <w:color w:val="000000"/>
          <w:sz w:val="22"/>
        </w:rPr>
        <w:t xml:space="preserve">. Neither the Option nor the underlying shares of Common Stock are publicly offered or listed on any stock exchange in Argentina. </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Optionee is solely responsible for complying with the exchange control rules that may apply in connection with his or her participation in the Plan and/or the transfer of proceeds acquired under the Plan into Argentina. Prior to exercising the Option or transferring proceeds into Argentina, the Optionee should consult his or her local bank and exchange control advisor to confirm the exchange control rules and required documentation.</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must report holdings of any equity interest in a foreign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on his or her annual tax return each year.</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AUSTRALIA</w:t>
      </w:r>
    </w:p>
    <w:p>
      <w:pPr>
        <w:pStyle w:val="TextBody"/>
        <w:spacing w:lineRule="auto" w:line="304"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Nature of Plan. </w:t>
      </w:r>
      <w:r>
        <w:rPr>
          <w:rFonts w:ascii="Times New Roman;sans-serif" w:hAnsi="Times New Roman;sans-serif"/>
          <w:b w:val="false"/>
          <w:color w:val="000000"/>
          <w:sz w:val="22"/>
        </w:rPr>
        <w:t xml:space="preserve">The grant of the Option is being made under Division 1A of Part 7.12 of the </w:t>
      </w:r>
      <w:r>
        <w:rPr>
          <w:rFonts w:ascii="Times New Roman;sans-serif" w:hAnsi="Times New Roman;sans-serif"/>
          <w:b w:val="false"/>
          <w:i/>
          <w:color w:val="000000"/>
          <w:sz w:val="22"/>
        </w:rPr>
        <w:t>Corporations Act 2001 (Cth)</w:t>
      </w:r>
      <w:r>
        <w:rPr>
          <w:rFonts w:ascii="Times New Roman;sans-serif" w:hAnsi="Times New Roman;sans-serif"/>
          <w:b w:val="false"/>
          <w:color w:val="000000"/>
          <w:sz w:val="22"/>
        </w:rPr>
        <w:t xml:space="preserve">. </w:t>
      </w:r>
      <w:r>
        <w:rPr>
          <w:rFonts w:ascii="Times New Roman;sans-serif" w:hAnsi="Times New Roman;sans-serif"/>
          <w:b w:val="false"/>
          <w:color w:val="000000"/>
          <w:sz w:val="22"/>
          <w:highlight w:val="white"/>
        </w:rPr>
        <w:t xml:space="preserve">Please note that if the </w:t>
      </w:r>
      <w:r>
        <w:rPr>
          <w:rFonts w:ascii="Palatino;serif" w:hAnsi="Palatino;serif"/>
          <w:b w:val="false"/>
          <w:color w:val="000000"/>
          <w:sz w:val="22"/>
          <w:highlight w:val="white"/>
        </w:rPr>
        <w:t>Optionee</w:t>
      </w:r>
      <w:r>
        <w:rPr>
          <w:color w:val="000000"/>
          <w:highlight w:val="white"/>
        </w:rPr>
        <w:t xml:space="preserve"> </w:t>
      </w:r>
      <w:r>
        <w:rPr>
          <w:rFonts w:ascii="Times New Roman;sans-serif" w:hAnsi="Times New Roman;sans-serif"/>
          <w:b w:val="false"/>
          <w:color w:val="000000"/>
          <w:sz w:val="22"/>
          <w:highlight w:val="white"/>
        </w:rPr>
        <w:t xml:space="preserve">offers </w:t>
      </w:r>
      <w:r>
        <w:rPr>
          <w:rFonts w:ascii="Palatino;serif" w:hAnsi="Palatino;serif"/>
          <w:b w:val="false"/>
          <w:color w:val="000000"/>
          <w:sz w:val="22"/>
        </w:rPr>
        <w:t>shares of Common Stock</w:t>
      </w:r>
      <w:r>
        <w:rPr>
          <w:color w:val="000000"/>
          <w:highlight w:val="white"/>
        </w:rPr>
        <w:t xml:space="preserve"> </w:t>
      </w:r>
      <w:r>
        <w:rPr>
          <w:rFonts w:ascii="Times New Roman;sans-serif" w:hAnsi="Times New Roman;sans-serif"/>
          <w:b w:val="false"/>
          <w:color w:val="000000"/>
          <w:sz w:val="22"/>
          <w:highlight w:val="white"/>
        </w:rPr>
        <w:t xml:space="preserve">for sale to a person or entity resident in Australia, the offer may be subject to disclosure requirements under Australian law. The </w:t>
      </w:r>
      <w:r>
        <w:rPr>
          <w:rFonts w:ascii="Palatino;serif" w:hAnsi="Palatino;serif"/>
          <w:b w:val="false"/>
          <w:color w:val="000000"/>
          <w:sz w:val="22"/>
          <w:highlight w:val="white"/>
        </w:rPr>
        <w:t>Optionee</w:t>
      </w:r>
      <w:r>
        <w:rPr>
          <w:color w:val="000000"/>
          <w:highlight w:val="white"/>
        </w:rPr>
        <w:t xml:space="preserve"> </w:t>
      </w:r>
      <w:r>
        <w:rPr>
          <w:rFonts w:ascii="Times New Roman;sans-serif" w:hAnsi="Times New Roman;sans-serif"/>
          <w:b w:val="false"/>
          <w:color w:val="000000"/>
          <w:sz w:val="22"/>
          <w:highlight w:val="white"/>
        </w:rPr>
        <w:t xml:space="preserve">should obtain legal advice on the </w:t>
      </w:r>
      <w:r>
        <w:rPr>
          <w:rFonts w:ascii="Palatino;serif" w:hAnsi="Palatino;serif"/>
          <w:b w:val="false"/>
          <w:color w:val="000000"/>
          <w:sz w:val="22"/>
          <w:highlight w:val="white"/>
        </w:rPr>
        <w:t>Optionee</w:t>
      </w:r>
      <w:r>
        <w:rPr>
          <w:color w:val="000000"/>
          <w:highlight w:val="white"/>
        </w:rPr>
        <w:t>’</w:t>
      </w:r>
      <w:r>
        <w:rPr>
          <w:rFonts w:ascii="Times New Roman;sans-serif" w:hAnsi="Times New Roman;sans-serif"/>
          <w:b w:val="false"/>
          <w:color w:val="000000"/>
          <w:sz w:val="22"/>
          <w:highlight w:val="white"/>
        </w:rPr>
        <w:t>s disclosure obligations prior to making any such offer.</w:t>
      </w:r>
    </w:p>
    <w:p>
      <w:pPr>
        <w:pStyle w:val="TextBody"/>
        <w:spacing w:lineRule="auto" w:line="240" w:before="0" w:after="240"/>
        <w:rPr/>
      </w:pPr>
      <w:r>
        <w:rPr>
          <w:rFonts w:ascii="Times New Roman;sans-serif" w:hAnsi="Times New Roman;sans-serif"/>
          <w:b/>
          <w:color w:val="000000"/>
          <w:sz w:val="22"/>
        </w:rPr>
        <w:t xml:space="preserve">Australian Offer Document. </w:t>
      </w:r>
      <w:r>
        <w:rPr>
          <w:rFonts w:ascii="Times New Roman;sans-serif" w:hAnsi="Times New Roman;sans-serif"/>
          <w:b w:val="false"/>
          <w:color w:val="000000"/>
          <w:sz w:val="22"/>
        </w:rPr>
        <w:t xml:space="preserve">The Optionee’s right to participate in the Plan and receive the grant of the Option under the Plan is subject to the terms and conditions as stated in the offer document, the Plan and the Agreement. By accepting the grant of the Option, the Optionee acknowledges and confirms that the Optionee has received these documents.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01320"/>
                <wp:effectExtent l="0" t="0" r="0" b="0"/>
                <wp:wrapNone/>
                <wp:docPr id="77" name="Frame75"/>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15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15</w:t>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No payment constituting breach of law in Australia</w:t>
      </w:r>
      <w:r>
        <w:rPr>
          <w:rFonts w:ascii="Times New Roman;sans-serif" w:hAnsi="Times New Roman;sans-serif"/>
          <w:b w:val="false"/>
          <w:color w:val="000000"/>
          <w:sz w:val="22"/>
        </w:rPr>
        <w:t>. Notwithstanding anything else in the Plan or the Agreement, the Optionee will not 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reporting is required for cash transactions exceeding AUD10,000 and for international fund transfers. If an Australian bank is assisting with the transaction, the bank will file the report on the Optionee’s behalf, otherwise the Optionee will be responsible for complying with any exchange control reporting requirements.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AUSTRIA</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 xml:space="preserve">If the Optionee holds shares of Common Stock acquired under the Plan or cash (including proceeds from the sale of shares of Common Stock) outside Austria, the Optionee may be subject to reporting obligations to the Austrian National Bank. </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Optionee holds securities (including shares of Common Stock acquired under the Plan) or cash (including proceeds from the sale of shares of Common Stock) outside of Austria, he or she may be subject to reporting obligations to the Austrian National Bank. If the value of the shares of Common Stock meets or exceeds a certain threshold, the Optionee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of Austria meet or exceed a certain threshold, monthly reporting obligations apply as explained in the next paragraph.</w:t>
      </w:r>
    </w:p>
    <w:p>
      <w:pPr>
        <w:pStyle w:val="TextBody"/>
        <w:spacing w:lineRule="auto" w:line="240" w:before="0" w:after="240"/>
        <w:rPr/>
      </w:pPr>
      <w:r>
        <w:rPr>
          <w:rFonts w:ascii="Times New Roman;sans-serif" w:hAnsi="Times New Roman;sans-serif"/>
          <w:b w:val="false"/>
          <w:color w:val="000000"/>
          <w:sz w:val="22"/>
        </w:rPr>
        <w:t>If the Participant sells shares of Common Stock, or receives any cash dividends, the Optionee may have exchange control obligations if the Optionee holds the cash proceeds outside Austria. If the transaction volume of all the Optionee’s accounts abroad meets or exceeds a certain threshold, the Optionee must report to the Austrian National Bank the movements and balances of all accounts on a monthly basis, as of the last day of the month, on or before the 15th day of the following month, on the prescribed form (</w:t>
      </w:r>
      <w:r>
        <w:rPr>
          <w:rFonts w:ascii="Times New Roman;sans-serif" w:hAnsi="Times New Roman;sans-serif"/>
          <w:b w:val="false"/>
          <w:i/>
          <w:color w:val="000000"/>
          <w:sz w:val="22"/>
        </w:rPr>
        <w:t>Meldungen SI-Forderungen und/oder SI-Verpflichtungen</w:t>
      </w:r>
      <w:r>
        <w:rPr>
          <w:rFonts w:ascii="Times New Roman;sans-serif" w:hAnsi="Times New Roman;sans-serif"/>
          <w:b w:val="false"/>
          <w:color w:val="000000"/>
          <w:sz w:val="22"/>
        </w:rPr>
        <w: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BAHRAIN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Agreement does not constitute advertising or an offering of securities in Bahrain, nor does it constitute an allotment of securities in Bahrain. Any shares of Common Stock issued pursuant to the Options under the Plan shall be deposited into a brokerage account in the United States. In no event will shares of Common Stock be issued or delivered in Bahrain. The issuance of shares of Common Stock pursuant to the Options described herein has not and will not be registered in Bahrain and hence, the shares of Common Stock described herein may not be admitted or used for offering, placement or public circulation in Bahrain. Accordingly, the Optionee may not make any public advertising or announcements regarding the Options or shares of Common Stock in Bahrain, promote these shares of Common Stock to legal entities or individuals in Bahrain, or sell shares of Common Stock directly to other legal entities or individuals in Bahrain. The Optionee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the Nasdaq Global Select Market).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01320"/>
                <wp:effectExtent l="0" t="0" r="0" b="0"/>
                <wp:wrapNone/>
                <wp:docPr id="78" name="Frame76"/>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16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16</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BELGIUM</w:t>
      </w:r>
    </w:p>
    <w:p>
      <w:pPr>
        <w:pStyle w:val="TextBody"/>
        <w:spacing w:lineRule="auto" w:line="304"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Tax Considerations.</w:t>
      </w:r>
      <w:r>
        <w:rPr>
          <w:color w:val="000000"/>
        </w:rPr>
        <w:t xml:space="preserve"> </w:t>
      </w:r>
      <w:r>
        <w:rPr>
          <w:rFonts w:ascii="Times New Roman;sans-serif" w:hAnsi="Times New Roman;sans-serif"/>
          <w:b w:val="false"/>
          <w:color w:val="000000"/>
          <w:sz w:val="22"/>
        </w:rPr>
        <w:t>The Option must be accepted in writing either (i) within 60 days of the offer (for tax at offer), or (ii) after 60 days of the offer (for tax at exercise). The Optionee will receive a separate offer letter, acceptance form and undertaking form in addition to the Agreement. He or she should refer to the offer letter for a more detailed description of the tax consequences of choosing to accept the Option. The Optionee should consult a personal tax advisor with respect to completing the additional forms.</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is required to report any securities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acquired 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Optionee should consult a personal tax advisor with respect to the applicable reporting obligations.</w:t>
      </w:r>
    </w:p>
    <w:p>
      <w:pPr>
        <w:pStyle w:val="TextBody"/>
        <w:spacing w:lineRule="auto" w:line="240" w:before="0" w:after="240"/>
        <w:rPr/>
      </w:pPr>
      <w:r>
        <w:rPr>
          <w:rFonts w:ascii="Times New Roman;sans-serif" w:hAnsi="Times New Roman;sans-serif"/>
          <w:b/>
          <w:color w:val="000000"/>
          <w:sz w:val="22"/>
        </w:rPr>
        <w:t xml:space="preserve">Annual Securities Accounts Tax. </w:t>
      </w:r>
      <w:r>
        <w:rPr>
          <w:rFonts w:ascii="Times New Roman;sans-serif" w:hAnsi="Times New Roman;sans-serif"/>
          <w:b w:val="false"/>
          <w:color w:val="000000"/>
          <w:sz w:val="22"/>
        </w:rPr>
        <w:t>If the value of securities held in a Belgian or foreign securities account exceeds EUR 1 million, a new “annual securities accounts tax” applies. Belgian residents should consult with their personal tax advisor regarding the new tax.</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spacing w:lineRule="auto" w:line="304"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xml:space="preserve">. By accepting the Option, the Optionee acknowledges that he or she agrees to comply with applicable Brazilian laws and pay any and all applicable Tax-Related Items associated with the exercise of the Option, the receipt of any dividends and the sale of shares of Common Stock acquired under the Plan. </w:t>
      </w:r>
    </w:p>
    <w:p>
      <w:pPr>
        <w:pStyle w:val="TextBody"/>
        <w:spacing w:lineRule="auto" w:line="240" w:before="0" w:after="240"/>
        <w:rPr/>
      </w:pPr>
      <w:r>
        <w:rPr>
          <w:rFonts w:ascii="Times New Roman;sans-serif" w:hAnsi="Times New Roman;sans-serif"/>
          <w:b/>
          <w:color w:val="000000"/>
          <w:sz w:val="22"/>
        </w:rPr>
        <w:t xml:space="preserve">Labor Law Acknowledgment. </w:t>
      </w:r>
      <w:r>
        <w:rPr>
          <w:rFonts w:ascii="Times New Roman;sans-serif" w:hAnsi="Times New Roman;sans-serif"/>
          <w:b w:val="false"/>
          <w:color w:val="000000"/>
          <w:sz w:val="22"/>
        </w:rPr>
        <w:t>By accepting the Option, the Optionee understands, acknowledges and agrees that, for all legal purposes (i) the Optionee is making an investment decision and (ii) the value of the underlying shares of Common Stock are not fixed and may increase or decrease in value over the vesting period without compensation to the Optionee.</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Individuals who are resident or domiciled in Brazil are generally required to submit an annual declaration of assets and rights held outside Brazil to the Central Bank of Brazil if the aggregate value of such assets and rights is greater than US$1,000,000. If such amount is equal to or greater than US$100,000,000, the referenced declaration must be submitted quarterly, in the month following the end of each quarter. Assets and rights to be included in this annual declaration include shares of Common Stock acquired under the Plan.</w:t>
      </w:r>
    </w:p>
    <w:p>
      <w:pPr>
        <w:pStyle w:val="TextBody"/>
        <w:spacing w:lineRule="auto" w:line="240" w:before="0" w:after="240"/>
        <w:rPr/>
      </w:pPr>
      <w:r>
        <w:rPr>
          <w:rFonts w:ascii="Times New Roman;sans-serif" w:hAnsi="Times New Roman;sans-serif"/>
          <w:b/>
          <w:color w:val="000000"/>
          <w:sz w:val="22"/>
        </w:rPr>
        <w:t>Tax on Financial Transaction (IOF)</w:t>
      </w:r>
      <w:r>
        <w:rPr>
          <w:rFonts w:ascii="Times New Roman;sans-serif" w:hAnsi="Times New Roman;sans-serif"/>
          <w:b w:val="false"/>
          <w:color w:val="000000"/>
          <w:sz w:val="22"/>
        </w:rPr>
        <w:t>. Payments to foreign countries (including payment of the Grant Price) and the repatriation of funds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sale proceeds from the sale of shares of Common Stock and/or dividends) into Brazil and the conversion between BRL and USD associated with such transfers may be subject to the Tax on Financial Transactions. It is the Optionee’s responsibility to comply with any applicable Tax on Financial Transactions arising from his or her participation in the Plan. The Optionee should consult with his or her personal tax advisor for additional details.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BULGARIA</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01320"/>
                <wp:effectExtent l="0" t="0" r="0" b="0"/>
                <wp:wrapNone/>
                <wp:docPr id="79" name="Frame77"/>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17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17</w:t>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Optionee exercises the Option through a cash purchase exercise, in order to remit funds out of Bulgaria, he or she will need to declare the purpose of the remittance to the local bank that is transferring the funds abroad. If the amount the Optionee wishes to transfer exceeds BGN 30,000, he or she will need to provide the bank with certain documents evidencing the transaction. If the Optionee exercises the Option by way of a cashless method of exercise, this declaration will not be required because no funds will be remitted out of Bulgaria.</w:t>
      </w:r>
    </w:p>
    <w:p>
      <w:pPr>
        <w:pStyle w:val="TextBody"/>
        <w:spacing w:lineRule="auto" w:line="240" w:before="0" w:after="240"/>
        <w:rPr/>
      </w:pPr>
      <w:r>
        <w:rPr>
          <w:rFonts w:ascii="Times New Roman;sans-serif" w:hAnsi="Times New Roman;sans-serif"/>
          <w:b w:val="false"/>
          <w:color w:val="000000"/>
          <w:sz w:val="22"/>
        </w:rPr>
        <w:t>In addition, the Optionee will be required to file statistical forms with the Bulgarian national bank annually regarding his or her receivables in bank accounts abroad as well as securities held abroad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if the total sum of all such receivables and securities equals or exceeds BGN50,000 as of the previous calendar year end. The reports are due by March 31.</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Optionee should contact his or her bank in Bulgaria for additional information regarding these requirements.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CANADA</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Form of Payment.</w:t>
      </w:r>
      <w:r>
        <w:rPr>
          <w:color w:val="000000"/>
        </w:rPr>
        <w:t xml:space="preserve"> </w:t>
      </w:r>
      <w:r>
        <w:rPr>
          <w:rFonts w:ascii="Times New Roman;sans-serif" w:hAnsi="Times New Roman;sans-serif"/>
          <w:b w:val="false"/>
          <w:color w:val="000000"/>
          <w:sz w:val="22"/>
        </w:rPr>
        <w:t>Notwithstanding anything in the Plan or the Agreement to the contrary, the Optionee is prohibited from surrendering shares of Common Stock that he or she already owns or attesting to the ownership of shares of Common Stock to pay the Grant Price or any Tax-Related Items in connection with the Option.</w:t>
      </w:r>
    </w:p>
    <w:p>
      <w:pPr>
        <w:pStyle w:val="TextBody"/>
        <w:spacing w:lineRule="auto" w:line="240" w:before="0" w:after="240"/>
        <w:rPr/>
      </w:pPr>
      <w:r>
        <w:rPr>
          <w:rFonts w:ascii="Times New Roman;sans-serif" w:hAnsi="Times New Roman;sans-serif"/>
          <w:b/>
          <w:color w:val="000000"/>
          <w:sz w:val="22"/>
        </w:rPr>
        <w:t>Form of Settlement.</w:t>
      </w:r>
      <w:r>
        <w:rPr>
          <w:color w:val="000000"/>
        </w:rPr>
        <w:t xml:space="preserve"> </w:t>
      </w:r>
      <w:r>
        <w:rPr>
          <w:rFonts w:ascii="Times New Roman;sans-serif" w:hAnsi="Times New Roman;sans-serif"/>
          <w:b w:val="false"/>
          <w:color w:val="000000"/>
          <w:sz w:val="22"/>
        </w:rPr>
        <w:t>Options granted to employees resident in Canada shall be paid in shares of Common Stock only.</w:t>
      </w:r>
    </w:p>
    <w:p>
      <w:pPr>
        <w:pStyle w:val="TextBody"/>
        <w:spacing w:lineRule="auto" w:line="240" w:before="0" w:after="240"/>
        <w:rPr/>
      </w:pPr>
      <w:r>
        <w:rPr>
          <w:rFonts w:ascii="Times New Roman;sans-serif" w:hAnsi="Times New Roman;sans-serif"/>
          <w:b/>
          <w:color w:val="000000"/>
          <w:sz w:val="22"/>
        </w:rPr>
        <w:t>Termination of Employment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following provision supplements paragraphs 2 and 3(d)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Except as expressly required by applicable legislation, the Optionee’s employment with the Mondelēz Group shall be deemed to be terminated, vesting will terminate and the period remaining to exercise any Options will be measured effective as of the date that is the earliest of: (1) the date the Optionee’s employment with the Mondelēz Group is terminated, or (2) the date the Optionee receives notice of termination of employment from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Optionee’s employment or service agreement, if any. The Committee shall have the exclusive discretion to determine when the Optionee is no longer actively employed or providing services and the termination date for purposes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applicable employment standards legislation explicitly requires continued entitlement to vesting during a statutory notice period, the Optionee’s right to vest in the Option under the Plan, if any, will terminate effective as of the last day of the Optionee’s minimum statutory notice period. The Optionee will not earn or be entitled to pro-rated vesting for that portion of time before the date on which the Optionee’s right to vest terminates or if the vesting date falls after the end of the Optionee’s statutory notice period, nor will the Optionee be entitled to any compensation for lost vesting.</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The following provisions apply for Optionees resident in Quebec:</w:t>
      </w:r>
    </w:p>
    <w:p>
      <w:pPr>
        <w:pStyle w:val="TextBody"/>
        <w:spacing w:lineRule="auto" w:line="240" w:before="0" w:after="240"/>
        <w:rPr/>
      </w:pPr>
      <w:r>
        <w:rPr>
          <w:rFonts w:ascii="Times New Roman;sans-serif" w:hAnsi="Times New Roman;sans-serif"/>
          <w:b/>
          <w:color w:val="000000"/>
          <w:sz w:val="22"/>
        </w:rPr>
        <w:t>Data Privacy</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following provision supplements paragraph 13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The Optionee hereby authorizes the Company and the Company’s representatives to discuss with and obtain all relevant information from all personnel, professional or not, involved in the administration and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01320"/>
                <wp:effectExtent l="0" t="0" r="0" b="0"/>
                <wp:wrapNone/>
                <wp:docPr id="80" name="Frame78"/>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18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18</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operation of the Plan. The Optionee further authorizes the Mondelēz Group and the administrator of the Plan to disclose and discuss the Plan with their advisors. The Optionee acknowledges and agrees that the Optionee’s personal information, including sensitive personal information, may be transferred or disclosed outside of the Province of Quebec, including to the United States. The Optionee further authorizes the Mondelēz Group to record such information and to keep such information in his or her employee file. The Optionee also acknowledges and authorizes the Company and any subsidiary or affiliate or other parties involved in the administration of the Plan to use technology for profiling purposes and to make automated decisions that may have an impact on the Optionee or the administration of the Plan.</w:t>
      </w:r>
    </w:p>
    <w:p>
      <w:pPr>
        <w:pStyle w:val="TextBody"/>
        <w:spacing w:lineRule="auto" w:line="240" w:before="0" w:after="240"/>
        <w:rPr/>
      </w:pPr>
      <w:r>
        <w:rPr>
          <w:rFonts w:ascii="Times New Roman;sans-serif" w:hAnsi="Times New Roman;sans-serif"/>
          <w:b/>
          <w:color w:val="000000"/>
          <w:sz w:val="22"/>
        </w:rPr>
        <w:t>Language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 French translation of the Plan and the Agreement can be made available to the Optionee as soon as reasonably practicable upon the Optionee’s request. The Optionee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Une traduction française du Plan et du présent Contrat pourra êtremise à la disposition de Optionee dès que raisonnablement possible à la demande de l' Optionee. Le Optionee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jc w:val="both"/>
        <w:rPr/>
      </w:pPr>
      <w:r>
        <w:rPr>
          <w:rFonts w:ascii="Times New Roman;sans-serif" w:hAnsi="Times New Roman;sans-serif"/>
          <w:b/>
          <w:color w:val="000000"/>
          <w:sz w:val="22"/>
        </w:rPr>
        <w:t xml:space="preserve">Non-Qualified Securities. </w:t>
      </w:r>
      <w:r>
        <w:rPr>
          <w:rFonts w:ascii="Times New Roman;sans-serif" w:hAnsi="Times New Roman;sans-serif"/>
          <w:b w:val="false"/>
          <w:color w:val="000000"/>
          <w:sz w:val="22"/>
        </w:rPr>
        <w:t xml:space="preserve">All or a portion of the shares of Common Stock subject to the Option may be "non-qualified securities" within the meaning of the </w:t>
      </w:r>
      <w:r>
        <w:rPr>
          <w:rFonts w:ascii="Times New Roman;sans-serif" w:hAnsi="Times New Roman;sans-serif"/>
          <w:b w:val="false"/>
          <w:i/>
          <w:color w:val="000000"/>
          <w:sz w:val="22"/>
        </w:rPr>
        <w:t>Income Tax Act</w:t>
      </w:r>
      <w:r>
        <w:rPr>
          <w:color w:val="000000"/>
        </w:rPr>
        <w:t xml:space="preserve"> </w:t>
      </w:r>
      <w:r>
        <w:rPr>
          <w:rFonts w:ascii="Times New Roman;sans-serif" w:hAnsi="Times New Roman;sans-serif"/>
          <w:b w:val="false"/>
          <w:color w:val="000000"/>
          <w:sz w:val="22"/>
        </w:rPr>
        <w:t xml:space="preserve">(Canada). The Mondelēz Group shall provide the Optionee with additional information and/or appropriate notification regarding the characterization of the Option for Canadian income tax purposes as may be required by the </w:t>
      </w:r>
      <w:r>
        <w:rPr>
          <w:rFonts w:ascii="Times New Roman;sans-serif" w:hAnsi="Times New Roman;sans-serif"/>
          <w:b w:val="false"/>
          <w:i/>
          <w:color w:val="000000"/>
          <w:sz w:val="22"/>
        </w:rPr>
        <w:t>Income Tax Act</w:t>
      </w:r>
      <w:r>
        <w:rPr>
          <w:color w:val="000000"/>
        </w:rPr>
        <w:t xml:space="preserve"> </w:t>
      </w:r>
      <w:r>
        <w:rPr>
          <w:rFonts w:ascii="Times New Roman;sans-serif" w:hAnsi="Times New Roman;sans-serif"/>
          <w:b w:val="false"/>
          <w:color w:val="000000"/>
          <w:sz w:val="22"/>
        </w:rPr>
        <w:t>(Canada) and the regulations thereunder.</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Optionee is permitted to sell shares of Common Stock acquired under the Plan through the designated broker appointed under the Plan, if any, provided that the sale of such shares takes place outside Canada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the Nasdaq Global Select Market).</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Optionee is required to report any specified foreign property (including shares of Common Stock) annually on Form T1135 (Foreign Income Verification Statement) if the total cost of the Optionee’s specified foreign property exceeds C$100,000 at any time during the year. The form must be filed by April 30th of the following year. Specified foreign property includes shares of Common Stock acquired under the Plan and may include Options. The Options must be reported‒generally at a nil cost‒if the $100,000 cost threshold is exceeded because of other specified foreign property the Optionee holds. If shares of Common Stock are acquired, their cost generally is the adjusted cost base (“</w:t>
      </w:r>
      <w:r>
        <w:rPr>
          <w:rFonts w:ascii="Times New Roman;sans-serif" w:hAnsi="Times New Roman;sans-serif"/>
          <w:b w:val="false"/>
          <w:color w:val="000000"/>
          <w:sz w:val="22"/>
          <w:u w:val="single"/>
        </w:rPr>
        <w:t>ACB</w:t>
      </w:r>
      <w:r>
        <w:rPr>
          <w:color w:val="000000"/>
        </w:rPr>
        <w:t>”</w:t>
      </w:r>
      <w:r>
        <w:rPr>
          <w:rFonts w:ascii="Times New Roman;sans-serif" w:hAnsi="Times New Roman;sans-serif"/>
          <w:b w:val="false"/>
          <w:color w:val="000000"/>
          <w:sz w:val="22"/>
        </w:rPr>
        <w:t>) of the shares of Common Stock. The ACB would normally equal the fair market value of the shares of Common Stock at exercise for Options, but if the Optionee owns other shares of Company Common Stock, this ACB may have to be averaged with the ACB of the other shares of Common Stock owned by the Optionee. It is the Optionee’s responsibility to comply with applicable reporting obligations.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CHINA</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The following provisions apply to Optionees who are exclusively citizens of the People’s Republic of China and who reside in mainland China, and Optionees who are otherwise subject to exchange control restrictions applicable to employee stock plans in China, as determined by the Company in its sole discretion.</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01320"/>
                <wp:effectExtent l="0" t="0" r="0" b="0"/>
                <wp:wrapNone/>
                <wp:docPr id="81" name="Frame79"/>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19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19</w:t>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xml:space="preserve">. Notwithstanding anything to the contrary in the Agreement, due to legal restrictions in China,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the event that the Optionee is not required to sell shares of Common Stock immediately upon exercise, any shares of Common Stock issued to the Optionee must be maintained in an account with E*TRADE Financial Corporate Services Inc. (“E*TRADE”) or such other broker as may be designated by the Company until the shares of Common Stock are sold through that broker. If the Company changes its designated broker, the Optionee acknowledges and agrees that the Company may transfer any shares of Common Stock issued under the Plan to the new designated broker if necessary for legal or administrative reasons. The Optionee agrees to sign any documentation necessary to facilitate the transfer. In addition, the Optionee acknowledges and agrees that he or she must sell any shares of Common Stock issued upon exercise as soon as practicable following the termination of the Optionee’s employment or other service relationship with the Mondelēz Group and in no event later than six (6) months following the termination of the Optionee’s employment or other service relationship with the Mondelēz Group, or within any other such time frame as the Company determines to be necessary or advisable to comply with local requirements.</w:t>
      </w:r>
    </w:p>
    <w:p>
      <w:pPr>
        <w:pStyle w:val="TextBody"/>
        <w:spacing w:lineRule="auto" w:line="240" w:before="0" w:after="240"/>
        <w:rPr/>
      </w:pPr>
      <w:r>
        <w:rPr>
          <w:rFonts w:ascii="Times New Roman;sans-serif" w:hAnsi="Times New Roman;sans-serif"/>
          <w:b/>
          <w:color w:val="000000"/>
          <w:sz w:val="22"/>
        </w:rPr>
        <w:t>Expiration Date.</w:t>
      </w:r>
      <w:r>
        <w:rPr>
          <w:color w:val="000000"/>
        </w:rPr>
        <w:t xml:space="preserve"> </w:t>
      </w:r>
      <w:r>
        <w:rPr>
          <w:rFonts w:ascii="Times New Roman;sans-serif" w:hAnsi="Times New Roman;sans-serif"/>
          <w:b w:val="false"/>
          <w:color w:val="000000"/>
          <w:sz w:val="22"/>
        </w:rPr>
        <w:t xml:space="preserve">Notwithstanding anything to the contrary in the Agreement, in the event of the Optionee’s termination of employment with the Mondelēz Group, the Optionee shall be permitted to exercise the Option for the </w:t>
      </w:r>
      <w:r>
        <w:rPr>
          <w:rFonts w:ascii="Times New Roman;sans-serif" w:hAnsi="Times New Roman;sans-serif"/>
          <w:b w:val="false"/>
          <w:color w:val="000000"/>
          <w:sz w:val="22"/>
          <w:u w:val="single"/>
        </w:rPr>
        <w:t>shorter</w:t>
      </w:r>
      <w:r>
        <w:rPr>
          <w:color w:val="000000"/>
        </w:rPr>
        <w:t xml:space="preserve"> </w:t>
      </w:r>
      <w:r>
        <w:rPr>
          <w:rFonts w:ascii="Times New Roman;sans-serif" w:hAnsi="Times New Roman;sans-serif"/>
          <w:b w:val="false"/>
          <w:color w:val="000000"/>
          <w:sz w:val="22"/>
        </w:rPr>
        <w:t>of the post-termination exercise period (if any) set forth in the Agreement and six months (or such other period as may be required by the State Administration of Foreign Exchange (“SAFE”) after the date of termination of the Optionee’s active employment. At the end of the post-termination exercise period specified by SAFE, any unexercised portion of the Option shall immediately expire.</w:t>
      </w:r>
    </w:p>
    <w:p>
      <w:pPr>
        <w:pStyle w:val="TextBody"/>
        <w:spacing w:lineRule="auto" w:line="240" w:before="0" w:after="240"/>
        <w:rPr/>
      </w:pPr>
      <w:r>
        <w:rPr>
          <w:rFonts w:ascii="Times New Roman;sans-serif" w:hAnsi="Times New Roman;sans-serif"/>
          <w:b/>
          <w:color w:val="000000"/>
          <w:sz w:val="22"/>
        </w:rPr>
        <w:t>Exchange Control Restrictions.</w:t>
      </w:r>
      <w:r>
        <w:rPr>
          <w:color w:val="000000"/>
        </w:rPr>
        <w:t xml:space="preserve"> </w:t>
      </w:r>
      <w:r>
        <w:rPr>
          <w:rFonts w:ascii="Times New Roman;sans-serif" w:hAnsi="Times New Roman;sans-serif"/>
          <w:b w:val="false"/>
          <w:color w:val="000000"/>
          <w:sz w:val="22"/>
        </w:rPr>
        <w:t>The Optionee understands and agrees that, due to exchange control laws in China, he or she will be required to immediately repatriate to China any cash proceeds from dividends and/or the cashless exercise of the Option. The Optionee further understands that, under local law, such repatriation of the cash proceeds will be effected through a special exchange control account established by a member of the Mondelēz Group and the Optionee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Optionee acknowledges that he or she will be required to set up a U.S. dollar bank account in China so that the proceeds may be delivered to this account. If the proceeds are converted to local currency, the Optionee acknowledges that the Mondelēz Group is under no obligation to secure any currency conversion rate and may face delays in converting the proceeds to local currency due to exchange control restrictions in China. The Optionee agrees to bear any currency fluctuation risk between the date the Option is exercised or dividends are paid and the time that (i) the Tax-Related Items are converted to local currency and remitted to the tax authorities and (ii) net proceeds are converted to local currency and distributed to the Optionee. The Optionee acknowledges that the Mondelēz Group will not be held liable for any delay in delivering the proceeds to the Optionee. The Optionee agrees to sign any agreements, forms and/or consents that may be requested by the Company or the Company’s designated broker to effectuate any of the remittances, transfers, conversions or other processes affecting the proceeds.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The Optionee further agrees to comply with any other requirements that may be imposed by the Company in the future in order to facilitate compliance with exchange control requirements in China. </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Chinese residents may be required to report to the SAFE all details of their foreign financial assets and liabilities, as well as details of any economic transactions conducted with non-Chinese residents, including the Company.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01320"/>
                <wp:effectExtent l="0" t="0" r="0" b="0"/>
                <wp:wrapNone/>
                <wp:docPr id="82" name="Frame80"/>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20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20</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COLOMBIA</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acknowledgments contained in paragraph 12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that pursuant to Article 128 of the Colombian Labor Code, the Plan and related benefits do not constitute a component of the Optionee’s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shares of Common Stock are not and will not be registered in the Colombian registry of publicly traded securities (</w:t>
      </w:r>
      <w:r>
        <w:rPr>
          <w:rFonts w:ascii="Times New Roman;sans-serif" w:hAnsi="Times New Roman;sans-serif"/>
          <w:b w:val="false"/>
          <w:i/>
          <w:color w:val="000000"/>
          <w:sz w:val="22"/>
        </w:rPr>
        <w:t>Registro Nacional de Valores y Emisores</w:t>
      </w:r>
      <w:r>
        <w:rPr>
          <w:rFonts w:ascii="Times New Roman;sans-serif" w:hAnsi="Times New Roman;sans-serif"/>
          <w:b w:val="false"/>
          <w:color w:val="000000"/>
          <w:sz w:val="22"/>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Colombian residents must register shares of Common Stock acquired under the Plan, regardless of value, with the Central Bank of Colombia (</w:t>
      </w:r>
      <w:r>
        <w:rPr>
          <w:rFonts w:ascii="Times New Roman;sans-serif" w:hAnsi="Times New Roman;sans-serif"/>
          <w:b w:val="false"/>
          <w:i/>
          <w:color w:val="000000"/>
          <w:sz w:val="22"/>
        </w:rPr>
        <w:t>Banco de la República</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as foreign investment held abroad. In addition, all payments relating to foreign investment originating in Colombia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payment of the Grant Price by cash exercise) and the liquidation of such investments must be transferred through the Colombian foreign exchange market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local banks), which includes the obligation of correctly completing and filing the appropriate foreign exchange form (</w:t>
      </w:r>
      <w:r>
        <w:rPr>
          <w:rFonts w:ascii="Times New Roman;sans-serif" w:hAnsi="Times New Roman;sans-serif"/>
          <w:b w:val="false"/>
          <w:i/>
          <w:color w:val="000000"/>
          <w:sz w:val="22"/>
        </w:rPr>
        <w:t>declaración de cambio</w:t>
      </w:r>
      <w:r>
        <w:rPr>
          <w:rFonts w:ascii="Times New Roman;sans-serif" w:hAnsi="Times New Roman;sans-serif"/>
          <w:b w:val="false"/>
          <w:color w:val="000000"/>
          <w:sz w:val="22"/>
        </w:rPr>
        <w:t xml:space="preserve">). If the Optionee exercises the Option by way of a cashless method of exercise, filing the appropriate foreign exchange form will not be required because no funds will be remitted out of Colombia. However, any sales proceeds related to shares of Common Stock acquired pursuant to cashless exercise must still be transferred through the Colombian foreign exchange market.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Optionee is responsible for ensuring compliance with all exchange control laws in Colombia and the Optionee should consult his or her legal advisor prior to the acquisition or sale of the shares of Common Stock under the Plan to ensure compliance with current regulations.</w:t>
      </w:r>
    </w:p>
    <w:p>
      <w:pPr>
        <w:pStyle w:val="TextBody"/>
        <w:spacing w:lineRule="auto" w:line="240" w:before="0" w:after="240"/>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The Optionee must file an annual informative return with the Colombian Tax Office detailing any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held abroad. If the individual value of any of these assets exceeds a certain threshold, the Optionee must describe each asset and indicate the jurisdiction in which it is located, its nature and its value.</w:t>
      </w:r>
    </w:p>
    <w:p>
      <w:pPr>
        <w:pStyle w:val="TextBody"/>
        <w:spacing w:lineRule="auto" w:line="240" w:before="0" w:after="240"/>
        <w:rPr/>
      </w:pPr>
      <w:r>
        <w:rPr>
          <w:rFonts w:ascii="Times New Roman;sans-serif" w:hAnsi="Times New Roman;sans-serif"/>
          <w:b/>
          <w:color w:val="000000"/>
          <w:sz w:val="22"/>
          <w:u w:val="single"/>
        </w:rPr>
        <w:t>COSTA RICA</w:t>
      </w:r>
      <w:r>
        <w:rPr>
          <w:color w:val="000000"/>
        </w:rPr>
        <w:t xml:space="preserve">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CZECH REPUBLIC</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spacing w:lineRule="auto" w:line="240" w:before="0" w:after="240"/>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 and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 xml:space="preserve">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01320"/>
                <wp:effectExtent l="0" t="0" r="0" b="0"/>
                <wp:wrapNone/>
                <wp:docPr id="83" name="Frame81"/>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21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21</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 </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Czech residents may be required to fulfill certain notification duties in relation to the Option and the opening and maintenance of a foreign account, including reporting foreign financial assets with a value of CZK 200,000,000 or more. The Optionee should consult their personal legal advisor to ensure compliance with the applicable requirements.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DENMARK</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Stock Option Act</w:t>
      </w:r>
      <w:r>
        <w:rPr>
          <w:rFonts w:ascii="Times New Roman;sans-serif" w:hAnsi="Times New Roman;sans-serif"/>
          <w:b w:val="false"/>
          <w:color w:val="000000"/>
          <w:sz w:val="22"/>
        </w:rPr>
        <w:t>. The Optionee acknowledges that he or she has received an Employer Statement in Danish, which sets forth the additional terms of the Option to the extent that the Danish Stock Option Act applies.</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Optionee is required to report any accounts holding shares of Common Stock or cash established outside Denmark to the Danish Tax Administration as part of his or her tax return under the section related to foreign affairs and income.</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ECUADOR</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In addition, Ecuadorian resident individuals are required to report on an annual basis, all monetary assets held in foreign financial entities in excess of US$100,000. The Optionee should consult his or her legal or tax advisor to ensure compliance with all applicable reporting obligations.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EGYPT</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If the Optionee transfers funds into or out of Egypt in connection with the Option, the Optionee is required to transfer the funds through a registered bank in Egypt. </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FINLAND</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There are no specific reporting requirements with respect to foreign assets/accounts. However, please note that the Optionee must check their pre-completed tax return to confirm that the ownership of shares of Common Stock and other securities (foreign or domestic) is correctly reported. If the Optionee finds any errors or omissions, the Optionee must make the necessary corrections electronically or by sending specific paper forms to the local tax authorities.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FRANCE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01320"/>
                <wp:effectExtent l="0" t="0" r="0" b="0"/>
                <wp:wrapNone/>
                <wp:docPr id="84" name="Frame82"/>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22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22</w:t>
                      </w:r>
                    </w:p>
                    <w:p>
                      <w:pPr>
                        <w:pStyle w:val="TextBody"/>
                        <w:spacing w:before="0" w:after="0"/>
                        <w:rPr/>
                      </w:pPr>
                      <w:r>
                        <w:rPr/>
                      </w:r>
                    </w:p>
                  </w:txbxContent>
                </v:textbox>
              </v:rect>
            </w:pict>
          </mc:Fallback>
        </mc:AlternateContent>
      </w:r>
    </w:p>
    <w:p>
      <w:pPr>
        <w:pStyle w:val="TextBody"/>
        <w:spacing w:lineRule="auto" w:line="304"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Option Not French-Qualified.</w:t>
      </w:r>
      <w:r>
        <w:rPr>
          <w:color w:val="000000"/>
        </w:rPr>
        <w:t xml:space="preserve"> </w:t>
      </w:r>
      <w:r>
        <w:rPr>
          <w:rFonts w:ascii="Times New Roman;sans-serif" w:hAnsi="Times New Roman;sans-serif"/>
          <w:b w:val="false"/>
          <w:color w:val="000000"/>
          <w:sz w:val="22"/>
        </w:rPr>
        <w:t>The Option granted under this Agreement are not intended to qualify for specific tax and social security treatment pursuant to Sections L. 225-177 to L. 225-186-1 of the French Commercial Code, as amended.</w:t>
      </w:r>
    </w:p>
    <w:p>
      <w:pPr>
        <w:pStyle w:val="TextBody"/>
        <w:spacing w:lineRule="auto" w:line="240" w:before="0" w:after="240"/>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accepting the Grant, the Optionee confirms having read and understood the Plan and Agreement, including all terms and conditions included therein, which were provided in the English language. The Optionee accepts the terms of those documents accordingly.</w:t>
      </w:r>
    </w:p>
    <w:p>
      <w:pPr>
        <w:pStyle w:val="TextBody"/>
        <w:spacing w:lineRule="auto" w:line="240" w:before="0" w:after="240"/>
        <w:rPr/>
      </w:pPr>
      <w:r>
        <w:rPr>
          <w:rFonts w:ascii="Times New Roman;sans-serif" w:hAnsi="Times New Roman;sans-serif"/>
          <w:b w:val="false"/>
          <w:i/>
          <w:color w:val="000000"/>
          <w:sz w:val="22"/>
        </w:rPr>
        <w:t>En acceptant cette attribution, le Optionee confirme avoir lu et compris le Plan et le Contrat y relatifs, incluant tous leurs termes et conditions, qui ont été transmis en langue anglaise. Le Optionee accepte les dispositions de ces documents en connaissance de cause</w:t>
      </w:r>
      <w:r>
        <w:rPr>
          <w:rFonts w:ascii="Times New Roman;sans-serif" w:hAnsi="Times New Roman;sans-serif"/>
          <w:b w:val="false"/>
          <w:color w:val="000000"/>
          <w:sz w:val="22"/>
        </w:rPr>
        <w:t>.</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Optionee holds shares of Common Stock outside France or maintains a foreign 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spacing w:lineRule="auto" w:line="240" w:before="0" w:after="240"/>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 and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Cross-border payments made or received in excess of €12,500 may need to be reported monthly by accessing the electronic General Statistics Reporting Portal (“</w:t>
      </w:r>
      <w:r>
        <w:rPr>
          <w:rFonts w:ascii="Times New Roman;sans-serif" w:hAnsi="Times New Roman;sans-serif"/>
          <w:b w:val="false"/>
          <w:i/>
          <w:color w:val="000000"/>
          <w:sz w:val="22"/>
        </w:rPr>
        <w:t>Allgemeine Meldeportal Statistik</w:t>
      </w:r>
      <w:r>
        <w:rPr>
          <w:color w:val="000000"/>
        </w:rPr>
        <w:t>”</w:t>
      </w:r>
      <w:r>
        <w:rPr>
          <w:rFonts w:ascii="Times New Roman;sans-serif" w:hAnsi="Times New Roman;sans-serif"/>
          <w:b w:val="false"/>
          <w:color w:val="000000"/>
          <w:sz w:val="22"/>
        </w:rPr>
        <w:t>) via the Bundesbank’s website (</w:t>
      </w:r>
      <w:r>
        <w:rPr>
          <w:rFonts w:ascii="Times New Roman;sans-serif" w:hAnsi="Times New Roman;sans-serif"/>
          <w:b w:val="false"/>
          <w:color w:val="000000"/>
          <w:sz w:val="22"/>
          <w:u w:val="single"/>
        </w:rPr>
        <w:t>www.bundesbank.de</w:t>
      </w:r>
      <w:r>
        <w:rPr>
          <w:rFonts w:ascii="Times New Roman;sans-serif" w:hAnsi="Times New Roman;sans-serif"/>
          <w:b w:val="false"/>
          <w:color w:val="000000"/>
          <w:sz w:val="22"/>
        </w:rPr>
        <w:t xml:space="preserve">), or by such other method and within such other timing as permitted or required by Bundesbank. In addition, Participant may be required to report the acquisition of securities if the value of the securities acquired exceeds €12,500 to the Bundesbank via email or telephone. </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German residents holding Common Stock must notify their local tax office if the acquisition of Common Stock under the Plan leads to a so-called qualified participation at any point during the calendar year. A qualified participation is attained only in the unlikely event (i) the Optionee owns at least 1% of the Company and the value of the Common Stock acquired exceeds €150,000, or (ii) the Optionee holds Common Stock exceeding 10% of the total capital of the Company.</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GHANA</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01320"/>
                <wp:effectExtent l="0" t="0" r="0" b="0"/>
                <wp:wrapNone/>
                <wp:docPr id="85" name="Frame83"/>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23</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GREECE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If the Optionee exercises the Options through a cash exercise, withdraws funds from a bank in Greece and remits those funds out of Greece (in an amount exceeding a specified threshold), the Optionee may be required to submit a written application to the bank. </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HONDURAS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HONG KONG</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i/>
          <w:color w:val="000000"/>
          <w:sz w:val="22"/>
        </w:rPr>
        <w:t>Warning: The contents of this document have not been reviewed by any regulatory authority in Hong Kong. The Optionee is advised to exercise caution in relation to the offer. If the Optionee is in any doubt about any of the contents of the Agreement, including this Appendix, or the Plan, the Optionee should obtain independent professional advice. The Option and any shares of Common Stock issued pursuant to the Grant do not constitute a public offering of securities under Hong Kong law and are available only to employees of the</w:t>
      </w:r>
      <w:r>
        <w:rPr>
          <w:color w:val="000000"/>
        </w:rPr>
        <w:t xml:space="preserve"> </w:t>
      </w:r>
      <w:r>
        <w:rPr>
          <w:rFonts w:ascii="Times New Roman;sans-serif" w:hAnsi="Times New Roman;sans-serif"/>
          <w:b w:val="false"/>
          <w:i/>
          <w:color w:val="000000"/>
          <w:sz w:val="22"/>
        </w:rPr>
        <w:t xml:space="preserve">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related documentation are intended only for the personal use of each eligible employee of the Mondelēz Group and may not be distributed to any other person. </w:t>
      </w:r>
    </w:p>
    <w:p>
      <w:pPr>
        <w:pStyle w:val="TextBody"/>
        <w:spacing w:lineRule="auto" w:line="240" w:before="0" w:after="240"/>
        <w:rPr/>
      </w:pPr>
      <w:r>
        <w:rPr>
          <w:rFonts w:ascii="Times New Roman;sans-serif" w:hAnsi="Times New Roman;sans-serif"/>
          <w:b/>
          <w:color w:val="000000"/>
          <w:sz w:val="22"/>
        </w:rPr>
        <w:t>Sale of Shares.</w:t>
      </w:r>
      <w:r>
        <w:rPr>
          <w:color w:val="000000"/>
        </w:rPr>
        <w:t xml:space="preserve"> </w:t>
      </w:r>
      <w:r>
        <w:rPr>
          <w:rFonts w:ascii="Times New Roman;sans-serif" w:hAnsi="Times New Roman;sans-serif"/>
          <w:b w:val="false"/>
          <w:color w:val="000000"/>
          <w:sz w:val="22"/>
        </w:rPr>
        <w:t>Shares of Common Stock received under the Plan are accepted as a personal investment. In the event the Option vests within six months of the Grant Date, the Optionee agrees that he or she will not exercise the Option and sell the shares of Common Stock acquired prior to the six-month anniversary of the Grant Date.</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HUNGARY</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INDIA</w:t>
      </w:r>
    </w:p>
    <w:p>
      <w:pPr>
        <w:pStyle w:val="TextBody"/>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jc w:val="both"/>
        <w:rPr/>
      </w:pPr>
      <w:r>
        <w:rPr>
          <w:rFonts w:ascii="Times New Roman;sans-serif" w:hAnsi="Times New Roman;sans-serif"/>
          <w:b/>
          <w:color w:val="000000"/>
          <w:sz w:val="22"/>
        </w:rPr>
        <w:t>Cashless Sell-All Exercise Restriction.</w:t>
      </w:r>
      <w:r>
        <w:rPr>
          <w:color w:val="000000"/>
        </w:rPr>
        <w:t xml:space="preserve"> </w:t>
      </w:r>
      <w:r>
        <w:rPr>
          <w:rFonts w:ascii="Times New Roman;sans-serif" w:hAnsi="Times New Roman;sans-serif"/>
          <w:b w:val="false"/>
          <w:color w:val="000000"/>
          <w:sz w:val="22"/>
        </w:rPr>
        <w:t>Notwithstanding anything to the contrary in the Agreement or the Plan, due to regulatory issues in India, the Optionee will be required to pay the Grant Price by a cashless exercise, such that the Optionee will deliver a properly executed notice together with irrevocable instructions to a broker in a form acceptable to the Company providing for the assignment to the Company of the proceeds of a sale with respect to all of the Option Shares acquired upon the exercise of the Option pursuant to a program or procedure approved by the Company. The cash proceeds of sale, less the Grant Price, any Tax-Related Items and broker’s fees or commissions, will be remitted to the Optionee. In the event of changes in regulatory requirements, the Company reserves the right to eliminate the cashless sell-all method of exercise requirement and, in its sole discretion, to permit cash exercise or cashless sell-to-cover exercises.</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jc w:val="both"/>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Indian residents are required to repatriate the cash proceeds received upon the sale of shares of Common Stock and convert such proceeds into local currency within specified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01320"/>
                <wp:effectExtent l="0" t="0" r="0" b="0"/>
                <wp:wrapNone/>
                <wp:docPr id="86" name="Frame84"/>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24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24</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timeframes as required under applicable regulations. Indian residents also are required to retain the foreign inward remittance certificate as evidence of repatriation.</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As exchange control regulations can change frequently and without notice, the Optionee should consult his or her personal tax or legal advisor before selling shares of Common Stock to ensure compliance with current regulations.</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is required to declare foreign bank accounts and any foreign financial assets (including vested Options and shares of Common Stock held outside India) in his or her annual tax return. It is the Optionee’s responsibility to comply with this reporting obligation and the Optionee should consult with his or her personal tax advisor in this regard.</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INDONESIA</w:t>
      </w:r>
    </w:p>
    <w:p>
      <w:pPr>
        <w:pStyle w:val="TextBody"/>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0"/>
        <w:rPr/>
      </w:pPr>
      <w:r>
        <w:rPr>
          <w:rFonts w:ascii="Times New Roman;sans-serif" w:hAnsi="Times New Roman;sans-serif"/>
          <w:b/>
          <w:color w:val="000000"/>
          <w:sz w:val="22"/>
        </w:rPr>
        <w:t>Language Consent and Notification.</w:t>
      </w:r>
      <w:r>
        <w:rPr>
          <w:color w:val="000000"/>
        </w:rPr>
        <w:t xml:space="preserve"> </w:t>
      </w:r>
      <w:r>
        <w:rPr>
          <w:rFonts w:ascii="Times New Roman;sans-serif" w:hAnsi="Times New Roman;sans-serif"/>
          <w:b w:val="false"/>
          <w:color w:val="000000"/>
          <w:sz w:val="22"/>
        </w:rPr>
        <w:t xml:space="preserve">A translation of the documents relating to this grant into Bahasa Indonesia can be provided to the Optionee upon request to Daning Novianti, My Rewards Advisor ID, at Daning.Novianti@mdlz.com. By accepting the grant, the Optionee (i) confirms having read and understood the documents relating to this grant (i.e.,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 </w:t>
      </w:r>
    </w:p>
    <w:p>
      <w:pPr>
        <w:pStyle w:val="TextBody"/>
        <w:spacing w:before="0" w:after="0"/>
        <w:jc w:val="both"/>
        <w:rPr/>
      </w:pPr>
      <w:r>
        <w:rPr/>
      </w:r>
    </w:p>
    <w:p>
      <w:pPr>
        <w:pStyle w:val="TextBody"/>
        <w:spacing w:lineRule="auto" w:line="240" w:before="0" w:after="240"/>
        <w:rPr/>
      </w:pPr>
      <w:r>
        <w:rPr>
          <w:rFonts w:ascii="Times New Roman;sans-serif" w:hAnsi="Times New Roman;sans-serif"/>
          <w:b/>
          <w:color w:val="000000"/>
          <w:sz w:val="22"/>
          <w:highlight w:val="white"/>
        </w:rPr>
        <w:t>Language Consent and Notification.</w:t>
      </w:r>
      <w:r>
        <w:rPr>
          <w:color w:val="000000"/>
          <w:highlight w:val="white"/>
        </w:rPr>
        <w:t xml:space="preserve"> </w:t>
      </w:r>
      <w:r>
        <w:rPr>
          <w:rFonts w:ascii="Times New Roman;sans-serif" w:hAnsi="Times New Roman;sans-serif"/>
          <w:b w:val="false"/>
          <w:color w:val="000000"/>
          <w:sz w:val="22"/>
          <w:highlight w:val="white"/>
        </w:rPr>
        <w:t xml:space="preserve">Terjemahan dari dokumen-dokumen terkait dengan pemberian ini ke Bahasa Indonesia dapat disediakan untuk anda berdasarkan permintaan kepada Daning Novianti, </w:t>
      </w:r>
      <w:r>
        <w:rPr>
          <w:rFonts w:ascii="Palatino;serif" w:hAnsi="Palatino;serif"/>
          <w:b w:val="false"/>
          <w:color w:val="000000"/>
          <w:sz w:val="22"/>
          <w:highlight w:val="white"/>
        </w:rPr>
        <w:t>My Rewards Advisor ID</w:t>
      </w:r>
      <w:r>
        <w:rPr>
          <w:rFonts w:ascii="Times New Roman;sans-serif" w:hAnsi="Times New Roman;sans-serif"/>
          <w:b w:val="false"/>
          <w:color w:val="000000"/>
          <w:sz w:val="22"/>
          <w:highlight w:val="white"/>
        </w:rPr>
        <w:t>,</w:t>
      </w:r>
      <w:r>
        <w:rPr>
          <w:color w:val="000000"/>
          <w:highlight w:val="white"/>
        </w:rPr>
        <w:t xml:space="preserve"> </w:t>
      </w:r>
      <w:r>
        <w:rPr>
          <w:rFonts w:ascii="Times New Roman;sans-serif" w:hAnsi="Times New Roman;sans-serif"/>
          <w:b w:val="false"/>
          <w:color w:val="000000"/>
          <w:sz w:val="22"/>
          <w:highlight w:val="white"/>
        </w:rPr>
        <w:t xml:space="preserve">di </w:t>
      </w:r>
      <w:r>
        <w:rPr>
          <w:rFonts w:ascii="Times New Roman;sans-serif" w:hAnsi="Times New Roman;sans-serif"/>
          <w:b w:val="false"/>
          <w:color w:val="000000"/>
          <w:sz w:val="22"/>
          <w:highlight w:val="white"/>
          <w:u w:val="single"/>
        </w:rPr>
        <w:t>Daning.Novianti@mdlz.com</w:t>
      </w:r>
      <w:r>
        <w:rPr>
          <w:rFonts w:ascii="Times New Roman;sans-serif" w:hAnsi="Times New Roman;sans-serif"/>
          <w:b w:val="false"/>
          <w:color w:val="000000"/>
          <w:sz w:val="22"/>
          <w:highlight w:val="white"/>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Indonesian residents must provide the Indonesian central bank, Bank of Indonesia, with information on 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if the Optionee remits funds into or out of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Optionee must complete a “Transfer Report Form.” The Transfer Report Form will be provided to Optionee by the bank through which the transaction is made. </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Indonesian residents have the obligation to report worldwide assets (including foreign accounts and shares of Common Stock acquired under the Plan) in their annual individual income tax return.</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IRELAND</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01320"/>
                <wp:effectExtent l="0" t="0" r="0" b="0"/>
                <wp:wrapNone/>
                <wp:docPr id="87" name="Frame85"/>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25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25</w:t>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 and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Director Notification Requirement.</w:t>
      </w:r>
      <w:r>
        <w:rPr>
          <w:color w:val="000000"/>
        </w:rPr>
        <w:t xml:space="preserve"> </w:t>
      </w:r>
      <w:r>
        <w:rPr>
          <w:rFonts w:ascii="Times New Roman;sans-serif" w:hAnsi="Times New Roman;sans-serif"/>
          <w:b w:val="false"/>
          <w:color w:val="000000"/>
          <w:sz w:val="22"/>
        </w:rPr>
        <w:t>If the Optionee is a director, shadow director or secretary of an Irish subsidiary or affiliate, the Optionee must notify the Irish subsidiary or affiliate in writing if (1) the Optionee receives or disposes of an interest exceeding 1% of the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Option, shares of Common Stock, etc.), (2) the Optionee becomes aware of an event giving rise to a notification requirement, or (3) the Optionee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ISRAEL</w:t>
      </w:r>
    </w:p>
    <w:p>
      <w:pPr>
        <w:pStyle w:val="TextBody"/>
        <w:spacing w:before="0" w:after="0"/>
        <w:rPr/>
      </w:pPr>
      <w:r>
        <w:rPr/>
      </w:r>
    </w:p>
    <w:p>
      <w:pPr>
        <w:pStyle w:val="TextBody"/>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0"/>
        <w:rPr/>
      </w:pPr>
      <w:r>
        <w:rPr>
          <w:rFonts w:ascii="Times New Roman;sans-serif" w:hAnsi="Times New Roman;sans-serif"/>
          <w:b/>
          <w:color w:val="000000"/>
          <w:sz w:val="22"/>
        </w:rPr>
        <w:t>Method of Exercise</w:t>
      </w:r>
      <w:r>
        <w:rPr>
          <w:rFonts w:ascii="Times New Roman;sans-serif" w:hAnsi="Times New Roman;sans-serif"/>
          <w:b w:val="false"/>
          <w:color w:val="000000"/>
          <w:sz w:val="22"/>
        </w:rPr>
        <w:t xml:space="preserve">. Notwithstanding anything to the contrary in the Agreement,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 </w:t>
      </w:r>
    </w:p>
    <w:p>
      <w:pPr>
        <w:pStyle w:val="TextBody"/>
        <w:spacing w:before="0" w:after="0"/>
        <w:rPr/>
      </w:pPr>
      <w:r>
        <w:rPr/>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offer of this option does not constitute a public offering under the Securities Law, 1968.</w:t>
      </w:r>
    </w:p>
    <w:p>
      <w:pPr>
        <w:pStyle w:val="TextBody"/>
        <w:spacing w:before="0" w:after="240"/>
        <w:rPr/>
      </w:pPr>
      <w:r>
        <w:rPr/>
      </w:r>
    </w:p>
    <w:p>
      <w:pPr>
        <w:pStyle w:val="TextBody"/>
        <w:spacing w:lineRule="auto" w:line="288"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2"/>
        </w:rPr>
        <w:t>TERMS AND CONDITIONS</w:t>
      </w:r>
      <w:r>
        <w:rPr>
          <w:color w:val="00000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2"/>
        </w:rPr>
        <w:t>Cashless Exercise Restriction.</w:t>
      </w:r>
      <w:r>
        <w:rPr>
          <w:color w:val="000000"/>
        </w:rPr>
        <w:t xml:space="preserve"> </w:t>
      </w:r>
      <w:r>
        <w:rPr>
          <w:rFonts w:ascii="Times New Roman;sans-serif" w:hAnsi="Times New Roman;sans-serif"/>
          <w:b w:val="false"/>
          <w:color w:val="000000"/>
          <w:sz w:val="22"/>
        </w:rPr>
        <w:t xml:space="preserve">Notwithstanding anything to the contrary in the Agreement, due to regulatory requirements in Italy,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 </w:t>
      </w:r>
    </w:p>
    <w:p>
      <w:pPr>
        <w:pStyle w:val="TextBody"/>
        <w:spacing w:before="0" w:after="0"/>
        <w:rPr/>
      </w:pPr>
      <w:r>
        <w:rPr/>
      </w:r>
    </w:p>
    <w:p>
      <w:pPr>
        <w:pStyle w:val="TextBody"/>
        <w:spacing w:lineRule="auto" w:line="288"/>
        <w:rPr/>
      </w:pPr>
      <w:r>
        <w:rPr>
          <w:rFonts w:ascii="Times New Roman;sans-serif" w:hAnsi="Times New Roman;sans-serif"/>
          <w:b/>
          <w:color w:val="000000"/>
          <w:sz w:val="22"/>
        </w:rPr>
        <w:t>Plan Document Acknowledgment.</w:t>
      </w:r>
      <w:r>
        <w:rPr>
          <w:color w:val="000000"/>
        </w:rPr>
        <w:t xml:space="preserve"> </w:t>
      </w:r>
      <w:r>
        <w:rPr>
          <w:rFonts w:ascii="Times New Roman;sans-serif" w:hAnsi="Times New Roman;sans-serif"/>
          <w:b w:val="false"/>
          <w:color w:val="000000"/>
          <w:sz w:val="22"/>
        </w:rPr>
        <w:t xml:space="preserve">In accepting the grant of the Option, the Optionee acknowledges that he or she has received a copy of the Plan and the Agreement and has reviewed the Plan and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01320"/>
                <wp:effectExtent l="0" t="0" r="0" b="0"/>
                <wp:wrapNone/>
                <wp:docPr id="88" name="Frame86"/>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26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26</w:t>
                      </w:r>
                    </w:p>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Agreement, including this Appendix A, in their entirety and fully understands and accepts all provisions of the Plan and the Agreement, including this Appendix A.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that he or she has read and specifically and expressly approves the following paragraphs of the Agreement: paragraph 1 on Vesting; paragraph 2 on Vesting Upon Termination of Employment; paragraph 3 on Exercisability Upon Termination of Employment from the Mondelēz Group; paragraph 4 on Exercise of Option and Withholding Taxes; paragraph 5 on Cash-Out of Option; paragraph 8 on Transfer Restrictions; paragraph 11 on Entire Agreement; Governing Law; paragraph 12 on Grant Confers No Rights to Continued Employment - Nature of the Grant; paragraph 15 on Miscellaneous Definitions; paragraph 16 on Language; paragraph 17 on Compliance with Law; paragraph 19 on Electronic Delivery and Acceptance; paragraph 22 on Imposition of Other Requirements; paragraph 23 on Insider Trading/Market Abuse Laws; paragraph 26 on Waiver; and the Data Privacy Notice in the European Union / European Economic Area section of this Appendix A.</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Italian residents who, during the fiscal year,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Options)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Options), are beneficial owners of the investment pursuant to Italian money laundering provisions.</w:t>
      </w:r>
    </w:p>
    <w:p>
      <w:pPr>
        <w:pStyle w:val="TextBody"/>
        <w:spacing w:lineRule="auto" w:line="240" w:before="0" w:after="240"/>
        <w:rPr/>
      </w:pPr>
      <w:r>
        <w:rPr>
          <w:rFonts w:ascii="Times New Roman;sans-serif" w:hAnsi="Times New Roman;sans-serif"/>
          <w:b/>
          <w:color w:val="000000"/>
          <w:sz w:val="22"/>
        </w:rPr>
        <w:t xml:space="preserve">Foreign Financial Assets Tax. </w:t>
      </w:r>
      <w:r>
        <w:rPr>
          <w:rFonts w:ascii="Times New Roman;sans-serif" w:hAnsi="Times New Roman;sans-serif"/>
          <w:b w:val="false"/>
          <w:color w:val="000000"/>
          <w:sz w:val="22"/>
        </w:rPr>
        <w:t>The fair market value of any shares of Common Stock held outside Italy</w:t>
      </w:r>
      <w:r>
        <w:rPr>
          <w:color w:val="000000"/>
        </w:rPr>
        <w:t xml:space="preserve"> </w:t>
      </w:r>
      <w:r>
        <w:rPr>
          <w:rFonts w:ascii="Times New Roman;sans-serif" w:hAnsi="Times New Roman;sans-serif"/>
          <w:b w:val="false"/>
          <w:color w:val="000000"/>
          <w:sz w:val="22"/>
        </w:rPr>
        <w:t>is subject to a foreign assets tax. The fair market value is considered to be the value of the shares of Common Stock on the Nasdaq Global Select Market on December 31 of each year or on the last day the Optionee held the shares (in such case, or when the shares of Common Stock are acquired during the course of the year, the tax is levied in proportion to the actual days of holding over the calendar year). The Optionee should consult with his or her personal tax advisor about the foreign financial assets tax.</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Optionee acquires shares of Common Stock valued at more than ¥100,000,000 in a single transaction, the Optionee must file a Securities Acquisition Report with the Ministry of Finance through the Bank of Japan within 20 days of the purchase of the shares of Common Stock.</w:t>
      </w:r>
    </w:p>
    <w:p>
      <w:pPr>
        <w:pStyle w:val="TextBody"/>
        <w:spacing w:lineRule="auto" w:line="240" w:before="0" w:after="240"/>
        <w:rPr/>
      </w:pPr>
      <w:r>
        <w:rPr>
          <w:rFonts w:ascii="Times New Roman;sans-serif" w:hAnsi="Times New Roman;sans-serif"/>
          <w:b w:val="false"/>
          <w:color w:val="000000"/>
          <w:sz w:val="22"/>
        </w:rPr>
        <w:t>In addition, if the Optionee pays more than ¥30,000,000 in a single transaction for the purchase of shares of Common Stock when the Optionee exercises the Option, the Optionee must file a Payment Report with the Ministry of Finance through the Bank of Japan by the 20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of the month following the month in which the payment was made. The precise reporting requirements vary depending on whether or not the relevant payment is made through a bank in Japan.</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A Payment Report is required independently from a Securities Acquisition Report. Therefore, if the total amount that the Optionee pays upon a one-time transaction for exercising the Option and purchasing shares exceeds ¥100,000,000, then the Optionee must file both a Payment Report and a Securities Acquisition Report. </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will be required to report details of any assets held outside Japan as of December 31st (including any shares of Common Stock acquired under the Plan) to the extent such assets have a total net fair market value exceeding ¥50,000,000. Such report will be due by March 15th each year. The Optionee should consult with his or her personal tax advisor as to whether the reporting obligation applies to the Optionee and whether the Optionee will be required to include details of any outstanding Option, shares of Common Stock or cash held by the Optionee in the report.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01320"/>
                <wp:effectExtent l="0" t="0" r="0" b="0"/>
                <wp:wrapNone/>
                <wp:docPr id="89" name="Frame87"/>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27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27</w:t>
                      </w:r>
                    </w:p>
                    <w:p>
                      <w:pPr>
                        <w:pStyle w:val="TextBody"/>
                        <w:spacing w:before="0" w:after="0"/>
                        <w:rPr/>
                      </w:pPr>
                      <w:r>
                        <w:rPr/>
                      </w:r>
                    </w:p>
                  </w:txbxContent>
                </v:textbox>
              </v:rect>
            </w:pict>
          </mc:Fallback>
        </mc:AlternateContent>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KAZAKHSTAN</w:t>
      </w:r>
    </w:p>
    <w:p>
      <w:pPr>
        <w:pStyle w:val="TextBody"/>
        <w:spacing w:before="0" w:after="0"/>
        <w:rPr/>
      </w:pPr>
      <w:r>
        <w:rPr/>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0"/>
        <w:rPr/>
      </w:pPr>
      <w:r>
        <w:rPr>
          <w:rFonts w:ascii="Times New Roman;sans-serif" w:hAnsi="Times New Roman;sans-serif"/>
          <w:b/>
          <w:color w:val="000000"/>
          <w:sz w:val="22"/>
        </w:rPr>
        <w:t>Securities Law Notification</w:t>
      </w:r>
      <w:r>
        <w:rPr>
          <w:rFonts w:ascii="Times New Roman;sans-serif" w:hAnsi="Times New Roman;sans-serif"/>
          <w:b w:val="false"/>
          <w:color w:val="000000"/>
          <w:sz w:val="22"/>
        </w:rPr>
        <w:t>.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Residents of Kazakhstan may be required to notify the National Bank of Kazakhstan when they acquire shares of Common Stock under the Plan if the value of such shares of Common Stock exceeds US$100,000.</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Please note that the exchange control regulations in Kazakhstan are subject to change. The Optionee should consult with their personal legal advisor regarding any exchange control obligations that the Optionee may have prior to exercising the option or receiving proceeds from the sale of shares of Common Stock acquired under the Plan. The Optionee is responsible for ensuring compliance with all exchange control laws in Kazakhstan.</w:t>
      </w:r>
    </w:p>
    <w:p>
      <w:pPr>
        <w:pStyle w:val="TextBody"/>
        <w:spacing w:before="0" w:after="0"/>
        <w:rPr/>
      </w:pPr>
      <w:r>
        <w:rPr/>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KENYA</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Tax Registration Notification</w:t>
      </w:r>
      <w:r>
        <w:rPr>
          <w:rFonts w:ascii="Times New Roman;sans-serif" w:hAnsi="Times New Roman;sans-serif"/>
          <w:b w:val="false"/>
          <w:color w:val="000000"/>
          <w:sz w:val="22"/>
        </w:rPr>
        <w:t>. Under Tax Procedure Act, 2015, the Optionee is required to complete and submit a tax registration application to the Commissioner of Income Tax within 30 days of first exercise of the Option. The registration should be completed through the online portal “I TAX” and is a one-time only registration. The Optionee is solely responsible for ensuring compliance with all registration requirements in Kenya.</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LEBANON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Plan does not constitute the marketing or offering of securities in Lebanon pursuant to Law No. 161 (2011), the Capital Markets Law. Offerings under the Plan are being made only to eligible employees of the Mondelēz Group.</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LITHUANIA</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MALAYSIA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13 of the Agreement: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01320"/>
                <wp:effectExtent l="0" t="0" r="0" b="0"/>
                <wp:wrapNone/>
                <wp:docPr id="90" name="Frame88"/>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28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28</w:t>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659"/>
        <w:gridCol w:w="1459"/>
        <w:gridCol w:w="1462"/>
        <w:gridCol w:w="1646"/>
        <w:gridCol w:w="1646"/>
        <w:gridCol w:w="2333"/>
      </w:tblGrid>
      <w:tr>
        <w:trPr/>
        <w:tc>
          <w:tcPr>
            <w:tcW w:w="1659"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c>
          <w:tcPr>
            <w:tcW w:w="2333" w:type="dxa"/>
            <w:tcBorders/>
            <w:shd w:fill="auto" w:val="clear"/>
            <w:vAlign w:val="center"/>
          </w:tcPr>
          <w:p>
            <w:pPr>
              <w:pStyle w:val="TableContents"/>
              <w:spacing w:before="0" w:after="283"/>
              <w:rPr>
                <w:sz w:val="4"/>
                <w:szCs w:val="4"/>
              </w:rPr>
            </w:pPr>
            <w:r>
              <w:rPr>
                <w:sz w:val="4"/>
                <w:szCs w:val="4"/>
              </w:rPr>
            </w:r>
          </w:p>
        </w:tc>
      </w:tr>
      <w:tr>
        <w:trPr/>
        <w:tc>
          <w:tcPr>
            <w:tcW w:w="4580" w:type="dxa"/>
            <w:gridSpan w:val="3"/>
            <w:tcBorders>
              <w:top w:val="dotted" w:sz="4" w:space="0" w:color="000000"/>
              <w:left w:val="dotted" w:sz="4" w:space="0" w:color="000000"/>
              <w:bottom w:val="dotted" w:sz="4" w:space="0" w:color="000000"/>
            </w:tcBorders>
            <w:shd w:fill="auto" w:val="clear"/>
            <w:tcMar>
              <w:top w:w="30" w:type="dxa"/>
              <w:bottom w:w="30" w:type="dxa"/>
              <w:right w:w="0" w:type="dxa"/>
            </w:tcMar>
            <w:vAlign w:val="center"/>
          </w:tcPr>
          <w:p>
            <w:pPr>
              <w:pStyle w:val="TableContents"/>
              <w:spacing w:lineRule="auto" w:line="240" w:before="0" w:after="240"/>
              <w:jc w:val="left"/>
              <w:rPr/>
            </w:pPr>
            <w:r>
              <w:rPr>
                <w:rFonts w:ascii="Times New Roman;sans-serif" w:hAnsi="Times New Roman;sans-serif"/>
                <w:b/>
                <w:i/>
                <w:color w:val="000000"/>
                <w:sz w:val="22"/>
              </w:rPr>
              <w:t>The Optionee explicitly and unambiguously consents to the collection, use and transfer, in electronic or other form, of the Optionee’s personal data as described in this Agreement and any other Option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xml:space="preserve">) by and among, as applicable, the Employer and the Mondelēz Group for the exclusive purpose of implementing, administering and managing the Optionee’s participation in the Plan. The Data is supplied by the Employer and also by the Optionee through information collected in connection with the Agreement and the Plan. </w:t>
            </w:r>
          </w:p>
          <w:p>
            <w:pPr>
              <w:pStyle w:val="TableContents"/>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The Optionee understands that the Company and the Employer may hold certain personal information about the Optionee, including, but not limited to, the Optionee’s name, home address, email address and telephone number, date of birth, social insurance number, passport or other identification number, salary, nationality, job title, any shares of stock or directorships held in the Company, details of all Options or any other entitlement to shares of stock awarded, canceled, exercised, vested, unvested or outstanding in the Optionee’s favor, for the exclusive purpose of implementing, administering and managing the Plan.</w:t>
            </w:r>
          </w:p>
          <w:p>
            <w:pPr>
              <w:pStyle w:val="TableContents"/>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The Optionee understands that Data will be transferred to E*TRADE Financial Corporate Services Inc. (“E*TRADE”),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The Optionee understands that the Optionee may request a list with the names and addresses of any potential recipients of the Data by contacting the Optionee’s local human resources representative at Mondelez Malaysia Sales Sdn Bhd., Lot 9.01 Level 9, 1 First Avenue, 2A, Dataran Bandar Utama, Bandar Utama Damasara, 47800 Petaling Jaya, Selangor, Malaysia. The Optionee authorizes the Company, E*TRADE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and career with the Employer will not be adversely affected; the only consequence of refusing or withdrawing the Optionee’s consent is that the Company would not be able to grant the Optionee an option or other equity awards or administer or maintain such awards. The Optionee also understands that the Company has no obligation to substitute other forms of awards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tc>
        <w:tc>
          <w:tcPr>
            <w:tcW w:w="5625" w:type="dxa"/>
            <w:gridSpan w:val="3"/>
            <w:tcBorders>
              <w:top w:val="dotted" w:sz="4" w:space="0" w:color="000000"/>
              <w:left w:val="dotted" w:sz="4" w:space="0" w:color="000000"/>
              <w:bottom w:val="dotted" w:sz="4" w:space="0" w:color="000000"/>
              <w:right w:val="dotted" w:sz="4" w:space="0" w:color="000000"/>
            </w:tcBorders>
            <w:shd w:fill="auto" w:val="clear"/>
            <w:tcMar>
              <w:top w:w="30" w:type="dxa"/>
              <w:bottom w:w="30" w:type="dxa"/>
            </w:tcMar>
            <w:vAlign w:val="center"/>
          </w:tcPr>
          <w:p>
            <w:pPr>
              <w:pStyle w:val="TableContents"/>
              <w:spacing w:lineRule="auto" w:line="240" w:before="0" w:after="240"/>
              <w:jc w:val="both"/>
              <w:rPr/>
            </w:pPr>
            <w:r>
              <w:rPr>
                <w:rFonts w:ascii="Times New Roman;sans-serif" w:hAnsi="Times New Roman;sans-serif"/>
                <w:b/>
                <w:i/>
                <w:color w:val="000000"/>
                <w:sz w:val="22"/>
              </w:rPr>
              <w:t>Penerima Opsyen dengan ini secara eksplisit dan tanpa sebarang keraguan mengizinkan pengumpulan, penggunaan dan pemindahan, dalam bentuk elektronik atau lain-lain, data peribadi Penerima Opsyen seperti yang diterangkan dalam Perjanjian ini serta mana-mana bahan-bahan geran Opsyen lain(“</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oleh dan di antara, seperti mana yang terpakai, Majikan serta Kumpulan Mondelez untuk tujuan ekslusif bagi melaksanakan, mentadbir dan menguruskan penyertaan Penerima Opsyen dalam Pelan. Data telah dibekalkan oleh pihak Majikan dan juga Penerima Opsyen melalui informasi yang telah dikumpul berkaitan dengan Perjanjian dan Pelan.</w:t>
            </w:r>
          </w:p>
          <w:p>
            <w:pPr>
              <w:pStyle w:val="TableContents"/>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Penerima Opsyen memahami bahawa Syarikat dan Majikan mungkin memegang maklumat peribadi tertentu Penerima Opsyen, termasuk, tetapi tidak terhad kepada, nama Penerima Opsyen, alamat rumah dan nombor telefon, almat emel, tarikh lahir, insurans sosial, nombor pasport atau pengenalan lain, gaji, kewarganegaraan, jawatan, apa-apa syer dalam Saham atau jawatan pengarah yang dipegang dalam Syarikat, maklumat berkaitan semua Opsyen-Opsyen atau apa-apa kelayakan lain untuk syer dalam saham yang dianugerahkan, dibatalkan, dilaksanakan, terletak hak, tidak diletak hak ataupun yang belum dijelaskan bagi faedah Penerima Opsyen, untuk tujuan eksklusif bagi melaksanakan, mentadbir dan menguruskan Pelan tersebut. </w:t>
            </w:r>
          </w:p>
          <w:p>
            <w:pPr>
              <w:pStyle w:val="TableContents"/>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Penerima Opsyen memahami bahawa Data tersebut akan dipindahkan ke E*TRADE Financial Corporate Services Inc. (“E*TRADE”) atau pembekal perkhidmatan pelan saham lain yang mungkin dipilih oleh Syarikat pada masa hadapan, yang membantu Syarikat melaksanakan, mentadbir dan menguruskan Pelan tersebut. Penerima Opsyen memahami bahawa Data juga mungkin dipindahkan kepada firma akauntansi awam berdaftar bebas Syarikat, PricewaterhouseCoopers LLP, atau firma akauntansi berdaftar lain yang mungkin digunakan oleh Syarikat pada masa hadapan. Penerima Opsyen turut memahami bahawa penerima Data mungkin berada di Amerika Syarikat atau negara lain dan negara asal penerima Data (contohnya, Amerika Syarikat) mungkin mempunyai undang-undang data peribadi serta perlindungan yang berbeza daripada negara asal Penerima Opsyen. Penerima Opsyen memahami bahawa Penerima Opsyen boleh meminta satu senarai yang mengandungi nama dan alamat penerima-penerima Data yang berpotensi dengan menghubungi wakil sumber manusia tempatan Penerima Opsyen di Mondelez Malaysia Sales Sdn Bhd, Lot 9.01 Level 9, 1 First Avenue, 2A, Dataran Bandar Utama, Bandar Utama Damasara, 47800 Petaling Jaya, Selangor, Malaysia. Penerima Opsyen dengan ini membenarkan Syarikat, E*TRADE serta mana-mana penerima data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Penerima Opsyen dalam Pelan. Penerima Opsyen memahami bahawa Data hanya akan disimpan untuk tempoh yang perlu bagi melaksanakan, mentadbir, dan menguruskan penyertaan Penerima Opsyen dalam Pelan. Penerima Opsyen memahami bahawa Penerima Opsyen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Penerima Opsyen memahami bahawa Penerima Opsyen memberikan persetujuan di sini secara sukarela. Jikalau, Penerima Opsyen tidak bersetuju, atau sekiranaya Penerima Opsyen kemudiannya membatalkan persetujuannya, status pekerjaan atau perkhidmatan dan kerjaya Penerima Opsyen dengan Majikan tidak akan terjejas; satu-satunya akibat jika Penerima Opsyen tidak bersetuju atau menarik balik persetujuan Penerima Opsyen adalah bahawa Syarikat tidak akan dapat memberikan opsyen atau anugerah-anugerah ekuiti yang lain kepada Penerima Opsyen atau mentadbir atau mengekalkan anugerah tersebut. Penerima Opsyen turut memahami bahawa pihak Syarikat tidak mempunyai sebarang kewajiban untuk menggantikan bentuk anugerah yang lain atau memberikan sebarang bentuk kompensasi sebagai pengganti opsyen disebabkan keengganan atau penarikan balik persetujuan Penerima Opsyen. Oleh kerana itu, Penerima Opsyen memahami bahawa keengganan atau penarikan balik persetujuan Penerima Opsyen boleh menjejaskan keupayaan Penerima Opsyen untuk mengambil bahagian dalam Pelan. Untuk maklumat lanjut mengenai akibat keengganan Penerima Opsyen untuk memberikan keizinan atau penarikan balik keizinan, Penerima Opsyen memahami bahawa Penerima Opsyen boleh menghubungi wakil sumber manusia tempatannya.</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01320"/>
                <wp:effectExtent l="0" t="0" r="0" b="0"/>
                <wp:wrapNone/>
                <wp:docPr id="91" name="Frame89"/>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29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29</w:t>
                      </w:r>
                    </w:p>
                    <w:p>
                      <w:pPr>
                        <w:pStyle w:val="TextBody"/>
                        <w:spacing w:before="0" w:after="0"/>
                        <w:rPr/>
                      </w:pPr>
                      <w:r>
                        <w:rPr/>
                      </w:r>
                    </w:p>
                  </w:txbxContent>
                </v:textbox>
              </v:rect>
            </w:pict>
          </mc:Fallback>
        </mc:AlternateContent>
      </w:r>
    </w:p>
    <w:p>
      <w:pPr>
        <w:pStyle w:val="TextBody"/>
        <w:spacing w:before="0" w:after="240"/>
        <w:rPr/>
      </w:pPr>
      <w:r>
        <w:rPr/>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Director Notification Obligation.</w:t>
      </w:r>
      <w:r>
        <w:rPr>
          <w:color w:val="000000"/>
        </w:rPr>
        <w:t xml:space="preserve"> </w:t>
      </w:r>
      <w:r>
        <w:rPr>
          <w:rFonts w:ascii="Times New Roman;sans-serif" w:hAnsi="Times New Roman;sans-serif"/>
          <w:b w:val="false"/>
          <w:color w:val="000000"/>
          <w:sz w:val="22"/>
        </w:rPr>
        <w:t>If the Optionee is a director of the Company’s Malaysian subsidiary or affiliate, the Optionee is subject to certain notification requirements under the Malaysian Companies Act. Among these requirements is an obligation to notify the Malaysian subsidiary or affiliate in writing when the Optionee receives or disposes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an Option or shares of Common Stock) in the Company or any related company. Such notifications must be made within 14 days of receiving or disposing of any interest in the Company or any related company.</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MEXICO</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Labor Law Policy. </w:t>
      </w:r>
      <w:r>
        <w:rPr>
          <w:rFonts w:ascii="Times New Roman;sans-serif" w:hAnsi="Times New Roman;sans-serif"/>
          <w:b w:val="false"/>
          <w:color w:val="000000"/>
          <w:sz w:val="22"/>
        </w:rPr>
        <w:t>In accepting the grant of the Option, the Optionee expressly recognizes that Mondelēz International, Inc., with registered offices at 905 West Fulton Market, Suite 200, Chicago, Illinois 60607, U.S.A., is solely responsible for the administration of the Plan and that the Optionee’s participation in the Plan and acquisition of shares of Common Stock do not constitute an employment relationship between the Optionee and Mondelēz International, Inc. since the Optionee is participating in the Plan on a wholly commercial basis and his or her sole Employer is Mondelēz México, S. de R.L. de C.V., located at Avenida Santa Fe 485, Piso 7, Colonia Cruz Manca, Mexico City, C.P. 05349 Mexico. Based on the foregoing, the Optionee expressly recognizes that the Plan and the benefits that he or she may derive from participating in the Plan do not establish any rights between the Optionee and the Employer, Mondelēz México, S. de R.L. de C.V., and do not form part of the employment conditions and/or benefits provided by Mondelēz México, S. de R.L. de C.V., and any modification of the Plan or its termination shall not constitute a change or impairment of the terms and conditions of the Optionee’s employment.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Optionee further understands that his or her participation in the Plan is as a result of a unilateral and discretionary decision of Mondelēz International, Inc.; therefore, Mondelēz International, Inc. reserves the absolute right to amend and/or discontinue the Optionee’s participation at any time without any liability to the Optionee.</w:t>
      </w:r>
    </w:p>
    <w:p>
      <w:pPr>
        <w:pStyle w:val="TextBody"/>
        <w:spacing w:lineRule="auto" w:line="240" w:before="0" w:after="240"/>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By accepting the Option, the Optionee acknowledges that Optionee has received copies of the Plan, has reviewed the Plan and the Agreement in their entirety and fully understands and accepts all provisions of the Plan and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by accepting the Agreement, the Optionee further acknowledges that Optionee has read and specifically and expressly approves the terms and conditions in paragraph 12 of the Agreement (“Grant Confers No Rights to Continued Employment -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Option.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Finally, the Optionee hereby declares that he or she does not reserve to him- or herself any action or right to bring any claim against Mondelēz International, Inc. for any compensation or damages regarding any provision of the Plan or the benefits derived under the Plan, and the Optionee therefore grants a full and broad release to Mondelēz International, Inc., its affiliates, branches, representation offices, its shareholders, officers, agents or legal representatives with respect to any claim that may arise. </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TÉRMINOS Y CONDICIONES</w:t>
      </w:r>
    </w:p>
    <w:p>
      <w:pPr>
        <w:pStyle w:val="TextBody"/>
        <w:spacing w:lineRule="auto" w:line="240" w:before="0" w:after="240"/>
        <w:rPr/>
      </w:pPr>
      <w:r>
        <w:rPr>
          <w:rFonts w:ascii="Times New Roman;sans-serif" w:hAnsi="Times New Roman;sans-serif"/>
          <w:b/>
          <w:color w:val="000000"/>
          <w:sz w:val="22"/>
        </w:rPr>
        <w:t xml:space="preserve">Política Laboral. </w:t>
      </w:r>
      <w:r>
        <w:rPr>
          <w:rFonts w:ascii="Times New Roman;sans-serif" w:hAnsi="Times New Roman;sans-serif"/>
          <w:b w:val="false"/>
          <w:color w:val="000000"/>
          <w:sz w:val="22"/>
        </w:rPr>
        <w:t>Al</w:t>
      </w:r>
      <w:r>
        <w:rPr>
          <w:color w:val="000000"/>
        </w:rPr>
        <w:t xml:space="preserve"> </w:t>
      </w:r>
      <w:r>
        <w:rPr>
          <w:rFonts w:ascii="Times New Roman;sans-serif" w:hAnsi="Times New Roman;sans-serif"/>
          <w:b w:val="false"/>
          <w:color w:val="000000"/>
          <w:sz w:val="22"/>
        </w:rPr>
        <w:t xml:space="preserve">aceptar el otorgamiento de la Opción de Compra de Acciones, el Optionee expresamente reconoce que Mondelēz International, Inc., con domicilio registrado ubicado en 905 West Fulton Market, Suite 200, Chicago, Illinois 60607, U.S.A., es la única responsable por la administración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01320"/>
                <wp:effectExtent l="0" t="0" r="0" b="0"/>
                <wp:wrapNone/>
                <wp:docPr id="92" name="Frame90"/>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30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30</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del Plan y que la participación del Optionee en el Plan y en su caso la adquisición de Acciones no constituyen ni podrán interpretarse como una relación de trabajo entre el Optionee y Mondelēz International, Inc., ya que el Optionee participa en el Plan en un marco totalmente comercial y su único Patrón lo es Mondelēz México, S. de R.L. de C.V. con domicilio en Avenida Santa Fe 485, Piso 7, Colonia Cruz Manca, Mexico City, C.P. 05349 Mexico. Derivado de lo anterior, el Optionee expresamente reconoce que el Plan y los beneficios que pudieran derivar de la participación en el Plan no establecen derecho alguno entre el Optionee y el Patrón, Mondelēz México, S. de R.L. de C.V. y no forma parte de las condiciones de trabajo y/o las prestaciones otorgadas por Mondelēz México, S. de R.L. de C.V. y que cualquier modificación al Plan o su terminación no constituye un cambio o impedimento de los términos y condiciones de la relación de trabajo del Optionee.</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Asimismo, el Optionee reconoce que su participación en el Plan es resultado de una decisión unilateral y discrecional de Mondelēz International, Inc.; por lo tanto, Mondelēz International, Inc. se reserva el absoluto derecho de modificar y/o terminar la participación del Optionee en cualquier momento y sin responsabilidad alguna frente el Optionee.</w:t>
      </w:r>
    </w:p>
    <w:p>
      <w:pPr>
        <w:pStyle w:val="TextBody"/>
        <w:spacing w:lineRule="auto" w:line="240" w:before="0" w:after="240"/>
        <w:rPr/>
      </w:pPr>
      <w:r>
        <w:rPr>
          <w:rFonts w:ascii="Times New Roman;sans-serif" w:hAnsi="Times New Roman;sans-serif"/>
          <w:b/>
          <w:color w:val="000000"/>
          <w:sz w:val="22"/>
        </w:rPr>
        <w:t>Reconocimiento del Plan de Documentos</w:t>
      </w:r>
      <w:r>
        <w:rPr>
          <w:rFonts w:ascii="Times New Roman;sans-serif" w:hAnsi="Times New Roman;sans-serif"/>
          <w:b w:val="false"/>
          <w:color w:val="000000"/>
          <w:sz w:val="22"/>
        </w:rPr>
        <w:t>. Al aceptar el Otorgamiento de la Opción de Compra de Acciones, el Optionee reconoce que ha recibido copias del Plan, que ha revisado el Plan y el Acuerdo en su totalidad y que entiende y acepta completamente todas las disposiciones contenidas en el Plan y en el Acuerdo.</w:t>
      </w:r>
    </w:p>
    <w:p>
      <w:pPr>
        <w:pStyle w:val="TextBody"/>
        <w:spacing w:lineRule="auto" w:line="240" w:before="0" w:after="240"/>
        <w:rPr/>
      </w:pPr>
      <w:r>
        <w:rPr>
          <w:rFonts w:ascii="Times New Roman;sans-serif" w:hAnsi="Times New Roman;sans-serif"/>
          <w:b w:val="false"/>
          <w:color w:val="000000"/>
          <w:sz w:val="22"/>
        </w:rPr>
        <w:t xml:space="preserve">Adicionalmente, al firmar el Acuerdo, el Optionee reconoce que ha leído y que aprueba específica y expresamente los términos y condiciones contenidos en el párrafo 12 del Acuerdo ( “El Otorgamiento No le Confiere Ningún Derecho a Empleo Continuo -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w:t>
      </w:r>
      <w:r>
        <w:rPr>
          <w:rFonts w:ascii="Palatino;serif" w:hAnsi="Palatino;serif"/>
          <w:b w:val="false"/>
          <w:color w:val="000000"/>
          <w:sz w:val="22"/>
        </w:rPr>
        <w:t xml:space="preserve">Mondelēz International, Inc. </w:t>
      </w:r>
      <w:r>
        <w:rPr>
          <w:rFonts w:ascii="Times New Roman;sans-serif" w:hAnsi="Times New Roman;sans-serif"/>
          <w:b w:val="false"/>
          <w:color w:val="000000"/>
          <w:sz w:val="22"/>
        </w:rPr>
        <w:t>ni de cualqiuer Sociedad controlante, Subsidiaria o Filial son responsables por ninguna disminución en el valor de las Acciones subyacentes de la Opción de Compra de Acciones.</w:t>
      </w:r>
    </w:p>
    <w:p>
      <w:pPr>
        <w:pStyle w:val="TextBody"/>
        <w:spacing w:lineRule="auto" w:line="240" w:before="0" w:after="240"/>
        <w:rPr/>
      </w:pPr>
      <w:r>
        <w:rPr>
          <w:rFonts w:ascii="Times New Roman;sans-serif" w:hAnsi="Times New Roman;sans-serif"/>
          <w:b w:val="false"/>
          <w:color w:val="000000"/>
          <w:sz w:val="22"/>
        </w:rPr>
        <w:t>Finalmente, el Optionee por este medio declara que no se reserve derecho o acción alguna que ejercitar en contra de Mondelēz International, Inc. por cualquier compensación o daño en relación con las disposiciones del Plan o de los beneficios derivados del Plan y por lo tanto, el Optionee otorga el más amplio finiquito que en derecho proceda a Mondelēz International, Inc., sus afiliadas, subsidiarias, oficinas de representación, sus accionistas, funcionarios, agentes o representantes legales en relación con cualquier demanda que pudiera surgir.</w:t>
      </w:r>
      <w:r>
        <w:rPr>
          <w:color w:val="000000"/>
        </w:rPr>
        <w:t xml:space="preserve"> </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Option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Option may not be publicly distributed in Mexico. These materials are addressed to the Optionee only because of the Optionee’s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MOROCCO</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Cashless Exercise Restriction.</w:t>
      </w:r>
      <w:r>
        <w:rPr>
          <w:color w:val="000000"/>
        </w:rPr>
        <w:t xml:space="preserve"> </w:t>
      </w:r>
      <w:r>
        <w:rPr>
          <w:rFonts w:ascii="Times New Roman;sans-serif" w:hAnsi="Times New Roman;sans-serif"/>
          <w:b w:val="false"/>
          <w:color w:val="000000"/>
          <w:sz w:val="22"/>
        </w:rPr>
        <w:t xml:space="preserve">Notwithstanding anything to the contrary in the Agreement, due to exchange control requirements in Morocco, the Optionee will be required to pay the Grant Price by a cashless exercise through a licensed securities broker acceptable to the Company, such that all shares of Common Stock subject to the exercised Option will be sold immediately upon exercise and the proceeds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01320"/>
                <wp:effectExtent l="0" t="0" r="0" b="0"/>
                <wp:wrapNone/>
                <wp:docPr id="93" name="Frame91"/>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31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31</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of sale, less the Grant Price, any Tax-Related Items and broker’s fees or commissions, will be remitted to the Optionee. The Company reserves the right to provide the Optionee with additional methods of exercise depending on local developments. </w:t>
      </w:r>
    </w:p>
    <w:p>
      <w:pPr>
        <w:pStyle w:val="TextBody"/>
        <w:spacing w:lineRule="auto" w:line="240" w:before="0" w:after="240"/>
        <w:rPr/>
      </w:pPr>
      <w:r>
        <w:rPr>
          <w:rFonts w:ascii="Times New Roman;sans-serif" w:hAnsi="Times New Roman;sans-serif"/>
          <w:b/>
          <w:color w:val="000000"/>
          <w:sz w:val="22"/>
        </w:rPr>
        <w:t>Exercisability Upon Termination of Employment</w:t>
      </w:r>
      <w:r>
        <w:rPr>
          <w:rFonts w:ascii="Times New Roman;sans-serif" w:hAnsi="Times New Roman;sans-serif"/>
          <w:b w:val="false"/>
          <w:color w:val="000000"/>
          <w:sz w:val="22"/>
        </w:rPr>
        <w:t>. The following provision replaces in its entirety paragraph 3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in paragraph 3 of the Agreement, due to exchange control requirements in Morocco, the Optionee will have no right to exercise the Option after the Optionee’s termination date. Solely for purposes of the foregoing provision and notwithstanding anything in the Agreement to the contrary, the Optionee’s employment shall be deemed to be terminated when he or she is no longer on the payroll of the Mondelēz Group.</w:t>
      </w:r>
    </w:p>
    <w:p>
      <w:pPr>
        <w:pStyle w:val="TextBody"/>
        <w:spacing w:lineRule="auto" w:line="240" w:before="0" w:after="240"/>
        <w:rPr/>
      </w:pPr>
      <w:r>
        <w:rPr>
          <w:rFonts w:ascii="Times New Roman;sans-serif" w:hAnsi="Times New Roman;sans-serif"/>
          <w:b/>
          <w:color w:val="000000"/>
          <w:sz w:val="22"/>
        </w:rPr>
        <w:t>Exchange Control Requirements.</w:t>
      </w:r>
      <w:r>
        <w:rPr>
          <w:color w:val="000000"/>
        </w:rPr>
        <w:t xml:space="preserve"> </w:t>
      </w:r>
      <w:r>
        <w:rPr>
          <w:rFonts w:ascii="Times New Roman;sans-serif" w:hAnsi="Times New Roman;sans-serif"/>
          <w:b w:val="false"/>
          <w:color w:val="000000"/>
          <w:sz w:val="22"/>
        </w:rPr>
        <w:t xml:space="preserve">The Optionee is required to immediately repatriate to Morocco the proceeds from the cashless exercise of the Option. Such repatriation may need to be effectuated through a special account established by the Mondelēz Group, including the Employer. By accepting the Option, the Optionee consents and agrees that the cash proceeds may be transferred to such special account prior to being delivered to the Optionee. If repatriation of proceeds is not effectuated through a special account, the Optionee agrees to maintain his or her own records of repatriation and to provide copies of these records upon request to the Company, the Employer and/or the </w:t>
      </w:r>
      <w:r>
        <w:rPr>
          <w:rFonts w:ascii="Times New Roman;sans-serif" w:hAnsi="Times New Roman;sans-serif"/>
          <w:b w:val="false"/>
          <w:i/>
          <w:color w:val="000000"/>
          <w:sz w:val="22"/>
        </w:rPr>
        <w:t>Office des Changes</w:t>
      </w:r>
      <w:r>
        <w:rPr>
          <w:rFonts w:ascii="Times New Roman;sans-serif" w:hAnsi="Times New Roman;sans-serif"/>
          <w:b w:val="false"/>
          <w:color w:val="000000"/>
          <w:sz w:val="22"/>
        </w:rPr>
        <w:t>. The Optionee is responsible for ensuring compliance with all exchange control laws in Morocco.</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NETHERLANDS</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spacing w:lineRule="auto" w:line="240" w:before="0" w:after="240"/>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 and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NEW ZEALAND</w:t>
      </w:r>
    </w:p>
    <w:p>
      <w:pPr>
        <w:pStyle w:val="TextBody"/>
        <w:spacing w:lineRule="auto" w:line="240" w:before="0" w:after="240"/>
        <w:rPr>
          <w:rFonts w:ascii="Palatino;serif" w:hAnsi="Palatino;serif"/>
          <w:b/>
          <w:i/>
          <w:color w:val="000000"/>
          <w:sz w:val="22"/>
        </w:rPr>
      </w:pPr>
      <w:r>
        <w:rPr>
          <w:rFonts w:ascii="Palatino;serif" w:hAnsi="Palatino;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WARNING: </w:t>
      </w:r>
      <w:r>
        <w:rPr>
          <w:rFonts w:ascii="Times New Roman;sans-serif" w:hAnsi="Times New Roman;sans-serif"/>
          <w:b w:val="false"/>
          <w:i/>
          <w:color w:val="000000"/>
          <w:sz w:val="22"/>
        </w:rPr>
        <w:t>The</w:t>
      </w:r>
      <w:r>
        <w:rPr>
          <w:color w:val="000000"/>
        </w:rPr>
        <w:t xml:space="preserve"> </w:t>
      </w:r>
      <w:r>
        <w:rPr>
          <w:rFonts w:ascii="Times New Roman;sans-serif" w:hAnsi="Times New Roman;sans-serif"/>
          <w:b w:val="false"/>
          <w:i/>
          <w:color w:val="000000"/>
          <w:sz w:val="22"/>
        </w:rPr>
        <w:t>Optionee is being offered an Option which allows the Optionee to purchase shares of Common Stock in accordance with the terms of the Plan and the Agreement. The shares of Common Stock, if purchased, give the Optionee a stake in the ownership of the Company. The Optionee may receive a return if dividends are paid.</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If the Company runs into financial difficulties and is wound up, the Optionee will be paid only after all creditors and holders of preferred shares have been paid. The Optionee may lose some or all of his or her investment.</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 xml:space="preserve">New Zealand law normally requires people who offer financial products to give information to investors before they invest. This information is designed to help investors to make an informed decision. </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The usual rules do not apply to this offer because it is made under an employee share purchase scheme. As a result, the Optionee may not be given all the information usually required. The Optionee will also have fewer other legal protections for this investment.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01320"/>
                <wp:effectExtent l="0" t="0" r="0" b="0"/>
                <wp:wrapNone/>
                <wp:docPr id="94" name="Frame92"/>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32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32</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The Optionee understands that he or she should ask questions, read all documents carefully, and seek independent financial advice before exercising any Options under the Plan.</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 xml:space="preserve">The shares of Common Stock are quoted and approved for trading on the Nasdaq Global Select Market in the United States of America. This means that, if the Optionee purchases shares of Common Stock under the Plan, the Optionee may be able to sell his or her investment on the Nasdaq if there are interested buyers. The Optionee understands that the Optionee may get less than his or her investment. The price will depend on the demand for the shares of Common Stock. </w:t>
      </w:r>
    </w:p>
    <w:p>
      <w:pPr>
        <w:pStyle w:val="TextBody"/>
        <w:spacing w:lineRule="auto" w:line="240" w:before="0" w:after="240"/>
        <w:rPr/>
      </w:pPr>
      <w:r>
        <w:rPr>
          <w:rFonts w:ascii="Times New Roman;sans-serif" w:hAnsi="Times New Roman;sans-serif"/>
          <w:b w:val="false"/>
          <w:i/>
          <w:color w:val="000000"/>
          <w:sz w:val="22"/>
        </w:rPr>
        <w:t xml:space="preserve">For information on risk factors impacting the Company’s business that may affect the value of the shares of Common Stock, the Optionee should refer to the risk factors discussion in the Company’s Annual Report on Form 10-K and Quarterly Reports on Form 10-Q, which are filed with the U.S. Securities and Exchange Commission and are available online at </w:t>
      </w:r>
      <w:r>
        <w:rPr>
          <w:rFonts w:ascii="Times New Roman;sans-serif" w:hAnsi="Times New Roman;sans-serif"/>
          <w:b w:val="false"/>
          <w:i/>
          <w:color w:val="000000"/>
          <w:sz w:val="22"/>
          <w:u w:val="single"/>
        </w:rPr>
        <w:t>www.sec.gov</w:t>
      </w:r>
      <w:r>
        <w:rPr>
          <w:rFonts w:ascii="Times New Roman;sans-serif" w:hAnsi="Times New Roman;sans-serif"/>
          <w:b w:val="false"/>
          <w:i/>
          <w:color w:val="000000"/>
          <w:sz w:val="22"/>
        </w:rPr>
        <w:t xml:space="preserve">, as well as on the Company’s website at </w:t>
      </w:r>
      <w:r>
        <w:rPr>
          <w:rFonts w:ascii="Times New Roman;sans-serif" w:hAnsi="Times New Roman;sans-serif"/>
          <w:b w:val="false"/>
          <w:color w:val="000000"/>
          <w:sz w:val="22"/>
          <w:u w:val="single"/>
        </w:rPr>
        <w:t>http://ir.mondelezinternational.com/sec.cfm</w:t>
      </w:r>
      <w:r>
        <w:rPr>
          <w:rFonts w:ascii="Times New Roman;sans-serif" w:hAnsi="Times New Roman;sans-serif"/>
          <w:b w:val="false"/>
          <w:color w:val="000000"/>
          <w:sz w:val="22"/>
        </w:rPr>
        <w:t xml:space="preserve">. </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NIGERIA</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NORWAY</w:t>
      </w:r>
    </w:p>
    <w:p>
      <w:pPr>
        <w:pStyle w:val="TextBody"/>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 general, Norwegian residents should not be subject to any foreign exchange requirements in connection with the acquisition or sale of shares of Common Stock under the Plan, except normal reporting requirements to the Norwegian Currency Registry. If the transfer of funds into or out of Norway is made through a Norwegian bank, the bank will make the registration.</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PAKISTAN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Notwithstanding anything to the contrary in the Agreement, due to regulatory requirements in Pakistan,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Optionee is required immediately to repatriate to Pakistan the proceeds from the sale of any Common Stock acquired from participation in Plan, including the proceeds from the cashless exercise of the Option. The proceeds must be converted into local currency and the receipt of proceeds must be reported to the State Bank of Pakistan (the “</w:t>
      </w:r>
      <w:r>
        <w:rPr>
          <w:rFonts w:ascii="Times New Roman;sans-serif" w:hAnsi="Times New Roman;sans-serif"/>
          <w:b w:val="false"/>
          <w:color w:val="000000"/>
          <w:sz w:val="22"/>
          <w:u w:val="single"/>
        </w:rPr>
        <w:t>SBP</w:t>
      </w:r>
      <w:r>
        <w:rPr>
          <w:color w:val="000000"/>
        </w:rPr>
        <w:t>”</w:t>
      </w:r>
      <w:r>
        <w:rPr>
          <w:rFonts w:ascii="Times New Roman;sans-serif" w:hAnsi="Times New Roman;sans-serif"/>
          <w:b w:val="false"/>
          <w:color w:val="000000"/>
          <w:sz w:val="22"/>
        </w:rPr>
        <w:t>) by filing a “Proceeds Realization Certificate” issued by the bank converting the proceeds with the SBP. The repatriated amounts cannot be credited to a foreign currency account. The Optionee should consult his or her personal advisor prior to repatriation of the sale proceeds to ensure compliance with applicable exchange control regulations in Pakistan, as such regulations are subject to frequent change. The Optionee is responsible for ensuring compliance with all exchange control laws in Pakistan.</w:t>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PANAMA</w:t>
      </w:r>
    </w:p>
    <w:p>
      <w:pPr>
        <w:pStyle w:val="TextBody"/>
        <w:spacing w:before="0" w:after="0"/>
        <w:rPr/>
      </w:pPr>
      <w:r>
        <w:rPr/>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01320"/>
                <wp:effectExtent l="0" t="0" r="0" b="0"/>
                <wp:wrapNone/>
                <wp:docPr id="95" name="Frame93"/>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33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33</w:t>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Neither the Options nor any shares of Common Stock that the Employee may acquire upon exercise of the Options constitute a public offering of securities, as they are available only to eligible employees of the Mondelēz Group.</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PERU</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jc w:val="both"/>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 contained in paragraph 12 of the Agreement:</w:t>
      </w:r>
    </w:p>
    <w:p>
      <w:pPr>
        <w:pStyle w:val="TextBody"/>
        <w:spacing w:lineRule="auto" w:line="240" w:before="0" w:after="240"/>
        <w:rPr/>
      </w:pPr>
      <w:r>
        <w:rPr>
          <w:rFonts w:ascii="Times New Roman;sans-serif" w:hAnsi="Times New Roman;sans-serif"/>
          <w:b w:val="false"/>
          <w:color w:val="000000"/>
          <w:sz w:val="22"/>
        </w:rPr>
        <w:t xml:space="preserve">By accepting the Option, the Optionee acknowledges, understands and agrees that the Option is being granted </w:t>
      </w:r>
      <w:r>
        <w:rPr>
          <w:rFonts w:ascii="Times New Roman;sans-serif" w:hAnsi="Times New Roman;sans-serif"/>
          <w:b w:val="false"/>
          <w:i/>
          <w:color w:val="000000"/>
          <w:sz w:val="22"/>
        </w:rPr>
        <w:t>ex gratia</w:t>
      </w:r>
      <w:r>
        <w:rPr>
          <w:color w:val="000000"/>
        </w:rPr>
        <w:t xml:space="preserve"> </w:t>
      </w:r>
      <w:r>
        <w:rPr>
          <w:rFonts w:ascii="Times New Roman;sans-serif" w:hAnsi="Times New Roman;sans-serif"/>
          <w:b w:val="false"/>
          <w:color w:val="000000"/>
          <w:sz w:val="22"/>
        </w:rPr>
        <w:t>to the Optionee.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The grant of Options is considered a private offering in Peru; therefore, it is not subject to registration. For more information concerning this offer, the Optionee should refer to the Plan, the Agreement and any other grant documents made available by the Company. For more information regarding the Company, the Optionee may refer to the Company’s most recent annual report on Form 10-K and quarterly report on Form 10-Q available at </w:t>
      </w:r>
      <w:r>
        <w:rPr>
          <w:rFonts w:ascii="Times New Roman;sans-serif" w:hAnsi="Times New Roman;sans-serif"/>
          <w:b w:val="false"/>
          <w:color w:val="000000"/>
          <w:sz w:val="22"/>
          <w:u w:val="single"/>
        </w:rPr>
        <w:t>www.sec.gov</w:t>
      </w:r>
      <w:r>
        <w:rPr>
          <w:rFonts w:ascii="Times New Roman;sans-serif" w:hAnsi="Times New Roman;sans-serif"/>
          <w:b w:val="false"/>
          <w:color w:val="000000"/>
          <w:sz w:val="22"/>
        </w:rPr>
        <w: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PHILIPPINES</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Cashless Exercise Restriction.</w:t>
      </w:r>
      <w:r>
        <w:rPr>
          <w:color w:val="000000"/>
        </w:rPr>
        <w:t xml:space="preserve"> </w:t>
      </w:r>
      <w:r>
        <w:rPr>
          <w:rFonts w:ascii="Times New Roman;sans-serif" w:hAnsi="Times New Roman;sans-serif"/>
          <w:b w:val="false"/>
          <w:color w:val="000000"/>
          <w:sz w:val="22"/>
        </w:rPr>
        <w:t>Notwithstanding anything to the contrary in the Agreement, due to regulatory requirements in the Philippines,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POLAND</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Polish residents who maintain bank or brokerage accounts holding cash and foreign securities (including 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PORTUGAL</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01320"/>
                <wp:effectExtent l="0" t="0" r="0" b="0"/>
                <wp:wrapNone/>
                <wp:docPr id="96" name="Frame94"/>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34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34</w:t>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 xml:space="preserve">Language Consent. </w:t>
      </w:r>
      <w:r>
        <w:rPr>
          <w:rFonts w:ascii="Times New Roman;sans-serif" w:hAnsi="Times New Roman;sans-serif"/>
          <w:b w:val="false"/>
          <w:color w:val="000000"/>
          <w:sz w:val="22"/>
        </w:rPr>
        <w:t>The Optionee hereby expressly declares that he or she has full knowledge of the English language and has read, understood and fully accepted and agreed with the terms and conditions established in the Plan and the Agreement.</w:t>
      </w:r>
    </w:p>
    <w:p>
      <w:pPr>
        <w:pStyle w:val="TextBody"/>
        <w:spacing w:lineRule="auto" w:line="240" w:before="0" w:after="240"/>
        <w:rPr/>
      </w:pPr>
      <w:r>
        <w:rPr>
          <w:rFonts w:ascii="Times New Roman;sans-serif" w:hAnsi="Times New Roman;sans-serif"/>
          <w:b/>
          <w:i/>
          <w:color w:val="000000"/>
          <w:sz w:val="22"/>
        </w:rPr>
        <w:t xml:space="preserve">Conhecimento da Lingua. </w:t>
      </w:r>
      <w:r>
        <w:rPr>
          <w:rFonts w:ascii="Times New Roman;sans-serif" w:hAnsi="Times New Roman;sans-serif"/>
          <w:b w:val="false"/>
          <w:i/>
          <w:color w:val="000000"/>
          <w:sz w:val="22"/>
        </w:rPr>
        <w:t>O Contratado, pelo presente instrumento, declara expressamente que tem pleno conhecimento da língua inglesa e que leu, compreendeu e livremente aceitou e concordou com os termos e condições estabelecidas no Plano e no Acordo de Atribuição (“Agreement” em inglês)</w:t>
      </w:r>
      <w:r>
        <w:rPr>
          <w:rFonts w:ascii="Times New Roman;sans-serif" w:hAnsi="Times New Roman;sans-serif"/>
          <w:b w:val="false"/>
          <w:color w:val="000000"/>
          <w:sz w:val="22"/>
        </w:rPr>
        <w:t xml:space="preserve">. </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Optionee acquires shares of Common Stock under the Plan and does not hold the shares of Common Stock with a Portuguese financial intermediary, he or she may need to file a report with the Portuguese Central Bank. If the shares of Common Stock are held by a Portuguese financial intermediary, it will file the report for the Optionee.</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PUERTO RICO</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There are no country specific provisions. </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ROMANIA</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Optionee deposits proceeds from the sale of Common Stock in a bank account in Romania, the Optionee may be required to provide the Romanian bank assisting with the transaction with appropriate documentation explaining the source of the income. The Optionee should consult with a personal legal advisor to determine whether the Optionee will be required to submit such documentation to the Romanian bank.</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RUSSIA</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0"/>
        <w:jc w:val="both"/>
        <w:rPr/>
      </w:pPr>
      <w:r>
        <w:rPr>
          <w:rFonts w:ascii="Times New Roman;sans-serif" w:hAnsi="Times New Roman;sans-serif"/>
          <w:b/>
          <w:color w:val="000000"/>
          <w:sz w:val="22"/>
        </w:rPr>
        <w:t xml:space="preserve">Exercise of Options. </w:t>
      </w:r>
      <w:r>
        <w:rPr>
          <w:rFonts w:ascii="Times New Roman;sans-serif" w:hAnsi="Times New Roman;sans-serif"/>
          <w:b w:val="false"/>
          <w:color w:val="000000"/>
          <w:sz w:val="22"/>
        </w:rPr>
        <w:t>This provision supplements Section 4 of the Agreement:</w:t>
      </w:r>
    </w:p>
    <w:p>
      <w:pPr>
        <w:pStyle w:val="TextBody"/>
        <w:spacing w:before="0" w:after="0"/>
        <w:jc w:val="both"/>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Depending on applicable restrictions then in effect, the Company has the sole discretion to postpone the vesting and/or the ability to exercise the Option, or to cancel such Option for no consideration.  The Optionee understands that no shares of Common Stock will be issued upon exercise of the Option if the Company, in its sole discretion, determines that such issuance would not comply with applicable laws and regulations in Russia.</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This Agreement, the Plan and all other materials that the Optionee may receive concerning the grant of the Option and the Optionee’s participation in the Plan do not constitute advertising or an offering of securities in Russia. The Common Stock to be issued upon exercise of the Option have not and will not be registered in Russia and, therefore, the Common Stock described in any Plan documents may not be offered or placed in public circulation in Russia. In no event will Common Stock to be issued upon exercise of the Option be delivered to the Optionee in Russia. All Common Stock acquired under the Plan will be maintained on the Optionee’s behalf outside of Russia. The Optionee will not be permitted to sell Common Stock directly to a Russian legal entity or resident.</w:t>
      </w:r>
    </w:p>
    <w:p>
      <w:pPr>
        <w:pStyle w:val="TextBody"/>
        <w:spacing w:lineRule="auto" w:line="240" w:before="0" w:after="240"/>
        <w:rPr/>
      </w:pPr>
      <w:r>
        <w:rPr>
          <w:rFonts w:ascii="Times New Roman;sans-serif" w:hAnsi="Times New Roman;sans-serif"/>
          <w:b/>
          <w:color w:val="000000"/>
          <w:sz w:val="22"/>
        </w:rPr>
        <w:t>Cashless Exercise Provision</w:t>
      </w:r>
      <w:r>
        <w:rPr>
          <w:rFonts w:ascii="Times New Roman;sans-serif" w:hAnsi="Times New Roman;sans-serif"/>
          <w:b w:val="false"/>
          <w:color w:val="000000"/>
          <w:sz w:val="22"/>
        </w:rPr>
        <w:t>. Notwithstanding anything to the contrary in the Agreement, depending on the development of local regulatory requirements, the Company reserves the right to restrict the Optionee to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01320"/>
                <wp:effectExtent l="0" t="0" r="0" b="0"/>
                <wp:wrapNone/>
                <wp:docPr id="97" name="Frame95"/>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35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35</w:t>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Data Privacy.</w:t>
      </w:r>
      <w:r>
        <w:rPr>
          <w:color w:val="000000"/>
        </w:rPr>
        <w:t xml:space="preserve"> </w:t>
      </w:r>
      <w:r>
        <w:rPr>
          <w:rFonts w:ascii="Times New Roman;sans-serif" w:hAnsi="Times New Roman;sans-serif"/>
          <w:b w:val="false"/>
          <w:color w:val="000000"/>
          <w:sz w:val="22"/>
        </w:rPr>
        <w:t>The following provision supplements paragraph 13 of the Agreement:</w:t>
      </w:r>
    </w:p>
    <w:p>
      <w:pPr>
        <w:pStyle w:val="TextBody"/>
        <w:spacing w:lineRule="auto" w:line="240" w:before="0" w:after="240"/>
        <w:rPr/>
      </w:pPr>
      <w:r>
        <w:rPr>
          <w:rFonts w:ascii="Times New Roman;sans-serif" w:hAnsi="Times New Roman;sans-serif"/>
          <w:b w:val="false"/>
          <w:color w:val="000000"/>
          <w:sz w:val="22"/>
        </w:rPr>
        <w:t>The Optionee understands and agrees that he or she must complete and return a Consent to Processing of Personal Data (the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form to the Company. Further, the Optionee understands and agrees that if the Optionee does not complete and return a Consent form to the Company, the Company will not be able to grant Options to the Optionee or other Grants or administer or maintain such Grants. Finally, the Optionee understands that the Company has no obligation to substitute other forms of Grants or compensation in lieu of the Options if the Optionee fails to complete and return the Consent. Therefore, the Optionee understands that refusing to complete a Consent form or withdrawing his or her consent may affect the Optionee’s ability to participate in the Plan.</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Palatino;serif" w:hAnsi="Palatino;serif"/>
          <w:b w:val="false"/>
          <w:color w:val="000000"/>
          <w:sz w:val="22"/>
        </w:rPr>
        <w:t>The Optionee</w:t>
      </w:r>
      <w:r>
        <w:rPr>
          <w:color w:val="000000"/>
        </w:rPr>
        <w:t xml:space="preserve"> </w:t>
      </w:r>
      <w:r>
        <w:rPr>
          <w:rFonts w:ascii="Times New Roman;sans-serif" w:hAnsi="Times New Roman;sans-serif"/>
          <w:b w:val="false"/>
          <w:color w:val="000000"/>
          <w:sz w:val="22"/>
        </w:rPr>
        <w:t>is responsible for complying with any and all Russian foreign exchange control requirements in connection with the</w:t>
      </w:r>
      <w:r>
        <w:rPr>
          <w:color w:val="000000"/>
        </w:rPr>
        <w:t xml:space="preserve"> </w:t>
      </w:r>
      <w:r>
        <w:rPr>
          <w:rFonts w:ascii="Palatino;serif" w:hAnsi="Palatino;serif"/>
          <w:b w:val="false"/>
          <w:color w:val="000000"/>
          <w:sz w:val="22"/>
        </w:rPr>
        <w:t>Option, any s</w:t>
      </w:r>
      <w:r>
        <w:rPr>
          <w:rFonts w:ascii="Times New Roman;sans-serif" w:hAnsi="Times New Roman;sans-serif"/>
          <w:b w:val="false"/>
          <w:color w:val="000000"/>
          <w:sz w:val="22"/>
        </w:rPr>
        <w:t>hares</w:t>
      </w:r>
      <w:r>
        <w:rPr>
          <w:color w:val="000000"/>
        </w:rPr>
        <w:t xml:space="preserve"> </w:t>
      </w:r>
      <w:r>
        <w:rPr>
          <w:rFonts w:ascii="Palatino;serif" w:hAnsi="Palatino;serif"/>
          <w:b w:val="false"/>
          <w:color w:val="000000"/>
          <w:sz w:val="22"/>
        </w:rPr>
        <w:t>of Common Stock</w:t>
      </w:r>
      <w:r>
        <w:rPr>
          <w:color w:val="000000"/>
        </w:rPr>
        <w:t xml:space="preserve"> </w:t>
      </w:r>
      <w:r>
        <w:rPr>
          <w:rFonts w:ascii="Times New Roman;sans-serif" w:hAnsi="Times New Roman;sans-serif"/>
          <w:b w:val="false"/>
          <w:color w:val="000000"/>
          <w:sz w:val="22"/>
        </w:rPr>
        <w:t xml:space="preserve">acquired and funds remitted into Russia in connection with the Plan. This may include, in certain circumstances, reporting and repatriation requirements. The foreign exchange control rules and regulations in Russia are subject to frequent change. </w:t>
      </w:r>
      <w:r>
        <w:rPr>
          <w:rFonts w:ascii="Palatino;serif" w:hAnsi="Palatino;serif"/>
          <w:b w:val="false"/>
          <w:color w:val="000000"/>
          <w:sz w:val="22"/>
        </w:rPr>
        <w:t>The Optionee</w:t>
      </w:r>
      <w:r>
        <w:rPr>
          <w:color w:val="000000"/>
        </w:rPr>
        <w:t xml:space="preserve"> </w:t>
      </w:r>
      <w:r>
        <w:rPr>
          <w:rFonts w:ascii="Times New Roman;sans-serif" w:hAnsi="Times New Roman;sans-serif"/>
          <w:b w:val="false"/>
          <w:color w:val="000000"/>
          <w:sz w:val="22"/>
        </w:rPr>
        <w:t xml:space="preserve">should contact their personal advisor to determine applicability of all repatriation, remittance or other exchange control requirements to ensure compliance with all applicable exchange control requirements prior to exercise of the </w:t>
      </w:r>
      <w:r>
        <w:rPr>
          <w:rFonts w:ascii="Palatino;serif" w:hAnsi="Palatino;serif"/>
          <w:b w:val="false"/>
          <w:color w:val="000000"/>
          <w:sz w:val="22"/>
        </w:rPr>
        <w:t>Option and/or selling s</w:t>
      </w:r>
      <w:r>
        <w:rPr>
          <w:rFonts w:ascii="Times New Roman;sans-serif" w:hAnsi="Times New Roman;sans-serif"/>
          <w:b w:val="false"/>
          <w:color w:val="000000"/>
          <w:sz w:val="22"/>
        </w:rPr>
        <w:t>hares</w:t>
      </w:r>
      <w:r>
        <w:rPr>
          <w:color w:val="000000"/>
        </w:rPr>
        <w:t xml:space="preserve"> </w:t>
      </w:r>
      <w:r>
        <w:rPr>
          <w:rFonts w:ascii="Palatino;serif" w:hAnsi="Palatino;serif"/>
          <w:b w:val="false"/>
          <w:color w:val="000000"/>
          <w:sz w:val="22"/>
        </w:rPr>
        <w:t>of Common Stock</w:t>
      </w:r>
      <w:r>
        <w:rPr>
          <w:rFonts w:ascii="Times New Roman;sans-serif" w:hAnsi="Times New Roman;sans-serif"/>
          <w:b w:val="false"/>
          <w:color w:val="000000"/>
          <w:sz w:val="22"/>
        </w:rPr>
        <w:t>.</w:t>
      </w:r>
    </w:p>
    <w:p>
      <w:pPr>
        <w:pStyle w:val="TextBody"/>
        <w:spacing w:lineRule="auto" w:line="240" w:before="0" w:after="240"/>
        <w:rPr/>
      </w:pPr>
      <w:r>
        <w:rPr>
          <w:rFonts w:ascii="Times New Roman;sans-serif" w:hAnsi="Times New Roman;sans-serif"/>
          <w:b/>
          <w:color w:val="000000"/>
          <w:sz w:val="22"/>
        </w:rPr>
        <w:t xml:space="preserve">Labor Law Information. </w:t>
      </w:r>
      <w:r>
        <w:rPr>
          <w:rFonts w:ascii="Times New Roman;sans-serif" w:hAnsi="Times New Roman;sans-serif"/>
          <w:b w:val="false"/>
          <w:color w:val="000000"/>
          <w:sz w:val="22"/>
        </w:rPr>
        <w:t xml:space="preserve">If the Optionee continues to hold shares of Common Stock acquired at exercise of the Option after an involuntary termination of the Optionee’s employment, the Optionee will not be eligible to receive unemployment benefits in Russia. </w:t>
      </w:r>
    </w:p>
    <w:p>
      <w:pPr>
        <w:pStyle w:val="TextBody"/>
        <w:spacing w:lineRule="auto" w:line="240" w:before="0" w:after="240"/>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Russian residents are required to report the opening, closing or change of details of any 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assets (including Common Stock) transactions in offshore accounts. </w:t>
      </w:r>
      <w:r>
        <w:rPr>
          <w:rFonts w:ascii="Times New Roman;sans-serif" w:hAnsi="Times New Roman;sans-serif"/>
          <w:b w:val="false"/>
          <w:color w:val="000000"/>
          <w:sz w:val="22"/>
          <w:highlight w:val="white"/>
        </w:rPr>
        <w:t xml:space="preserve">Non-compliance with the reporting obligations could impact the </w:t>
      </w:r>
      <w:r>
        <w:rPr>
          <w:rFonts w:ascii="Times New Roman;sans-serif" w:hAnsi="Times New Roman;sans-serif"/>
          <w:b w:val="false"/>
          <w:color w:val="000000"/>
          <w:sz w:val="22"/>
        </w:rPr>
        <w:t>Employee’s</w:t>
      </w:r>
      <w:r>
        <w:rPr>
          <w:color w:val="000000"/>
          <w:highlight w:val="white"/>
        </w:rPr>
        <w:t xml:space="preserve"> </w:t>
      </w:r>
      <w:r>
        <w:rPr>
          <w:rFonts w:ascii="Times New Roman;sans-serif" w:hAnsi="Times New Roman;sans-serif"/>
          <w:b w:val="false"/>
          <w:color w:val="000000"/>
          <w:sz w:val="22"/>
          <w:highlight w:val="white"/>
        </w:rPr>
        <w:t xml:space="preserve">ability to vest, receive shares of Common Stock pursuant to </w:t>
      </w:r>
      <w:r>
        <w:rPr>
          <w:rFonts w:ascii="Times New Roman;sans-serif" w:hAnsi="Times New Roman;sans-serif"/>
          <w:b w:val="false"/>
          <w:color w:val="000000"/>
          <w:sz w:val="22"/>
        </w:rPr>
        <w:t>the Option</w:t>
      </w:r>
      <w:r>
        <w:rPr>
          <w:rFonts w:ascii="Times New Roman;sans-serif" w:hAnsi="Times New Roman;sans-serif"/>
          <w:b w:val="false"/>
          <w:color w:val="000000"/>
          <w:sz w:val="22"/>
          <w:highlight w:val="white"/>
        </w:rPr>
        <w:t xml:space="preserve">, maintain the account outside of Russia and participate in the Plan. </w:t>
      </w:r>
      <w:r>
        <w:rPr>
          <w:rFonts w:ascii="Times New Roman;sans-serif" w:hAnsi="Times New Roman;sans-serif"/>
          <w:b w:val="false"/>
          <w:color w:val="000000"/>
          <w:sz w:val="22"/>
        </w:rPr>
        <w:t>The Optionee should consult with their personal legal advisor to determine the applicability of these reporting requirements to any brokerage account opened in connection with participation in the Plan.</w:t>
      </w:r>
    </w:p>
    <w:p>
      <w:pPr>
        <w:pStyle w:val="TextBody"/>
        <w:spacing w:lineRule="auto" w:line="240" w:before="0" w:after="240"/>
        <w:rPr/>
      </w:pPr>
      <w:r>
        <w:rPr>
          <w:rFonts w:ascii="Times New Roman;sans-serif" w:hAnsi="Times New Roman;sans-serif"/>
          <w:b/>
          <w:color w:val="000000"/>
          <w:sz w:val="22"/>
        </w:rPr>
        <w:t>Anti-Corruption Information</w:t>
      </w:r>
      <w:r>
        <w:rPr>
          <w:rFonts w:ascii="Times New Roman;sans-serif" w:hAnsi="Times New Roman;sans-serif"/>
          <w:b w:val="false"/>
          <w:color w:val="000000"/>
          <w:sz w:val="22"/>
        </w:rPr>
        <w:t>. Anti-corruption laws prohibit certain public servants, their spouses and their dependent children from owning any foreign source financial instruments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foreign companies such as the Company). Accordingly, the Optionee should inform the Company if the Optionee is covered by these laws because the Optionee should not hold shares of Common Stock acquired under the Plan.</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SERBIA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Pursuant to the Law on Foreign Exchange Transactions, the Optionee is permitted to acquire shares of Common Stock under the Plan</w:t>
      </w:r>
      <w:r>
        <w:rPr>
          <w:color w:val="000000"/>
        </w:rPr>
        <w:t xml:space="preserve"> </w:t>
      </w:r>
      <w:r>
        <w:rPr>
          <w:rFonts w:ascii="Times New Roman;sans-serif" w:hAnsi="Times New Roman;sans-serif"/>
          <w:b w:val="false"/>
          <w:color w:val="000000"/>
          <w:sz w:val="22"/>
        </w:rPr>
        <w:t>and hold the shares and any proceeds from the sale of shares of Common Stock in a U.S. brokerage account or other foreign brokerage account. However, the Optionee needs permission from the National Bank of Serbia to hold any proceeds from the sale of shares of Common Stock in an offshore bank account. Because the exchange control regulations in Serbia may change without notice, the Optionee should consult with his or her personal advisor to ensure compliance with applicable exchange control laws.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SINGAPORE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401320"/>
                <wp:effectExtent l="0" t="0" r="0" b="0"/>
                <wp:wrapNone/>
                <wp:docPr id="98" name="Frame96"/>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36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36</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Sale Restriction. </w:t>
      </w:r>
      <w:r>
        <w:rPr>
          <w:rFonts w:ascii="Times New Roman;sans-serif" w:hAnsi="Times New Roman;sans-serif"/>
          <w:b w:val="false"/>
          <w:color w:val="000000"/>
          <w:sz w:val="22"/>
        </w:rPr>
        <w:t>The Optionee agrees that any shares of Common Stock acquired pursuant to the Option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grant of the Option is being made pursuant to the “Qualifying Person” exemption under section 273(1)(f) of the SFA and is not made to the Optionee with a view to the Option being subsequently offered for sale to any other party. The Plan has not been lodged or registered as a prospectus with the Monetary Authority of Singapore.</w:t>
      </w:r>
    </w:p>
    <w:p>
      <w:pPr>
        <w:pStyle w:val="TextBody"/>
        <w:spacing w:lineRule="auto" w:line="240" w:before="0" w:after="240"/>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The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Options, shares of Common Stock, etc.) in the Company or any related companies within two business days of (i) its acquisition or disposal, (ii) any change in a previously disclosed interest (</w:t>
      </w:r>
      <w:r>
        <w:rPr>
          <w:rFonts w:ascii="Times New Roman;sans-serif" w:hAnsi="Times New Roman;sans-serif"/>
          <w:b w:val="false"/>
          <w:i/>
          <w:color w:val="000000"/>
          <w:sz w:val="22"/>
        </w:rPr>
        <w:t>e.g.,</w:t>
      </w:r>
      <w:r>
        <w:rPr>
          <w:color w:val="000000"/>
        </w:rPr>
        <w:t xml:space="preserve"> </w:t>
      </w:r>
      <w:r>
        <w:rPr>
          <w:rFonts w:ascii="Times New Roman;sans-serif" w:hAnsi="Times New Roman;sans-serif"/>
          <w:b w:val="false"/>
          <w:color w:val="000000"/>
          <w:sz w:val="22"/>
        </w:rPr>
        <w:t>when the shares of Common Stock are sold), or (iii) becoming a director, associate director or shadow director. If the Optionee is the chief executive officer (“CEO”) of a Singapore subsidiary or affiliate and the above notification requirements are determined to apply to the CEO of a Singapore subsidiary or affiliate, the above notification requirements also may apply to the Optionee.</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SLOVAK REPUBLIC</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SLOVENIA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Slovenian residents may be required to report the opening of bank and/or brokerage accounts to tax authorities within eight (8) days of opening such account. The Optionee should consult with his or her personal tax advisor to determine whether this requirement will be applicable to any accounts opened in connection with the Optionee’s participation in the Plan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Optionee’s brokerage account with the Company’s designated broker).</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SOUTH AFRICA</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Securities Law Notice</w:t>
      </w:r>
      <w:r>
        <w:rPr>
          <w:rFonts w:ascii="Times New Roman;sans-serif" w:hAnsi="Times New Roman;sans-serif"/>
          <w:b w:val="false"/>
          <w:color w:val="000000"/>
          <w:sz w:val="22"/>
        </w:rPr>
        <w:t>. In compliance with South African Securities Law, the documents listed below are available for the Optionee’s review on the Company's public site or intranet site, as applicable, as listed below:</w:t>
      </w:r>
    </w:p>
    <w:p>
      <w:pPr>
        <w:pStyle w:val="TextBody"/>
        <w:spacing w:lineRule="auto" w:line="240" w:before="0" w:after="240"/>
        <w:ind w:left="0" w:right="0" w:hanging="360"/>
        <w:rPr/>
      </w:pPr>
      <w:r>
        <w:rPr>
          <w:rFonts w:ascii="Palatino;serif" w:hAnsi="Palatino;serif"/>
          <w:b w:val="false"/>
          <w:color w:val="000000"/>
          <w:sz w:val="22"/>
        </w:rPr>
        <w:t>1.</w:t>
      </w:r>
      <w:r>
        <w:rPr>
          <w:rFonts w:ascii="Times New Roman;sans-serif" w:hAnsi="Times New Roman;sans-serif"/>
          <w:b w:val="false"/>
          <w:color w:val="000000"/>
          <w:sz w:val="22"/>
        </w:rPr>
        <w:t xml:space="preserve">The Company’s most recent Annual Report (Form 10-K): from the investor relations section of the Company's website at </w:t>
      </w:r>
      <w:r>
        <w:rPr>
          <w:rFonts w:ascii="Times New Roman;sans-serif" w:hAnsi="Times New Roman;sans-serif"/>
          <w:b w:val="false"/>
          <w:color w:val="000000"/>
          <w:sz w:val="22"/>
          <w:u w:val="single"/>
        </w:rPr>
        <w:t>http://www.mondelezinternational.com/investors</w:t>
      </w:r>
      <w:r>
        <w:rPr>
          <w:rFonts w:ascii="Times New Roman;sans-serif" w:hAnsi="Times New Roman;sans-serif"/>
          <w:b w:val="false"/>
          <w:color w:val="000000"/>
          <w:sz w:val="22"/>
        </w:rPr>
        <w:t>.</w:t>
      </w:r>
    </w:p>
    <w:p>
      <w:pPr>
        <w:pStyle w:val="TextBody"/>
        <w:spacing w:lineRule="auto" w:line="240" w:before="0" w:after="240"/>
        <w:ind w:left="0" w:right="0" w:hanging="360"/>
        <w:rPr/>
      </w:pPr>
      <w:r>
        <w:rPr>
          <w:rFonts w:ascii="Palatino;serif" w:hAnsi="Palatino;serif"/>
          <w:b w:val="false"/>
          <w:color w:val="000000"/>
          <w:sz w:val="22"/>
        </w:rPr>
        <w:t>2.</w:t>
      </w:r>
      <w:r>
        <w:rPr>
          <w:rFonts w:ascii="Times New Roman;sans-serif" w:hAnsi="Times New Roman;sans-serif"/>
          <w:b w:val="false"/>
          <w:color w:val="000000"/>
          <w:sz w:val="22"/>
        </w:rPr>
        <w:t>The Company’s most recent Plan prospectus: a copy of which can be found on the Company’s Intranet site located at: https://intranet.mdlz.com/sites/globalhr/comp/Pages/Legal-Documents.aspx.</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The Optionee acknowledges that he or she may have copies of the above documents sent to him or her, at no charge, on written request being mailed to Corporate Secretary, Mondelēz International, Inc., 905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01320"/>
                <wp:effectExtent l="0" t="0" r="0" b="0"/>
                <wp:wrapNone/>
                <wp:docPr id="99" name="Frame97"/>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37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37</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West Fulton Market, Suite 200, Chicago, Illinois 60607, U.S.A. The telephone number at the executive offices is +1 847-943-4000.</w:t>
      </w:r>
    </w:p>
    <w:p>
      <w:pPr>
        <w:pStyle w:val="TextBody"/>
        <w:spacing w:lineRule="auto" w:line="240" w:before="0" w:after="240"/>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 xml:space="preserve">The following provision supplements paragraph 4 of the Agreement: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By accepting the Option, the Optionee understands and acknowledges that he or she is required to notify the Employer of the amount of any gain realized upon exercise of the Option.</w:t>
      </w:r>
    </w:p>
    <w:p>
      <w:pPr>
        <w:pStyle w:val="TextBody"/>
        <w:spacing w:lineRule="auto" w:line="240" w:before="0" w:after="240"/>
        <w:rPr/>
      </w:pPr>
      <w:r>
        <w:rPr>
          <w:rFonts w:ascii="Times New Roman;sans-serif" w:hAnsi="Times New Roman;sans-serif"/>
          <w:b/>
          <w:color w:val="000000"/>
          <w:sz w:val="22"/>
        </w:rPr>
        <w:t xml:space="preserve">Exchange Control Obligations. </w:t>
      </w:r>
      <w:r>
        <w:rPr>
          <w:rFonts w:ascii="Times New Roman;sans-serif" w:hAnsi="Times New Roman;sans-serif"/>
          <w:b w:val="false"/>
          <w:color w:val="000000"/>
          <w:sz w:val="22"/>
        </w:rPr>
        <w:t>The Optionee is solely responsible for complying with applicable South African exchange control regulations. Since the exchange control regulations change frequently and without notice, the Optionee should consult his or her legal advisor prior to the acquisition or sale of the shares of Common Stock under the Plan to ensure compliance with current regulations. As noted, it is the Optionee’s responsibility to comply with South African exchange control laws, and neither the Company nor the Employer will be liable for any fines or penalties resulting from failure to comply with applicable laws.</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Tax Clearance Certificate for Cash Exercises. </w:t>
      </w:r>
      <w:r>
        <w:rPr>
          <w:rFonts w:ascii="Times New Roman;sans-serif" w:hAnsi="Times New Roman;sans-serif"/>
          <w:b w:val="false"/>
          <w:color w:val="000000"/>
          <w:sz w:val="22"/>
        </w:rPr>
        <w:t>If the Optionee exercises the Option by a cash purchase exercise, the Optionee is required to obtain and provide to the Employer, or any third party designated by the Employer or the Company, a Tax Clearance Certificate (with respect to Foreign Investments) bearing the official stamp and signature of the Exchange Control Department of the South African Revenue Service (“</w:t>
      </w:r>
      <w:r>
        <w:rPr>
          <w:rFonts w:ascii="Times New Roman;sans-serif" w:hAnsi="Times New Roman;sans-serif"/>
          <w:b w:val="false"/>
          <w:color w:val="000000"/>
          <w:sz w:val="22"/>
          <w:u w:val="single"/>
        </w:rPr>
        <w:t>SARS</w:t>
      </w:r>
      <w:r>
        <w:rPr>
          <w:color w:val="000000"/>
        </w:rPr>
        <w:t>”</w:t>
      </w:r>
      <w:r>
        <w:rPr>
          <w:rFonts w:ascii="Times New Roman;sans-serif" w:hAnsi="Times New Roman;sans-serif"/>
          <w:b w:val="false"/>
          <w:color w:val="000000"/>
          <w:sz w:val="22"/>
        </w:rPr>
        <w:t xml:space="preserve">). The Optionee must renew this Tax Clearance Certificate each twelve (12) months or in such other period as may be required by the SARS.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If the Optionee exercises the Option by a cashless exercise whereby no funds are remitted offshore for the purchase of shares, he or she is not required to obtain a Tax Clearance Certificate. </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Under current South African exchange control policy, if the Optionee is a South African resident, he or she may invest a maximum of ZAR11,000,000 per annum in offshore investments, including in shares of Common Stock. The first ZAR1,000,000 annual discretionary allowance requires no prior authorization. The next ZAR10,000,000 requires tax clearance. This limit does not apply to non-resident employees. It is the Optionee’s responsibility to ensure that he or she does not exceed this limit and obtains the necessary tax clearance for remittances exceeding ZAR1,000,000. This limit is a cumulative allowance; therefore, the Optionee’s ability to remit funds for the exercise of an Option will be reduced if the Optionee’s foreign investment limit is utilized to make a transfer of funds offshore that is unrelated to the Option. If the ZAR11,000,000 limit will be exceeded as a result of an Option exercise, the Optionee may still exercise the Option and participate in the Plan, however the Optionee will be required to immediately sell the shares of Common Stock underlying the exercised Option and repatriate the proceeds to South Africa. If the ZAR11,000,000 limit is not exceeded, the Optionee will not be required to immediately repatriate the sale proceeds to South Africa.</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SOUTH KOREA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If the Optionee remits funds out of South Korea to pay the Grant Price for Options, the remittance of funds must be confirmed by a foreign exchange bank in South Korea. This confirmation is not necessary if the Optionee pays the Grant Price through an arrangement with a broker approved by the Company whereby payment of the Grant Price is accomplished with the proceeds of the sale of shares of Common Stock, because in this case there is no remittance of funds out of South Korea. </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South Korean residents must declare all foreign financial accounts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non-South Korean bank accounts, brokerage accounts, etc.) to the South Korean tax authority and file a report with respect to such accounts if the value of such accounts exceeds KRW 500 million (or an equivalent amount in foreign currency) on any month-end date during a calendar year. The Optionee should consult with his or her personal tax advisor to determine how to value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401320"/>
                <wp:effectExtent l="0" t="0" r="0" b="0"/>
                <wp:wrapNone/>
                <wp:docPr id="100" name="Frame98"/>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38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38</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Optionee’s foreign accounts for purposes of this reporting requirement and whether the Optionee is required to file a report with respect to such accounts.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SPAIN</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Nature of Grant. </w:t>
      </w:r>
      <w:r>
        <w:rPr>
          <w:rFonts w:ascii="Times New Roman;sans-serif" w:hAnsi="Times New Roman;sans-serif"/>
          <w:b w:val="false"/>
          <w:color w:val="000000"/>
          <w:sz w:val="22"/>
        </w:rPr>
        <w:t>The following provision supplements paragraph 12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accepting the Option, the Optionee consents to participation in the Plan and acknowledges that he or she has received a copy of the Plan.</w:t>
      </w:r>
    </w:p>
    <w:p>
      <w:pPr>
        <w:pStyle w:val="TextBody"/>
        <w:spacing w:lineRule="auto" w:line="240" w:before="0" w:after="0"/>
        <w:jc w:val="both"/>
        <w:rPr>
          <w:rFonts w:ascii="Times;sans-serif" w:hAnsi="Times;sans-serif"/>
          <w:b w:val="false"/>
          <w:color w:val="000000"/>
          <w:sz w:val="24"/>
        </w:rPr>
      </w:pPr>
      <w:r>
        <w:rPr>
          <w:rFonts w:ascii="Times;sans-serif" w:hAnsi="Times;sans-serif"/>
          <w:b w:val="false"/>
          <w:color w:val="000000"/>
          <w:sz w:val="24"/>
        </w:rPr>
        <w:t xml:space="preserve">The Optionee understands and agrees that, as a condition of the grant of the Option, except as provided for in paragraph 2 of the Agreement, the termination of the Optionee’s employment for any reason (including for the reasons listed below) will automatically result in the loss of the Option that may have been granted to the Optionee and that have not vested on the date of termination. </w:t>
      </w:r>
    </w:p>
    <w:p>
      <w:pPr>
        <w:pStyle w:val="TextBody"/>
        <w:spacing w:before="0" w:after="0"/>
        <w:jc w:val="both"/>
        <w:rPr/>
      </w:pPr>
      <w:r>
        <w:rPr/>
      </w:r>
    </w:p>
    <w:p>
      <w:pPr>
        <w:pStyle w:val="TextBody"/>
        <w:spacing w:lineRule="auto" w:line="240" w:before="0" w:after="0"/>
        <w:jc w:val="both"/>
        <w:rPr/>
      </w:pPr>
      <w:r>
        <w:rPr>
          <w:rFonts w:ascii="Times;sans-serif" w:hAnsi="Times;sans-serif"/>
          <w:b w:val="false"/>
          <w:color w:val="000000"/>
          <w:sz w:val="24"/>
        </w:rPr>
        <w:t>In particular, the Optionee understands and agrees that any unvested Option as of Opti</w:t>
      </w:r>
      <w:r>
        <w:rPr>
          <w:rFonts w:ascii="Times New Roman;sans-serif" w:hAnsi="Times New Roman;sans-serif"/>
          <w:b w:val="false"/>
          <w:color w:val="000000"/>
          <w:sz w:val="22"/>
        </w:rPr>
        <w:t>onee’s termination date and any vested Option not exercised within the period set forth in the Agreement following Optionee’s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subject to a “</w:t>
      </w:r>
      <w:r>
        <w:rPr>
          <w:rFonts w:ascii="Times New Roman;sans-serif" w:hAnsi="Times New Roman;sans-serif"/>
          <w:b w:val="false"/>
          <w:i/>
          <w:color w:val="000000"/>
          <w:sz w:val="22"/>
        </w:rPr>
        <w:t>despido improcedente</w:t>
      </w:r>
      <w:r>
        <w:rPr>
          <w:color w:val="000000"/>
        </w:rPr>
        <w:t>”</w:t>
      </w:r>
      <w:r>
        <w:rPr>
          <w:rFonts w:ascii="Times New Roman;sans-serif" w:hAnsi="Times New Roman;sans-serif"/>
          <w:b w:val="false"/>
          <w:color w:val="000000"/>
          <w:sz w:val="22"/>
        </w:rPr>
        <w:t xml:space="preserv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spacing w:before="0" w:after="0"/>
        <w:jc w:val="both"/>
        <w:rPr/>
      </w:pPr>
      <w:r>
        <w:rPr/>
      </w:r>
    </w:p>
    <w:p>
      <w:pPr>
        <w:pStyle w:val="TextBody"/>
        <w:spacing w:lineRule="auto" w:line="240" w:before="0" w:after="0"/>
        <w:jc w:val="both"/>
        <w:rPr>
          <w:rFonts w:ascii="Times;sans-serif" w:hAnsi="Times;sans-serif"/>
          <w:b w:val="false"/>
          <w:color w:val="000000"/>
          <w:sz w:val="24"/>
        </w:rPr>
      </w:pPr>
      <w:r>
        <w:rPr>
          <w:rFonts w:ascii="Times;sans-serif" w:hAnsi="Times;sans-serif"/>
          <w:b w:val="false"/>
          <w:color w:val="000000"/>
          <w:sz w:val="24"/>
        </w:rPr>
        <w:t xml:space="preserve">Furthermore, the Optionee understands that the Company has unilaterally, gratuitously and discretionally decided to grant the Option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Optionee understands that the Option is granted on the assumption and condition that the Option and the shares of Common Stock issued upon exercise shall not become a part of any employment or contract (with the Mondelēz Group, including the Employer) and shall not be considered a mandatory benefit, salary for any purposes (including severance compensation) or any other right whatsoever. Furthermore, the Optionee understands and freely accepts that there is no guarantee that any benefit whatsoever will arise from the Option, which is gratuitous and discretionary, since the future value of the Option and the underlying shares of Common Stock is unknown and unpredictable. In addition, the Optionee understands that the grant of the Option would not be made to the Optionee but for the assumptions and conditions referred to above; thus, the Optionee acknowledges and freely accepts that should any or all of the assumptions be mistaken or should any of the conditions not be met for any reason, then any grant to the Optionee of the Option shall be null and void.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2"/>
        </w:rPr>
        <w:t>NOTIFICATIONS</w:t>
      </w:r>
      <w:r>
        <w:rPr>
          <w:color w:val="00000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No "offer of securities to the public",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2"/>
        </w:rPr>
        <w:t>Comisión Nacional del Mercado de Valores</w:t>
      </w:r>
      <w:r>
        <w:rPr>
          <w:rFonts w:ascii="Times New Roman;sans-serif" w:hAnsi="Times New Roman;sans-serif"/>
          <w:b w:val="false"/>
          <w:color w:val="000000"/>
          <w:sz w:val="22"/>
        </w:rPr>
        <w:t>, and does not constitute a public offering prospectus.</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401320"/>
                <wp:effectExtent l="0" t="0" r="0" b="0"/>
                <wp:wrapNone/>
                <wp:docPr id="101" name="Frame99"/>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39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39</w:t>
                      </w:r>
                    </w:p>
                    <w:p>
                      <w:pPr>
                        <w:pStyle w:val="TextBody"/>
                        <w:spacing w:before="0" w:after="0"/>
                        <w:rPr/>
                      </w:pPr>
                      <w:r>
                        <w:rPr/>
                      </w:r>
                    </w:p>
                  </w:txbxContent>
                </v:textbox>
              </v:rect>
            </w:pict>
          </mc:Fallback>
        </mc:AlternateContent>
      </w:r>
    </w:p>
    <w:p>
      <w:pPr>
        <w:pStyle w:val="TextBody"/>
        <w:spacing w:lineRule="auto" w:line="240" w:before="0" w:after="0"/>
        <w:jc w:val="both"/>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If the Optionee holds 10% or more of the Company’s share capital, the Optionee must declare the acquisition, ownership and disposition of shares of Common Stock to the Spanish Dirección General de Comercio e Inversiones (the “DGCI”) of the Ministry of Economy and Competitiveness. </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Optionee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Optionee by the Company) depending on the value of such accounts and instruments and the amount of the transactions during the relevant year as of December 31 of the relevant year.</w:t>
      </w:r>
    </w:p>
    <w:p>
      <w:pPr>
        <w:pStyle w:val="TextBody"/>
        <w:spacing w:before="0" w:after="0"/>
        <w:rPr/>
      </w:pPr>
      <w:r>
        <w:rPr/>
      </w:r>
    </w:p>
    <w:p>
      <w:pPr>
        <w:pStyle w:val="TextBody"/>
        <w:spacing w:lineRule="auto" w:line="240" w:before="0" w:after="0"/>
        <w:jc w:val="both"/>
        <w:rPr/>
      </w:pPr>
      <w:r>
        <w:rPr>
          <w:rFonts w:ascii="Times New Roman;sans-serif" w:hAnsi="Times New Roman;sans-serif"/>
          <w:b/>
          <w:color w:val="000000"/>
          <w:sz w:val="22"/>
        </w:rPr>
        <w:t>Foreign Asset/Accounting Reporting Information</w:t>
      </w:r>
      <w:r>
        <w:rPr>
          <w:rFonts w:ascii="Times New Roman;sans-serif" w:hAnsi="Times New Roman;sans-serif"/>
          <w:b w:val="false"/>
          <w:color w:val="000000"/>
          <w:sz w:val="22"/>
        </w:rPr>
        <w:t>. If the Optionee holds rights or assets (e.g., shares of Common Stock or cash held in a bank or brokerage account) outside Spain with a value in excess of €50,000 per type of right or asset (e.g., shares of Common Stock, cash, etc.) as of December 31 each year, the Optionee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Optionee should consult his or her personal tax advisor for details regarding this requirement.</w:t>
      </w:r>
    </w:p>
    <w:p>
      <w:pPr>
        <w:pStyle w:val="TextBody"/>
        <w:spacing w:before="0" w:after="0"/>
        <w:rPr/>
      </w:pPr>
      <w:r>
        <w:rPr/>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SWAZILAND</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before="0" w:after="0"/>
        <w:rPr/>
      </w:pPr>
      <w:r>
        <w:rPr/>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SWEDEN</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4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Without limiting the Company’s and the Employer’s authority to satisfy their withholding obligations for Tax-Related Items as set forth in paragraph 4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SWITZERLAND</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Neither this document nor any other materials relating to the Option (i) constitutes a prospectus according to articles 35 et seq. of the Swiss Federal Act on Financial Services (“FinSA”),</w:t>
      </w:r>
      <w:r>
        <w:rPr>
          <w:color w:val="000000"/>
        </w:rPr>
        <w:t xml:space="preserve"> </w:t>
      </w:r>
      <w:r>
        <w:rPr>
          <w:rFonts w:ascii="Times New Roman;sans-serif" w:hAnsi="Times New Roman;sans-serif"/>
          <w:b w:val="false"/>
          <w:color w:val="000000"/>
          <w:sz w:val="22"/>
        </w:rPr>
        <w:t>(ii)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TAIWAN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 xml:space="preserve">The Optionee hereby acknowledges that he or she has read and understood the terms regarding collection, processing and transfer of Data contained in paragraph 13 of the Agreement and by participating in the Plan, the Optionee agrees to such terms. In this regard, upon request of the Company or the Employer, the Optionee agrees to provide an executed data privacy consent form to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401320"/>
                <wp:effectExtent l="0" t="0" r="0" b="0"/>
                <wp:wrapNone/>
                <wp:docPr id="102" name="Frame100"/>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40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40</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Option and the shares of Common Stock to be issued pursuant to the Plan are available only to employees of the Mondelēz Group. The grant of the Option does not constitute a public offer of securities.</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Optionee may acquire and remit foreign currency (including the Grant Price, proceeds from the sale of shares of Common Stock) into and out of Taiwan up to US$5,000,000 per year. If the transaction amount is TWD$500,000 or more in a single transaction, the Optionee must submit a foreign exchange transaction form and also provide supporting documentation to the satisfaction of the remitting bank. The Optionee should consult his or her personal advisor to ensure compliance with applicable exchange control laws in Taiwan.</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THAILAND</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Notwithstanding anything to the contrary in the Agreement, due to regulatory requirements in Thailand,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proceeds from the sale of shares of Common Stock are equal to or greater than US$1,000,000 in a single transaction, the Optionee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Optionee must provide details of the transaction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identification information and purposes of the transaction) to the receiving bank. If the Optionee fails to comply with these obligations, the Optionee may be subject to penalties assessed by the Bank of Thailand.</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Optionee should consult his or her personal advisor prior to taking any action with respect to remittance of proceeds from the sale of shares of Common Stock into Thailand. The Optionee is responsible for ensuring compliance with all exchange control laws in Thailand.</w:t>
      </w:r>
    </w:p>
    <w:p>
      <w:pPr>
        <w:pStyle w:val="TextBody"/>
        <w:spacing w:lineRule="auto" w:line="240" w:before="0" w:after="240"/>
        <w:rPr>
          <w:rFonts w:ascii="Palatino;serif" w:hAnsi="Palatino;serif"/>
          <w:b/>
          <w:color w:val="000000"/>
          <w:sz w:val="22"/>
          <w:u w:val="single"/>
        </w:rPr>
      </w:pPr>
      <w:r>
        <w:rPr>
          <w:rFonts w:ascii="Palatino;serif" w:hAnsi="Palatino;serif"/>
          <w:b/>
          <w:color w:val="000000"/>
          <w:sz w:val="22"/>
          <w:u w:val="single"/>
        </w:rPr>
        <w:t>TURKIYE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Under Turkish law, the Optionee is not permitted to sell shares of Common Stock acquired under the Plan in Turkey. The shares of Common Stock are currently traded on the Nasdaq Global Select Market, which is located outside Turkey and the shares of Common Stock may be sold through this exchange.</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The Optionee may be required to engage a Turkish financial intermediary to assist with the cash exercise of an Option or the sale of shares of Common Stock acquired under the Plan. To the extent a Turkish financial intermediary is required in connection with the Option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401320"/>
                <wp:effectExtent l="0" t="0" r="0" b="0"/>
                <wp:wrapNone/>
                <wp:docPr id="103" name="Frame101"/>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41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41</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exercise or the sale of any shares of Common Stock acquired upon exercise of the Option, the Optionee is solely responsible for engaging such Turkish financial intermediary. The Optionee should consult his or her personal legal advisor prior to the exercise of Options or any sale of shares of Common Stock to ensure compliance with the current requirements.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UNITED ARAB EMIRATES</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Participation in the Plan is being offered only to selected Optionees and is in the nature of providing equity incentives to Optionees in the United Arab Emirates. The Plan and the Agreement are intended for distribution only to such Optionees and must not be delivered to, or relied on by, any other person. Prospective purchasers of the securities offered should conduct their own due diligence on the securities.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If the Optionee does not understand the contents of the Plan and the Agreement, the Optionee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UNITED KINGDOM (“U.K.”)</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spacing w:lineRule="auto" w:line="240" w:before="0" w:after="240"/>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 and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pStyle w:val="TextBody"/>
        <w:spacing w:lineRule="auto" w:line="240" w:before="0" w:after="240"/>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4 of the Agreement:</w:t>
      </w:r>
    </w:p>
    <w:p>
      <w:pPr>
        <w:pStyle w:val="TextBody"/>
        <w:spacing w:lineRule="auto" w:line="240" w:before="0" w:after="240"/>
        <w:rPr/>
      </w:pPr>
      <w:r>
        <w:rPr>
          <w:rFonts w:ascii="Times New Roman;sans-serif" w:hAnsi="Times New Roman;sans-serif"/>
          <w:b w:val="false"/>
          <w:color w:val="000000"/>
          <w:sz w:val="22"/>
        </w:rPr>
        <w:t>Without limitation to paragraph 4 of the Agreement, the Optionee hereby agrees that he or she is liable for all Tax-Related Items and hereby covenants to pay all such Tax-Related Items, as and when requested by the Company or the Employer, as applicable, or by Her Majesty’s Revenue &amp; Customs (“</w:t>
      </w:r>
      <w:r>
        <w:rPr>
          <w:rFonts w:ascii="Times New Roman;sans-serif" w:hAnsi="Times New Roman;sans-serif"/>
          <w:b w:val="false"/>
          <w:color w:val="000000"/>
          <w:sz w:val="22"/>
          <w:u w:val="single"/>
        </w:rPr>
        <w:t>HMRC</w:t>
      </w:r>
      <w:r>
        <w:rPr>
          <w:color w:val="000000"/>
        </w:rPr>
        <w:t>”</w:t>
      </w:r>
      <w:r>
        <w:rPr>
          <w:rFonts w:ascii="Times New Roman;sans-serif" w:hAnsi="Times New Roman;sans-serif"/>
          <w:b w:val="false"/>
          <w:color w:val="000000"/>
          <w:sz w:val="22"/>
        </w:rPr>
        <w:t>) (or any other tax authority or any other relevant authority). The Optionee also hereby agrees to indemnify and keep indemnified the Company and the Employer, as applicable, against any Tax-Related Items that they are required to pay or withhold or have paid or will pay to HMRC (or any other tax authority or any other relevant authority) on the Optionee’s behalf.</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the Optionee is a director or executive officer of the Company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Optionee by any of the means referred to in paragraph 4 of the Agreement.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401320"/>
                <wp:effectExtent l="0" t="0" r="0" b="0"/>
                <wp:wrapNone/>
                <wp:docPr id="104" name="Frame102"/>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42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42</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addition, the Optionee agrees that the Company and/or the Employer may calculate the Tax-Related Items to be withheld and accounted for by reference to the maximum applicable rates, without prejudice to any right the Optionee may have to recover any overpayment from the relevant tax authorities.</w:t>
      </w:r>
    </w:p>
    <w:p>
      <w:pPr>
        <w:pStyle w:val="TextBody"/>
        <w:spacing w:lineRule="auto" w:line="304"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UNITED STATES</w:t>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2"/>
        </w:rPr>
        <w:t>Data Privacy Terms</w:t>
      </w:r>
      <w:r>
        <w:rPr>
          <w:rFonts w:ascii="Times New Roman;sans-serif" w:hAnsi="Times New Roman;sans-serif"/>
          <w:b w:val="false"/>
          <w:color w:val="000000"/>
          <w:sz w:val="22"/>
        </w:rPr>
        <w:t>. This provision supplements paragraph 13 of the Agreement:</w:t>
      </w:r>
    </w:p>
    <w:p>
      <w:pPr>
        <w:pStyle w:val="TextBody"/>
        <w:spacing w:before="0" w:after="0"/>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does not sell the Optionee's Personal Data or share it for cross-context behavioral advertising. If the Optionee would like a copy of the Company’s privacy policy, please contact a local human resources representative. </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Tax Information. </w:t>
      </w:r>
      <w:r>
        <w:rPr>
          <w:rFonts w:ascii="Times New Roman;sans-serif" w:hAnsi="Times New Roman;sans-serif"/>
          <w:b w:val="false"/>
          <w:color w:val="000000"/>
          <w:sz w:val="22"/>
        </w:rPr>
        <w:t xml:space="preserve">The Option is </w:t>
      </w:r>
      <w:r>
        <w:rPr>
          <w:rFonts w:ascii="Times New Roman;sans-serif" w:hAnsi="Times New Roman;sans-serif"/>
          <w:b w:val="false"/>
          <w:color w:val="000000"/>
          <w:sz w:val="22"/>
          <w:u w:val="single"/>
        </w:rPr>
        <w:t>not</w:t>
      </w:r>
      <w:r>
        <w:rPr>
          <w:color w:val="000000"/>
        </w:rPr>
        <w:t xml:space="preserve"> </w:t>
      </w:r>
      <w:r>
        <w:rPr>
          <w:rFonts w:ascii="Times New Roman;sans-serif" w:hAnsi="Times New Roman;sans-serif"/>
          <w:b w:val="false"/>
          <w:color w:val="000000"/>
          <w:sz w:val="22"/>
        </w:rPr>
        <w:t>an incentive stock option within the meaning of the Code.</w:t>
      </w:r>
    </w:p>
    <w:p>
      <w:pPr>
        <w:pStyle w:val="TextBody"/>
        <w:spacing w:lineRule="auto" w:line="240" w:before="0" w:after="240"/>
        <w:rPr/>
      </w:pPr>
      <w:r>
        <w:rPr>
          <w:rFonts w:ascii="Times New Roman;sans-serif" w:hAnsi="Times New Roman;sans-serif"/>
          <w:b/>
          <w:color w:val="000000"/>
          <w:sz w:val="22"/>
        </w:rPr>
        <w:t xml:space="preserve">Foreign Asset/Accounting Reporting Information. </w:t>
      </w:r>
      <w:r>
        <w:rPr>
          <w:rFonts w:ascii="Times New Roman;sans-serif" w:hAnsi="Times New Roman;sans-serif"/>
          <w:b w:val="false"/>
          <w:color w:val="000000"/>
          <w:sz w:val="22"/>
        </w:rPr>
        <w:t>If the Optionee holds assets (</w:t>
      </w:r>
      <w:r>
        <w:rPr>
          <w:rFonts w:ascii="Times New Roman;sans-serif" w:hAnsi="Times New Roman;sans-serif"/>
          <w:b w:val="false"/>
          <w:i/>
          <w:color w:val="000000"/>
          <w:sz w:val="22"/>
        </w:rPr>
        <w:t>i.e</w:t>
      </w:r>
      <w:r>
        <w:rPr>
          <w:rFonts w:ascii="Times New Roman;sans-serif" w:hAnsi="Times New Roman;sans-serif"/>
          <w:b w:val="false"/>
          <w:color w:val="000000"/>
          <w:sz w:val="22"/>
        </w:rPr>
        <w:t>., Option or Common Stock) or other financial assets in an account outside the United States and the aggregate amount of said assets is US$10,000 or more, the Optionee is required to submit a report of Foreign Bank and Financial Account with the United States Internal Revenue Service by June 30 of the year following the year in which the assets in the Optionee’s account meet the US$10,000 threshold.</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URUGUAY</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Data Privacy Consent.</w:t>
      </w:r>
      <w:r>
        <w:rPr>
          <w:color w:val="000000"/>
        </w:rPr>
        <w:t xml:space="preserve"> </w:t>
      </w:r>
      <w:r>
        <w:rPr>
          <w:rFonts w:ascii="Times New Roman;sans-serif" w:hAnsi="Times New Roman;sans-serif"/>
          <w:b w:val="false"/>
          <w:color w:val="000000"/>
          <w:sz w:val="22"/>
        </w:rPr>
        <w:t>The Optionee understands that the Data will be collected by the Company and will be transferred to</w:t>
      </w:r>
      <w:r>
        <w:rPr>
          <w:color w:val="000000"/>
        </w:rPr>
        <w:t xml:space="preserve"> </w:t>
      </w:r>
      <w:r>
        <w:rPr>
          <w:rFonts w:ascii="Times New Roman;sans-serif" w:hAnsi="Times New Roman;sans-serif"/>
          <w:b w:val="false"/>
          <w:color w:val="000000"/>
          <w:sz w:val="22"/>
        </w:rPr>
        <w:t>the Company at 905 West Fulton Market, Suite 200, Chicago, Illinois 60607, U.S.A. and/or any financial institutions or brokers involved in the management and administration of the Plan. The Optionee further understands that any of these entities may store the Data for purposes of administering the Optionee's participation in the Plan.</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VENEZUELA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Investment Representation</w:t>
      </w:r>
      <w:r>
        <w:rPr>
          <w:rFonts w:ascii="Times New Roman;sans-serif" w:hAnsi="Times New Roman;sans-serif"/>
          <w:b w:val="false"/>
          <w:color w:val="000000"/>
          <w:sz w:val="22"/>
        </w:rPr>
        <w:t>. As a condition of the grant of the Option, the Optionee acknowledges and agrees that any shares of Common Stock the Optionee may acquire upon exercise of the Option are acquired as and intended to be an investment rather than for the resale of the shares of Common Stock and conversion of such shares into foreign currency.</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restrictions may limit the ability to exercise the Option or remit funds into Venezuela following the receipt of the cash payment upon the cashless exercise of the Option or cash proceeds from the sale of shares of Common Stock acquired under the Plan. The Company reserves the right to further restrict the exercise of the Option or to amend or cancel the Option at any time in order to comply with the applicable exchange control laws in Venezuela. The Optionee is responsible for complying with exchange control laws in Venezuela and neither the Company nor the Employer will be liable for any fines or penalties resulting from the Optionee’s failure to comply with applicable laws.</w:t>
      </w:r>
      <w:r>
        <w:rPr>
          <w:color w:val="000000"/>
        </w:rPr>
        <w:t xml:space="preserve"> </w:t>
      </w:r>
      <w:r>
        <w:rPr>
          <w:rFonts w:ascii="Times New Roman;sans-serif" w:hAnsi="Times New Roman;sans-serif"/>
          <w:b w:val="false"/>
          <w:color w:val="000000"/>
          <w:sz w:val="22"/>
        </w:rPr>
        <w:t>Because exchange control laws and regulations change frequently and without notice, the Optionee should consult with his or her personal legal advisor before accepting the Option to ensure compliance with current regulations.</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401320"/>
                <wp:effectExtent l="0" t="0" r="0" b="0"/>
                <wp:wrapNone/>
                <wp:docPr id="105" name="Frame103"/>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43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43</w:t>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Option granted under the Plan and the shares of Common Stock issued under the Plan are offered as a personal, private, exclusive transaction and are not subject to Venezuelan government securities regulations.</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401320"/>
                <wp:effectExtent l="0" t="0" r="0" b="0"/>
                <wp:wrapNone/>
                <wp:docPr id="106" name="Frame104"/>
                <a:graphic xmlns:a="http://schemas.openxmlformats.org/drawingml/2006/main">
                  <a:graphicData uri="http://schemas.microsoft.com/office/word/2010/wordprocessingShape">
                    <wps:wsp>
                      <wps:cNvSpPr txBox="1"/>
                      <wps:spPr>
                        <a:xfrm>
                          <a:off x="0" y="0"/>
                          <a:ext cx="6480175" cy="401320"/>
                        </a:xfrm>
                        <a:prstGeom prst="rect"/>
                      </wps:spPr>
                      <wps:txbx>
                        <w:txbxContent>
                          <w:p>
                            <w:pPr>
                              <w:pStyle w:val="TextBody"/>
                              <w:spacing w:lineRule="auto" w:line="309" w:before="0" w:after="0"/>
                              <w:rPr/>
                            </w:pPr>
                            <w:r>
                              <w:rPr>
                                <w:color w:val="000000"/>
                              </w:rPr>
                              <w:t>    </w:t>
                            </w:r>
                            <w:r>
                              <w:rPr>
                                <w:rFonts w:ascii="Times New Roman;sans-serif" w:hAnsi="Times New Roman;sans-serif"/>
                                <w:b w:val="false"/>
                                <w:color w:val="000000"/>
                                <w:sz w:val="18"/>
                              </w:rPr>
                              <w:t>44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9" w:before="0" w:after="0"/>
                        <w:rPr/>
                      </w:pPr>
                      <w:r>
                        <w:rPr>
                          <w:color w:val="000000"/>
                        </w:rPr>
                        <w:t>    </w:t>
                      </w:r>
                      <w:r>
                        <w:rPr>
                          <w:rFonts w:ascii="Times New Roman;sans-serif" w:hAnsi="Times New Roman;sans-serif"/>
                          <w:b w:val="false"/>
                          <w:color w:val="000000"/>
                          <w:sz w:val="18"/>
                        </w:rPr>
                        <w:t>44</w:t>
                      </w:r>
                    </w:p>
                    <w:p>
                      <w:pPr>
                        <w:pStyle w:val="TextBody"/>
                        <w:spacing w:before="0" w:after="0"/>
                        <w:rPr/>
                      </w:pPr>
                      <w:r>
                        <w:rPr/>
                      </w:r>
                    </w:p>
                  </w:txbxContent>
                </v:textbox>
              </v:rect>
            </w:pict>
          </mc:Fallback>
        </mc:AlternateContent>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10.3</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br/>
        <w:t>AMENDED AND RESTATED 2005 PERFORMANCE INCENTIVE PLAN</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as of February 3, 2017)</w:t>
      </w:r>
    </w:p>
    <w:p>
      <w:pPr>
        <w:pStyle w:val="TextBody"/>
        <w:spacing w:before="0" w:after="240"/>
        <w:jc w:val="center"/>
        <w:rPr/>
      </w:pPr>
      <w:r>
        <w:rPr/>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GLOBAL LONG-TERM INCENTIVE GRANT AGREEMENT</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(2023-2025 Performance Cycle)</w:t>
      </w:r>
    </w:p>
    <w:p>
      <w:pPr>
        <w:pStyle w:val="TextBody"/>
        <w:spacing w:lineRule="auto" w:line="240" w:before="0" w:after="240"/>
        <w:rPr/>
      </w:pPr>
      <w:r>
        <w:rPr>
          <w:color w:val="000000"/>
        </w:rPr>
        <w:t>        </w:t>
      </w:r>
      <w:r>
        <w:rPr>
          <w:rFonts w:ascii="Times New Roman;sans-serif" w:hAnsi="Times New Roman;sans-serif"/>
          <w:b w:val="false"/>
          <w:color w:val="000000"/>
          <w:sz w:val="22"/>
        </w:rPr>
        <w:t>MONDELĒZ INTERNATIONAL, INC., a Virginia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individual (the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named in the Long-Term Incentive Grant Notice (the “</w:t>
      </w:r>
      <w:r>
        <w:rPr>
          <w:rFonts w:ascii="Times New Roman;sans-serif" w:hAnsi="Times New Roman;sans-serif"/>
          <w:b w:val="false"/>
          <w:color w:val="000000"/>
          <w:sz w:val="22"/>
          <w:u w:val="single"/>
        </w:rPr>
        <w:t>Notice</w:t>
      </w:r>
      <w:r>
        <w:rPr>
          <w:color w:val="000000"/>
        </w:rPr>
        <w:t>”</w:t>
      </w:r>
      <w:r>
        <w:rPr>
          <w:rFonts w:ascii="Times New Roman;sans-serif" w:hAnsi="Times New Roman;sans-serif"/>
          <w:b w:val="false"/>
          <w:color w:val="000000"/>
          <w:sz w:val="22"/>
        </w:rPr>
        <w:t>) a Long-Term Incentive Grant (the “</w:t>
      </w:r>
      <w:r>
        <w:rPr>
          <w:rFonts w:ascii="Times New Roman;sans-serif" w:hAnsi="Times New Roman;sans-serif"/>
          <w:b w:val="false"/>
          <w:color w:val="000000"/>
          <w:sz w:val="22"/>
          <w:u w:val="single"/>
        </w:rPr>
        <w:t>LTI Grant</w:t>
      </w:r>
      <w:r>
        <w:rPr>
          <w:color w:val="000000"/>
        </w:rPr>
        <w:t>”</w:t>
      </w:r>
      <w:r>
        <w:rPr>
          <w:rFonts w:ascii="Times New Roman;sans-serif" w:hAnsi="Times New Roman;sans-serif"/>
          <w:b w:val="false"/>
          <w:color w:val="000000"/>
          <w:sz w:val="22"/>
        </w:rPr>
        <w:t>) with respect to the Performance Cycle and Performance Goals set forth in the Notice, subject to the terms and provisions of the Notice, this Global Long-Term Incentive Grant Agreement, including any country-specific appendix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and the Mondelēz International, Inc. Amended and Restated 2005 Performance Incentive Plan, as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Unless and until the Committee determines that an Award is payable with respect to the LTI Grant, in the manner set forth in paragraphs 4 or 5 hereof, the Participant shall have no right to payment based on the LTI Grant. Prior to payment of an Award based on the LTI Grant, the LTI Grant represents an unsecured obligation of the Company payable, if at all, from the general assets of the Company. All references to action of or approval by the Committee shall be deemed to include action of or approval by any other person(s) to whom the Committee has delegated authority to act.</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The LTI Grant is subject to the following terms and conditions (including the country-specific terms set forth in Appendix A to this Agreement):</w:t>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The Participant must either execute and deliver an acceptance of the terms set forth in this Agreement or electronically accept the terms set forth in this Agreement, in the manner and within a period specified by the Committee. The Committee may, in its sole discretion, cancel the LTI Grant if the Participant fails to accept this Agreement and related documents within the specified period or using the procedures for acceptance established by the Committee.</w:t>
      </w:r>
    </w:p>
    <w:p>
      <w:pPr>
        <w:pStyle w:val="TextBody"/>
        <w:spacing w:lineRule="auto" w:line="240" w:before="0" w:after="240"/>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For purposes of the Plan, the following terms shall have the meanings specified below, unless the context clearly indicates otherwise. The singular pronoun shall include the plural where the context so indicates. All capitalized terms used in this Agreement without definition shall have the same meaning as defined under the Plan and the Notice.</w:t>
      </w:r>
      <w:r>
        <w:rPr>
          <w:color w:val="000000"/>
        </w:rPr>
        <w:t xml:space="preserve"> </w:t>
      </w:r>
    </w:p>
    <w:p>
      <w:pPr>
        <w:pStyle w:val="TextBody"/>
        <w:spacing w:lineRule="auto" w:line="240" w:before="0" w:after="24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Affiliate</w:t>
      </w:r>
      <w:r>
        <w:rPr>
          <w:rFonts w:ascii="Times New Roman;sans-serif" w:hAnsi="Times New Roman;sans-serif"/>
          <w:b w:val="false"/>
          <w:color w:val="000000"/>
          <w:sz w:val="22"/>
        </w:rPr>
        <w:t>. “Affiliate” means any entity that directly or indirectly through one or more intermediaries controls or is controlled by the Company, in each case, as determined by the Committee.</w:t>
      </w:r>
    </w:p>
    <w:p>
      <w:pPr>
        <w:pStyle w:val="TextBody"/>
        <w:spacing w:lineRule="auto" w:line="240" w:before="0" w:after="24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Disability</w:t>
      </w:r>
      <w:r>
        <w:rPr>
          <w:rFonts w:ascii="Times New Roman;sans-serif" w:hAnsi="Times New Roman;sans-serif"/>
          <w:b w:val="false"/>
          <w:color w:val="000000"/>
          <w:sz w:val="22"/>
        </w:rPr>
        <w:t>. “Disability” means permanent and total disability as determined under procedures established by the Company for purposes of the Plan.</w:t>
      </w:r>
    </w:p>
    <w:p>
      <w:pPr>
        <w:pStyle w:val="TextBody"/>
        <w:spacing w:lineRule="auto" w:line="240" w:before="0" w:after="240"/>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LTI Award Payout</w:t>
      </w:r>
      <w:r>
        <w:rPr>
          <w:rFonts w:ascii="Times New Roman;sans-serif" w:hAnsi="Times New Roman;sans-serif"/>
          <w:b w:val="false"/>
          <w:color w:val="000000"/>
          <w:sz w:val="22"/>
        </w:rPr>
        <w:t xml:space="preserve">. “LTI Award Payout” means the number of shares of Common Stock (if the Award is settled in shares) or the amount (if the Award is settled in cash) in either case with the value determined as the product of (a) the LTI Grant Target multiplied by (b) the Performance Goal Attainment Factor (subject to the Committee’s discretion specified in paragraph 4(c)), and, in the case of a Participant who terminates employment before the last day of the Performance Cycle and is otherwise eligible for a pro rata payout in accordance with the terms of this Agreement, further multiplied by (c) the Participation Period Factor. </w:t>
      </w:r>
    </w:p>
    <w:p>
      <w:pPr>
        <w:pStyle w:val="TextBody"/>
        <w:spacing w:lineRule="auto" w:line="240" w:before="0" w:after="240"/>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LTI Grant Target</w:t>
      </w:r>
      <w:r>
        <w:rPr>
          <w:rFonts w:ascii="Times New Roman;sans-serif" w:hAnsi="Times New Roman;sans-serif"/>
          <w:b w:val="false"/>
          <w:color w:val="000000"/>
          <w:sz w:val="22"/>
        </w:rPr>
        <w:t>. “LTI Grant Target” means the target number of shares of Common Stock or amount set forth in the Notice.</w:t>
      </w:r>
    </w:p>
    <w:p>
      <w:pPr>
        <w:pStyle w:val="TextBody"/>
        <w:spacing w:lineRule="auto" w:line="240" w:before="0" w:after="240"/>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Maximum Goal Factor</w:t>
      </w:r>
      <w:r>
        <w:rPr>
          <w:rFonts w:ascii="Times New Roman;sans-serif" w:hAnsi="Times New Roman;sans-serif"/>
          <w:b w:val="false"/>
          <w:color w:val="000000"/>
          <w:sz w:val="22"/>
        </w:rPr>
        <w:t>. “Maximum Goal Factor” means the maximum percentage set forth in the Notice.</w:t>
      </w:r>
      <w:r>
        <w:br w:type="page"/>
      </w:r>
    </w:p>
    <w:p>
      <w:pPr>
        <w:pStyle w:val="TextBody"/>
        <w:spacing w:before="0" w:after="0"/>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25780"/>
                <wp:effectExtent l="0" t="0" r="0" b="0"/>
                <wp:wrapNone/>
                <wp:docPr id="107" name="Frame10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1</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40"/>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Participation Period Factor</w:t>
      </w:r>
      <w:r>
        <w:rPr>
          <w:rFonts w:ascii="Times New Roman;sans-serif" w:hAnsi="Times New Roman;sans-serif"/>
          <w:b w:val="false"/>
          <w:color w:val="000000"/>
          <w:sz w:val="22"/>
        </w:rPr>
        <w:t xml:space="preserve">. “Participation Period Factor” means a fraction, the numerator of which is the number of months (including partial months, rounded up to the next whole month) the Participant participates during the Performance Cycle and the denominator of which is the number of months in the Performance Cycle. The Committee, in its sole discretion, may adjust the Participation Period Factor. </w:t>
      </w:r>
    </w:p>
    <w:p>
      <w:pPr>
        <w:pStyle w:val="TextBody"/>
        <w:spacing w:lineRule="auto" w:line="240" w:before="0" w:after="240"/>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Performance Cycle</w:t>
      </w:r>
      <w:r>
        <w:rPr>
          <w:rFonts w:ascii="Times New Roman;sans-serif" w:hAnsi="Times New Roman;sans-serif"/>
          <w:b w:val="false"/>
          <w:color w:val="000000"/>
          <w:sz w:val="22"/>
        </w:rPr>
        <w:t xml:space="preserve">. “Performance Cycle” means the performance period set forth in the Notice over which the attainment of the Performance Goals will be measured for the purpose of determining the LTI Award Payout. </w:t>
      </w:r>
    </w:p>
    <w:p>
      <w:pPr>
        <w:pStyle w:val="TextBody"/>
        <w:spacing w:lineRule="auto" w:line="240" w:before="0" w:after="240"/>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Performance Goal Attainment Factor</w:t>
      </w:r>
      <w:r>
        <w:rPr>
          <w:rFonts w:ascii="Times New Roman;sans-serif" w:hAnsi="Times New Roman;sans-serif"/>
          <w:b w:val="false"/>
          <w:color w:val="000000"/>
          <w:sz w:val="22"/>
        </w:rPr>
        <w:t xml:space="preserve">. “Performance Goal Attainment Factor” means a percentage ranging from 0% to the Maximum Goal Factor representing the level at which the Performance Goals have been attained as determined by the Committee. </w:t>
      </w:r>
    </w:p>
    <w:p>
      <w:pPr>
        <w:pStyle w:val="TextBody"/>
        <w:spacing w:lineRule="auto" w:line="240" w:before="0" w:after="240"/>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Retirement</w:t>
      </w:r>
      <w:r>
        <w:rPr>
          <w:rFonts w:ascii="Times New Roman;sans-serif" w:hAnsi="Times New Roman;sans-serif"/>
          <w:b w:val="false"/>
          <w:color w:val="000000"/>
          <w:sz w:val="22"/>
        </w:rPr>
        <w:t xml:space="preserve">. “Retirement” means, unless otherwise determined by the Committee, in its sole discretion, the termination of employment on or after either (i) the date the Participant is age 55 or older with at least ten (10) or more years of active continuous employment with the Mondelēz Group or (ii) the date the Participant is age 65 or older with at least five (5) or more years of active continuous employment with the Mondelēz Group. </w:t>
      </w:r>
    </w:p>
    <w:p>
      <w:pPr>
        <w:pStyle w:val="TextBody"/>
        <w:spacing w:lineRule="auto" w:line="240" w:before="0" w:after="240"/>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Incorporation of Terms of Plan</w:t>
      </w:r>
      <w:r>
        <w:rPr>
          <w:rFonts w:ascii="Times New Roman;sans-serif" w:hAnsi="Times New Roman;sans-serif"/>
          <w:b w:val="false"/>
          <w:color w:val="000000"/>
          <w:sz w:val="22"/>
        </w:rPr>
        <w:t>. The LTI Grant is subject to the terms and conditions of the Plan, which is incorporated herein by reference. In the event of any inconsistency between the Plan and this Agreement, the terms of the Plan shall control except as otherwise expressly set forth in this Agreement.</w:t>
      </w:r>
    </w:p>
    <w:p>
      <w:pPr>
        <w:pStyle w:val="TextBody"/>
        <w:spacing w:lineRule="auto" w:line="240" w:before="0" w:after="240"/>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Vesting and Forfeiture</w:t>
      </w:r>
      <w:r>
        <w:rPr>
          <w:rFonts w:ascii="Times New Roman;sans-serif" w:hAnsi="Times New Roman;sans-serif"/>
          <w:b w:val="false"/>
          <w:color w:val="000000"/>
          <w:sz w:val="22"/>
        </w:rPr>
        <w:t>.</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Except as expressly provided in this Agreement, if the Committee determines that the Performance Goals for the Performance Cycle have been met and the other terms and conditions set forth in the Plan have been satisfied, an Award will be made to the Participant based on the Participant’s LTI Award Payout.</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Forfeiture</w:t>
      </w:r>
      <w:r>
        <w:rPr>
          <w:rFonts w:ascii="Times New Roman;sans-serif" w:hAnsi="Times New Roman;sans-serif"/>
          <w:b w:val="false"/>
          <w:color w:val="000000"/>
          <w:sz w:val="22"/>
        </w:rPr>
        <w:t>. Unless determined otherwise by the Committee or except as expressly provided in this Agreement, if the Participant has not been continuously and actively employed with a member of the Mondelēz Group that employs the Participant (the “</w:t>
      </w:r>
      <w:r>
        <w:rPr>
          <w:rFonts w:ascii="Times New Roman;sans-serif" w:hAnsi="Times New Roman;sans-serif"/>
          <w:b w:val="false"/>
          <w:color w:val="000000"/>
          <w:sz w:val="22"/>
          <w:u w:val="single"/>
        </w:rPr>
        <w:t>Employer</w:t>
      </w:r>
      <w:r>
        <w:rPr>
          <w:color w:val="000000"/>
        </w:rPr>
        <w:t>”</w:t>
      </w:r>
      <w:r>
        <w:rPr>
          <w:rFonts w:ascii="Times New Roman;sans-serif" w:hAnsi="Times New Roman;sans-serif"/>
          <w:b w:val="false"/>
          <w:color w:val="000000"/>
          <w:sz w:val="22"/>
        </w:rPr>
        <w:t>), from the date of the Notice through the last date of the Performance Cycle or if the Participant is not an employee in good standing with the Employer on the date of payment described in paragraph 4(a) hereof, the LTI Grant will be forfeited immediately and without any further action by the Company or the Committee. For purposes of the preceding sentence, the Participant will not be considered to be continuously and actively employed with the Employer once he or she has stopped providing services, notwithstanding any notice period mandated under the employment laws of the country where the Participant resides (</w:t>
      </w:r>
      <w:r>
        <w:rPr>
          <w:rFonts w:ascii="Times New Roman;sans-serif" w:hAnsi="Times New Roman;sans-serif"/>
          <w:b w:val="false"/>
          <w:i/>
          <w:color w:val="000000"/>
          <w:sz w:val="22"/>
        </w:rPr>
        <w:t>e.g.</w:t>
      </w:r>
      <w:r>
        <w:rPr>
          <w:rFonts w:ascii="Times New Roman;sans-serif" w:hAnsi="Times New Roman;sans-serif"/>
          <w:b w:val="false"/>
          <w:color w:val="000000"/>
          <w:sz w:val="22"/>
        </w:rPr>
        <w:t>, active employment would not include a period of “garden leave” or similar period pursuant to the employment laws of the country where the Participant resides), unless otherwise determined by the Company on a country-by-country basis. Unless otherwise determined by the Committee, a leave of absence shall not constitute a termination of continuous service. The Committee has the exclusive discretion to determine when a Participant is no longer actively employed for purposes of the LTI Grant, subject to compliance with Section 409A of the Code.</w:t>
      </w:r>
    </w:p>
    <w:p>
      <w:pPr>
        <w:pStyle w:val="TextBody"/>
        <w:spacing w:lineRule="auto" w:line="240" w:before="0" w:after="240"/>
        <w:ind w:left="0" w:right="0" w:firstLine="1440"/>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Death/Disability</w:t>
      </w:r>
      <w:r>
        <w:rPr>
          <w:rFonts w:ascii="Times New Roman;sans-serif" w:hAnsi="Times New Roman;sans-serif"/>
          <w:b w:val="false"/>
          <w:color w:val="000000"/>
          <w:sz w:val="22"/>
        </w:rPr>
        <w:t>. If the Participant dies or terminates active employment with the Mondelēz Group due to Disability, the vesting of the LTI Grant will occur on a pro rata basis calculated pursuant to paragraph 1(c) of this Agreement. The LTI Award Payout will be made to the Participant by using a Performance Goal Attainment Factor equal to 100%, subject to compliance with the payment timing provisions set forth in paragraph 4(a)(iii) hereof.</w:t>
      </w:r>
    </w:p>
    <w:p>
      <w:pPr>
        <w:pStyle w:val="TextBody"/>
        <w:spacing w:lineRule="auto" w:line="240" w:before="0" w:after="240"/>
        <w:ind w:left="0" w:right="0" w:firstLine="1440"/>
        <w:rPr/>
      </w:pPr>
      <w:r>
        <w:rPr>
          <w:rFonts w:ascii="Times New Roman;sans-serif" w:hAnsi="Times New Roman;sans-serif"/>
          <w:b w:val="false"/>
          <w:color w:val="000000"/>
          <w:sz w:val="22"/>
        </w:rPr>
        <w:t>(ii)</w:t>
      </w:r>
      <w:r>
        <w:rPr>
          <w:color w:val="000000"/>
        </w:rPr>
        <w:t xml:space="preserve"> </w:t>
      </w:r>
      <w:r>
        <w:rPr>
          <w:rFonts w:ascii="Times New Roman;sans-serif" w:hAnsi="Times New Roman;sans-serif"/>
          <w:b w:val="false"/>
          <w:color w:val="000000"/>
          <w:sz w:val="22"/>
          <w:u w:val="single"/>
        </w:rPr>
        <w:t>Retirement</w:t>
      </w:r>
      <w:r>
        <w:rPr>
          <w:rFonts w:ascii="Times New Roman;sans-serif" w:hAnsi="Times New Roman;sans-serif"/>
          <w:b w:val="false"/>
          <w:color w:val="000000"/>
          <w:sz w:val="22"/>
        </w:rPr>
        <w:t xml:space="preserve">. If a Participant terminates active employment with the Mondelēz Group prior to the potential payment of an Award as a result of the Participant’s Retirement and the LTI Grant is not otherwise accounted for, or included in, the Participant’s severance or retirement arrangement with the Mondelēz Group and the Participant timely executes a general release and waiver of claims in a </w:t>
      </w:r>
      <w:r>
        <w:br w:type="page"/>
      </w:r>
    </w:p>
    <w:p>
      <w:pPr>
        <w:pStyle w:val="TextBody"/>
        <w:spacing w:before="0" w:after="0"/>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25780"/>
                <wp:effectExtent l="0" t="0" r="0" b="0"/>
                <wp:wrapNone/>
                <wp:docPr id="108" name="Frame10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2</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form and manner determined by the Company in its sole discretion, then, unless otherwise determined by the Committee:</w:t>
      </w:r>
    </w:p>
    <w:p>
      <w:pPr>
        <w:pStyle w:val="TextBody"/>
        <w:spacing w:lineRule="auto" w:line="240" w:before="0" w:after="240"/>
        <w:ind w:left="0" w:right="0" w:firstLine="2160"/>
        <w:rPr/>
      </w:pPr>
      <w:r>
        <w:rPr>
          <w:rFonts w:ascii="Times New Roman;sans-serif" w:hAnsi="Times New Roman;sans-serif"/>
          <w:b w:val="false"/>
          <w:color w:val="000000"/>
          <w:sz w:val="20"/>
        </w:rPr>
        <w:t>(A)</w:t>
      </w:r>
      <w:r>
        <w:rPr>
          <w:rFonts w:ascii="Times New Roman;sans-serif" w:hAnsi="Times New Roman;sans-serif"/>
          <w:b w:val="false"/>
          <w:color w:val="000000"/>
          <w:sz w:val="22"/>
        </w:rPr>
        <w:t>in the event that the Participant’s Retirement occurs because the Participant is age 65 or older with at least five (5) or more years of active continuous employment with the Mondelēz Group and the Retirement date</w:t>
      </w:r>
      <w:r>
        <w:rPr>
          <w:color w:val="000000"/>
        </w:rPr>
        <w:t xml:space="preserve"> </w:t>
      </w:r>
      <w:r>
        <w:rPr>
          <w:rFonts w:ascii="Times New Roman;sans-serif" w:hAnsi="Times New Roman;sans-serif"/>
          <w:b w:val="false"/>
          <w:color w:val="000000"/>
          <w:sz w:val="22"/>
        </w:rPr>
        <w:t>occurs on or after the 180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following the Grant Date, the Participant shall remain eligible to receive a LTI Award Payout with a Participation Period Factor equal to 100% (the LTI Award Payout will not be prorated) based on actual attainment of the Performance Goals, payable in accordance with the payment timing provisions set forth in paragraph 4(a)(iii) hereof</w:t>
      </w:r>
      <w:r>
        <w:rPr>
          <w:rFonts w:ascii="Times New Roman;sans-serif" w:hAnsi="Times New Roman;sans-serif"/>
          <w:b w:val="false"/>
          <w:color w:val="000000"/>
          <w:sz w:val="24"/>
        </w:rPr>
        <w:t>.</w:t>
      </w:r>
    </w:p>
    <w:p>
      <w:pPr>
        <w:pStyle w:val="TextBody"/>
        <w:spacing w:lineRule="auto" w:line="240" w:before="0" w:after="240"/>
        <w:ind w:left="0" w:right="0" w:firstLine="2160"/>
        <w:rPr/>
      </w:pPr>
      <w:r>
        <w:rPr>
          <w:rFonts w:ascii="Times New Roman;sans-serif" w:hAnsi="Times New Roman;sans-serif"/>
          <w:b w:val="false"/>
          <w:color w:val="000000"/>
          <w:sz w:val="20"/>
        </w:rPr>
        <w:t>(B)</w:t>
      </w:r>
      <w:r>
        <w:rPr>
          <w:rFonts w:ascii="Times New Roman;sans-serif" w:hAnsi="Times New Roman;sans-serif"/>
          <w:b w:val="false"/>
          <w:color w:val="000000"/>
          <w:sz w:val="22"/>
        </w:rPr>
        <w:t>in the event that the Employee's Retirement occurs because the Employee is age 55 or older with at least ten (10) or more years of active continuous employment with the Mondelēz Group and the Retirement date</w:t>
      </w:r>
      <w:r>
        <w:rPr>
          <w:color w:val="000000"/>
        </w:rPr>
        <w:t xml:space="preserve"> </w:t>
      </w:r>
      <w:r>
        <w:rPr>
          <w:rFonts w:ascii="Times New Roman;sans-serif" w:hAnsi="Times New Roman;sans-serif"/>
          <w:b w:val="false"/>
          <w:color w:val="000000"/>
          <w:sz w:val="22"/>
        </w:rPr>
        <w:t>occurs on or after the 180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following the Grant Date , the Participant shall remain eligible to receive a prorated LTI Award Payout (calculated pursuant to paragraph 1(c) of this Agreement) based on actual attainment of the Performance Goals, payable in accordance with the payment timing provisions set forth in paragraph 4(a)(iii) hereof.</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purposes of this section 3(b), any prorated LTI Award Payout will be calculated by applying the Participant’s Participation Period Factor as determined in the sole discretion of the Committee, subject to compliance with the payment timing provisions set forth in paragraph 4 hereof.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if the Committee receives an opinion of counsel that there has been a legal judgment and/or legal development in the Participant’s jurisdiction that likely would result in the favorable treatment on Retirement described in this section that applies to the LTI Grant being deemed unlawful and/or discriminatory, then the Company will not apply the favorable Retirement treatment at the time of the termination and the LTI Grant will be treated as it would under the rules that apply if the Participant’s employment is terminated for reasons other than Retirement, death or Disability.</w:t>
      </w:r>
    </w:p>
    <w:p>
      <w:pPr>
        <w:pStyle w:val="TextBody"/>
        <w:spacing w:lineRule="auto" w:line="240" w:before="0" w:after="240"/>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Payment</w:t>
      </w:r>
      <w:r>
        <w:rPr>
          <w:rFonts w:ascii="Times New Roman;sans-serif" w:hAnsi="Times New Roman;sans-serif"/>
          <w:b w:val="false"/>
          <w:color w:val="000000"/>
          <w:sz w:val="22"/>
        </w:rPr>
        <w:t>.</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Form and Time of Payment</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Form of Payment</w:t>
      </w:r>
      <w:r>
        <w:rPr>
          <w:rFonts w:ascii="Times New Roman;sans-serif" w:hAnsi="Times New Roman;sans-serif"/>
          <w:b w:val="false"/>
          <w:color w:val="000000"/>
          <w:sz w:val="22"/>
        </w:rPr>
        <w:t>. Subject to the terms of the Plan, the Notice and this Agreement, and except as otherwise expressly provided and subject to the terms of this Agreement (including Appendix A hereto), any Award that becomes payable in accordance with paragraph 3 hereof shall be paid in whole shares of Common Stock, which shall be issued in book-entry form, registered in the Participant’s name. In the event the LTI Award Payout results in less than a whole number of shares of Common Stock, the LTI Award Payout shall be rounded up to the next whole share of Common Stock (no fractional shares of Common Stock shall be issued in payment of an Award).</w:t>
      </w:r>
    </w:p>
    <w:p>
      <w:pPr>
        <w:pStyle w:val="TextBody"/>
        <w:spacing w:lineRule="auto" w:line="240" w:before="0" w:after="240"/>
        <w:ind w:left="0" w:right="0" w:firstLine="1440"/>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Certification</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Performance Goal Attainment Factor Determination</w:t>
      </w:r>
      <w:r>
        <w:rPr>
          <w:rFonts w:ascii="Times New Roman;sans-serif" w:hAnsi="Times New Roman;sans-serif"/>
          <w:b w:val="false"/>
          <w:color w:val="000000"/>
          <w:sz w:val="22"/>
        </w:rPr>
        <w:t xml:space="preserve">. Following the completion of the Performance Cycle and, subject to paragraph 3(b)(i) and paragraph 5 hereof, prior to the payment of an Award, the Committee shall certify in writing whether the applicable Performance Goals were achieved for the Performance Cycle and shall determine the Performance Goal Attainment Factor with respect to the Award. </w:t>
      </w:r>
    </w:p>
    <w:p>
      <w:pPr>
        <w:pStyle w:val="TextBody"/>
        <w:spacing w:lineRule="auto" w:line="240" w:before="0" w:after="240"/>
        <w:ind w:left="0" w:right="0" w:firstLine="1440"/>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Payment Timing</w:t>
      </w:r>
      <w:r>
        <w:rPr>
          <w:rFonts w:ascii="Times New Roman;sans-serif" w:hAnsi="Times New Roman;sans-serif"/>
          <w:b w:val="false"/>
          <w:color w:val="000000"/>
          <w:sz w:val="22"/>
        </w:rPr>
        <w:t xml:space="preserve">. Subject to the terms of this Agreement, including Section 22, the Award shall be paid as follows: </w:t>
      </w:r>
    </w:p>
    <w:p>
      <w:pPr>
        <w:pStyle w:val="TextBody"/>
        <w:spacing w:lineRule="auto" w:line="240" w:before="0" w:after="240"/>
        <w:ind w:left="0" w:right="0" w:firstLine="2160"/>
        <w:rPr/>
      </w:pPr>
      <w:r>
        <w:rPr>
          <w:rFonts w:ascii="Times New Roman;sans-serif" w:hAnsi="Times New Roman;sans-serif"/>
          <w:b w:val="false"/>
          <w:color w:val="000000"/>
          <w:sz w:val="20"/>
        </w:rPr>
        <w:t>(A)</w:t>
      </w:r>
      <w:r>
        <w:rPr>
          <w:rFonts w:ascii="Times New Roman;sans-serif" w:hAnsi="Times New Roman;sans-serif"/>
          <w:b w:val="false"/>
          <w:color w:val="000000"/>
          <w:sz w:val="22"/>
        </w:rPr>
        <w:t>The LTI Award Payout, including a payout upon a Participant’s Retirement described under paragraph 3(b)(ii)(A)</w:t>
      </w:r>
      <w:r>
        <w:rPr>
          <w:color w:val="000000"/>
        </w:rPr>
        <w:t xml:space="preserve"> </w:t>
      </w:r>
      <w:r>
        <w:rPr>
          <w:rFonts w:ascii="Times New Roman;sans-serif" w:hAnsi="Times New Roman;sans-serif"/>
          <w:b w:val="false"/>
          <w:color w:val="000000"/>
          <w:sz w:val="22"/>
        </w:rPr>
        <w:t>hereof or paragraph 3(b)(ii)(B)</w:t>
      </w:r>
      <w:r>
        <w:rPr>
          <w:color w:val="000000"/>
        </w:rPr>
        <w:t xml:space="preserve"> </w:t>
      </w:r>
      <w:r>
        <w:rPr>
          <w:rFonts w:ascii="Times New Roman;sans-serif" w:hAnsi="Times New Roman;sans-serif"/>
          <w:b w:val="false"/>
          <w:color w:val="000000"/>
          <w:sz w:val="22"/>
        </w:rPr>
        <w:t xml:space="preserve">hereof shall be paid as soon as practicable between January 1 and March 15 of the calendar year immediately following or coinciding with the end of the Performance Cycle following the date the Committee determines that the Performance Goals for the Performance Cycle have been attained and determines an LTI Grant has vested and is payable for the Performance Cycle. </w:t>
      </w:r>
      <w:r>
        <w:br w:type="page"/>
      </w:r>
    </w:p>
    <w:p>
      <w:pPr>
        <w:pStyle w:val="TextBody"/>
        <w:spacing w:before="0" w:after="0"/>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25780"/>
                <wp:effectExtent l="0" t="0" r="0" b="0"/>
                <wp:wrapNone/>
                <wp:docPr id="109" name="Frame10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3</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40"/>
        <w:ind w:left="0" w:right="0" w:firstLine="2160"/>
        <w:rPr/>
      </w:pPr>
      <w:r>
        <w:rPr>
          <w:rFonts w:ascii="Times New Roman;sans-serif" w:hAnsi="Times New Roman;sans-serif"/>
          <w:b w:val="false"/>
          <w:color w:val="000000"/>
          <w:sz w:val="20"/>
        </w:rPr>
        <w:t>(B)</w:t>
      </w:r>
      <w:r>
        <w:rPr>
          <w:rFonts w:ascii="Times New Roman;sans-serif" w:hAnsi="Times New Roman;sans-serif"/>
          <w:b w:val="false"/>
          <w:color w:val="000000"/>
          <w:sz w:val="22"/>
        </w:rPr>
        <w:t xml:space="preserve">An Award that becomes payable under paragraph 3(b)(i) hereof in connection with a Participant’s death shall be paid within 75 days following the Participant’s death. </w:t>
      </w:r>
    </w:p>
    <w:p>
      <w:pPr>
        <w:pStyle w:val="TextBody"/>
        <w:spacing w:lineRule="auto" w:line="240" w:before="0" w:after="240"/>
        <w:ind w:left="0" w:right="0" w:firstLine="2160"/>
        <w:rPr/>
      </w:pPr>
      <w:r>
        <w:rPr>
          <w:rFonts w:ascii="Times New Roman;sans-serif" w:hAnsi="Times New Roman;sans-serif"/>
          <w:b w:val="false"/>
          <w:color w:val="000000"/>
          <w:sz w:val="20"/>
        </w:rPr>
        <w:t>(C)</w:t>
      </w:r>
      <w:r>
        <w:rPr>
          <w:rFonts w:ascii="Times New Roman;sans-serif" w:hAnsi="Times New Roman;sans-serif"/>
          <w:b w:val="false"/>
          <w:color w:val="000000"/>
          <w:sz w:val="22"/>
        </w:rPr>
        <w:t>An Award that becomes payable in connection with the Participant’s termination resulting from Disability as described under paragraph 3(b)(i) shall be paid within 75 days following such Disability, provided that if the Participant is subject to taxation under the laws of the U.S., the Award is considered Deferred Compensation (as defined in Section 22 hereof) and is payable upon a termination resulting from Disability and the Disability experienced by the Participant does not constitute a “disability” within the meaning of Section 409A of the Code (in each case as determined by the Company in its sole discretion), then such payment shall be made in accordance with the payment timing described under paragraph 4(a)(iii)(A) hereof.</w:t>
      </w:r>
    </w:p>
    <w:p>
      <w:pPr>
        <w:pStyle w:val="TextBody"/>
        <w:spacing w:before="0" w:after="0"/>
        <w:rPr/>
      </w:pPr>
      <w:r>
        <w:rPr/>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Conditions to Payment of an Award</w:t>
      </w:r>
      <w:r>
        <w:rPr>
          <w:rFonts w:ascii="Times New Roman;sans-serif" w:hAnsi="Times New Roman;sans-serif"/>
          <w:b w:val="false"/>
          <w:color w:val="000000"/>
          <w:sz w:val="22"/>
        </w:rPr>
        <w:t>. Notwithstanding any other provision of this Agreement (including without limitation paragraph 3(a) hereof):</w:t>
      </w:r>
    </w:p>
    <w:p>
      <w:pPr>
        <w:pStyle w:val="TextBody"/>
        <w:spacing w:lineRule="auto" w:line="240" w:before="0" w:after="240"/>
        <w:ind w:left="0" w:right="0" w:firstLine="1440"/>
        <w:rPr/>
      </w:pPr>
      <w:r>
        <w:rPr>
          <w:rFonts w:ascii="Times New Roman;sans-serif" w:hAnsi="Times New Roman;sans-serif"/>
          <w:b w:val="false"/>
          <w:color w:val="000000"/>
          <w:sz w:val="22"/>
        </w:rPr>
        <w:t>(i)</w:t>
      </w:r>
      <w:r>
        <w:rPr>
          <w:rFonts w:ascii="Times New Roman;sans-serif" w:hAnsi="Times New Roman;sans-serif"/>
          <w:b w:val="false"/>
          <w:color w:val="000000"/>
          <w:sz w:val="22"/>
        </w:rPr>
        <w:t>The Award shall not become payable to the Participant or his or her legal representative unless and until the Participant or his or her legal representative shall have satisfied all applicable withholding obligations for Tax-Related Items (as defined in paragraph 8 below), if any, in accordance with paragraph 8 hereof.</w:t>
      </w:r>
    </w:p>
    <w:p>
      <w:pPr>
        <w:pStyle w:val="TextBody"/>
        <w:spacing w:lineRule="auto" w:line="240" w:before="0" w:after="240"/>
        <w:ind w:left="0" w:right="0" w:firstLine="1440"/>
        <w:rPr/>
      </w:pPr>
      <w:r>
        <w:rPr>
          <w:rFonts w:ascii="Times New Roman;sans-serif" w:hAnsi="Times New Roman;sans-serif"/>
          <w:b w:val="false"/>
          <w:color w:val="000000"/>
          <w:sz w:val="22"/>
        </w:rPr>
        <w:t>(ii)</w:t>
      </w:r>
      <w:r>
        <w:rPr>
          <w:rFonts w:ascii="Times New Roman;sans-serif" w:hAnsi="Times New Roman;sans-serif"/>
          <w:b w:val="false"/>
          <w:color w:val="000000"/>
          <w:sz w:val="22"/>
        </w:rPr>
        <w:t>The Company shall not be required to issue or deliver any certificate or certificates (whether in electronic or other form) for any shares of Common Stock in payment of the Award prior to the fulfillment of all of the following conditions: (A) the admission of the Common Stock to listing on all stock exchanges on which the Common Stock is then listed, (B) the completion of any registration or other qualification of the Common Stock under any state or federal law or under rulings or regulations of the Commission or other governmental regulatory body, which the Committee shall, in its sole and absolute discretion, deem necessary and advisable, or if the offering of the Common Stock is not so registered, a determination by the Company that the issuance of the Common Stock would be exempt from any such registration or qualification requirements, (C) the obtaining of any approval or other clearance from any state, federal or foreign governmental agency that the Committee shall, in its absolute discretion, determine to be necessary or advisable and (D) the lapse of any such reasonable period of time following the date the Award becomes payable as the Committee may from time to time establish for reasons of administrative convenience, subject to compliance with Section 409A of the Code.</w:t>
      </w:r>
    </w:p>
    <w:p>
      <w:pPr>
        <w:pStyle w:val="TextBody"/>
        <w:spacing w:lineRule="auto" w:line="240" w:before="0" w:after="240"/>
        <w:ind w:left="0" w:right="0" w:firstLine="720"/>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Payment Amount</w:t>
      </w:r>
      <w:r>
        <w:rPr>
          <w:rFonts w:ascii="Times New Roman;sans-serif" w:hAnsi="Times New Roman;sans-serif"/>
          <w:b w:val="false"/>
          <w:color w:val="000000"/>
          <w:sz w:val="22"/>
        </w:rPr>
        <w:t>. The Committee shall retain the right, in its sole discretion, to modify the Performance Goal Attainment Factors (resulting in a reduction, an increase or elimination (including to zero) of,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w:t>
      </w:r>
    </w:p>
    <w:p>
      <w:pPr>
        <w:pStyle w:val="TextBody"/>
        <w:spacing w:lineRule="auto" w:line="240" w:before="0" w:after="240"/>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Treatment Upon a Change in Control</w:t>
      </w:r>
      <w:r>
        <w:rPr>
          <w:rFonts w:ascii="Times New Roman;sans-serif" w:hAnsi="Times New Roman;sans-serif"/>
          <w:b w:val="false"/>
          <w:color w:val="000000"/>
          <w:sz w:val="22"/>
        </w:rPr>
        <w:t>. In the event of a Change in Control (as defined in Section 6(b) of the Plan), the LTI Grant is subject to the terms provided in Section 6 of the Plan.</w:t>
      </w:r>
    </w:p>
    <w:p>
      <w:pPr>
        <w:pStyle w:val="TextBody"/>
        <w:spacing w:lineRule="auto" w:line="240" w:before="0" w:after="240"/>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Restrictions and Covenants</w:t>
      </w:r>
      <w:r>
        <w:rPr>
          <w:rFonts w:ascii="Times New Roman;sans-serif" w:hAnsi="Times New Roman;sans-serif"/>
          <w:b w:val="false"/>
          <w:color w:val="000000"/>
          <w:sz w:val="22"/>
        </w:rPr>
        <w:t xml:space="preserve">.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(a)In addition to such other conditions as may be established by the Company or the Committee, in consideration for making a Grant under the terms of the Plan, the Participant agrees and covenants as follows for a period of twelve (12) months following the date of the Participant’s termination of employment from the Mondelēz Group:</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 xml:space="preserve">1.to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Participant, without the express written permission of the Company’s chief human </w:t>
      </w:r>
      <w:r>
        <w:br w:type="page"/>
      </w:r>
    </w:p>
    <w:p>
      <w:pPr>
        <w:pStyle w:val="TextBody"/>
        <w:spacing w:before="0" w:after="0"/>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25780"/>
                <wp:effectExtent l="0" t="0" r="0" b="0"/>
                <wp:wrapNone/>
                <wp:docPr id="110" name="Frame10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4</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resources officer, will not engage in any conduct in which the Participant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Participant has reason to know has been under development by the Mondelēz Group during the Participant’s employment with the Mondelēz Group). The Participant will not engage in any activity that may require or inevitably require the Participant’s use or disclosure of the Mondelēz Group’s confidential information, proprietary information and/or trade secrets;</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2.to protect the Mondelēz Group’s investment in its employees and to ensure the long-term success of the business, the Participant, without the express written permission of the Company’s chief human resources officer, will not directly or indirectly solicit, hire, recruit, attempt to hire or recruit, or induce the termination of employment of any employee of the Mondelēz Group; and</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3.to protect the Mondelēz Group’s investment in its development of goodwill and customers and to ensure the long-term success of the business, the Participant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pStyle w:val="TextBody"/>
        <w:spacing w:lineRule="auto" w:line="240" w:before="0" w:after="240"/>
        <w:rPr/>
      </w:pPr>
      <w:r>
        <w:rPr>
          <w:rFonts w:ascii="Times New Roman;sans-serif" w:hAnsi="Times New Roman;sans-serif"/>
          <w:b w:val="false"/>
          <w:color w:val="000000"/>
          <w:sz w:val="22"/>
        </w:rPr>
        <w:t>The provisions contained herein in paragraph 6 are not in lieu of, but are in addition to the continuing obligation of the Participant (which the Participant acknowledges by accepting any Grant under the Plan) to not use or disclose the Mondelēz Group’s trade secrets or Confidential Information known to the Participant until any particular trade secret or Confidential Information becomes generally known (through no fault of the Participant), whereupon the restriction on use and disclosure shall cease as to that item. For purposes of this agreement,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includes, but is not limited to, certain sales, marketing, strategy, financial, product, personnel, manufacturing, technical and other proprietary information and material which are the property of the Mondelēz Group. The Participant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(b)A main purpose of the Plan is to strengthen the alignment of long-term interests between participants and the Mondelēz Group by providing an ownership interest in the Company, and to prevent former employees whose interests become adverse to the Company from maintaining that ownership interest. By acceptance of any Grant (including the LTI Grant) under the Plan, the Participant acknowledges and agrees that if the Participant breaches any of the covenants set forth in paragraph 6(a): </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1.all unvested or unearned Grants (including any unearned portion of the LTI Grant) shall be immediately forfeited;</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2.the Company may cancel, rescind, suspend, withhold or otherwise limit or restrict any unexpired, unpaid or deferred Grants at any time if the Participant is not in compliance with all terms and conditions set forth in the Plan and this Agreement including, but not limited to, paragraph 6(a);</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 xml:space="preserve">3.the Participant shall repay to the Mondelēz Group the net proceeds of any Plan benefit that occurs at any time after the earlier of the following two dates: (i) the date twelve (12) months immediately preceding any such violation; or (ii) the date six (6) months prior to the Participant’s termination of employment with the Mondelēz Group. The Participant </w:t>
      </w:r>
      <w:r>
        <w:br w:type="page"/>
      </w:r>
    </w:p>
    <w:p>
      <w:pPr>
        <w:pStyle w:val="TextBody"/>
        <w:spacing w:before="0" w:after="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25780"/>
                <wp:effectExtent l="0" t="0" r="0" b="0"/>
                <wp:wrapNone/>
                <wp:docPr id="111" name="Frame10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5</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shall repay to the Mondelēz Group the net proceeds in such a manner and on such terms and conditions as may be required by the Mondelēz Group, and the Mondelēz Group shall be entitled to set-off against the amount of any such net proceeds any amount owed to the Participant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4.the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Participant acknowledges that such breach would cause the Mondelēz Group to suffer irreparable harm. The aforementioned equitable relief shall be in addition to, not in lieu of, legal remedies, monetary damages or other available forms of relief.</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    If any provision contained in this paragraph 6 shall for any reason, whether by application of existing law or law which may develop after the Participant’s acceptance of a Grant under the Plan be determined by a court of competent jurisdiction to be overly broad as to scope of activity, duration or territory, the Participant agrees to join the Mondelēz Group in requesting such court to construe such provision by limiting or reducing it so as to be enforceable to the extent compatible with then applicable law.</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    Notwithstanding the foregoing, no section of this Agreement is intended to or shall limit, prevent, impede or interfere with the Participant’s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Participant does not need prior authorization from the Mondelēz Group to make any such reports or disclosures and is not required to notify the Mondelēz Group that the Participant has made such reports or disclosures.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    The Participant is hereby advised in writing to consult with an attorney before entering into the covenants outlined in this Section 6. The Participant acknowledges that prior to acceptance of this Agreement, the Participant has been advised by the Company of the Participant's right to seek independent advice from an attorney of the Participant's own selection regarding this Agreement, including the restraints imposed upon him or her pursuant to this Section 6. The Participant acknowledges that they have entered into this Agreement knowingly and voluntarily and with full knowledge and understanding of the provisions of this Agreement after being given the opportunity to consult with counsel. The Participant further represents that in entering into this Agreement, the Participant is not relying on any statements or representations made by any of the Company's directors, officers, employees or agents which are not expressly set forth herein, and that the Participant is relying only upon their own judgment and any advice provided by the Participant's attorney. The Participant acknowledges he or she has been provided at minimum 14 calendar days to review the provisions contained herein but may voluntarily waive this period and sign prior to the 14 calendar day period lapsing.</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    For purposes of this Section 6, the Company and any member of the Mondelēz Group shall be deemed to be third-party beneficiaries with the right to seek enforcement of any of the provisions of this Section 6. Further, for purposes of this Section 6, references to acting directly or indirectly include acting jointly with or through another person.</w:t>
      </w:r>
      <w:r>
        <w:br w:type="page"/>
      </w:r>
    </w:p>
    <w:p>
      <w:pPr>
        <w:pStyle w:val="TextBody"/>
        <w:spacing w:before="0" w:after="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25780"/>
                <wp:effectExtent l="0" t="0" r="0" b="0"/>
                <wp:wrapNone/>
                <wp:docPr id="112" name="Frame11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6</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40"/>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Clawback Policy/Forfeiture</w:t>
      </w:r>
      <w:r>
        <w:rPr>
          <w:rFonts w:ascii="Times New Roman;sans-serif" w:hAnsi="Times New Roman;sans-serif"/>
          <w:b w:val="false"/>
          <w:color w:val="000000"/>
          <w:sz w:val="22"/>
        </w:rPr>
        <w:t>. The Participant understands and agrees that in the Committee’s sole discretion, the Company may cancel all or part of the LTI Grant or require repayment by the Participant to the Company of all or part of any LTI Award Payout underlying any vested LTI Grant pursuant to any recovery, recoupment, clawback and/or other forfeiture policy maintained by the Company, including a violation of paragraph 6 above, from time to time. In addition, any payments or benefits the Participant may receive hereunder shall be subject to repayment or forfeiture as may be required to comply with the requirements under the U.S. 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xml:space="preserve">),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 </w:t>
      </w:r>
    </w:p>
    <w:p>
      <w:pPr>
        <w:pStyle w:val="TextBody"/>
        <w:spacing w:lineRule="auto" w:line="240" w:before="0" w:after="240"/>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Withholding Taxes</w:t>
      </w:r>
      <w:r>
        <w:rPr>
          <w:rFonts w:ascii="Times New Roman;sans-serif" w:hAnsi="Times New Roman;sans-serif"/>
          <w:b w:val="false"/>
          <w:color w:val="000000"/>
          <w:sz w:val="22"/>
        </w:rPr>
        <w:t>. The Participant acknowledges that regardless of any action taken by the Company or, if different, the Employer, the ultimate liability for all income tax, social insurance, payroll tax, fringe benefits tax, payment on account or other tax-related items related to the Participant’s participation in the Plan and legally applicable to the Participant or deemed by the Company or the Employer, in their discretion, to be an appropriate charge to the Participant even if legally applicable to the Company or the Employer (“</w:t>
      </w:r>
      <w:r>
        <w:rPr>
          <w:rFonts w:ascii="Times New Roman;sans-serif" w:hAnsi="Times New Roman;sans-serif"/>
          <w:b w:val="false"/>
          <w:color w:val="000000"/>
          <w:sz w:val="22"/>
          <w:u w:val="single"/>
        </w:rPr>
        <w:t>Tax-Related Items</w:t>
      </w:r>
      <w:r>
        <w:rPr>
          <w:color w:val="000000"/>
        </w:rPr>
        <w:t>”</w:t>
      </w:r>
      <w:r>
        <w:rPr>
          <w:rFonts w:ascii="Times New Roman;sans-serif" w:hAnsi="Times New Roman;sans-serif"/>
          <w:b w:val="false"/>
          <w:color w:val="000000"/>
          <w:sz w:val="22"/>
        </w:rPr>
        <w:t>) is and remains his or her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LTI Grant, including the vesting or payment of any Award relating to the LTI Grant, the receipt of any dividends or cash payments in lieu of dividends, or the subsequent sale of shares of Common Stock; and (b) do not commit to and are under no obligation to structure the terms of the LTI Grant or any aspect of the Participant’s participation in the Plan to reduce or eliminate his or her liability for Tax-Related Items or achieve any particular tax result. Further, if the Participant becomes subject to any Tax-Related Items in more than one jurisdiction, the Participant acknowledges that the Company and/or the Employer (or former employer, as applicable) may be required to withhold or account for (including report) Tax-Related Items in more than one jurisdiction.</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Company is authorized to satisfy the withholding for any or all Tax-Related Items arising from the vesting or payment of any Award relating to the LTI Grant or sale of shares of Common Stock issued pursuant to the Award, as the case may be, by deducting the number of shares of Common Stock having an aggregate value equal to the amount of Tax-Related Items withholding due from the LTI Award Payout or otherwise becoming subject to current taxation. If the Company satisfies the Tax-Related Items obligation by withholding a number of shares of Common Stock as described herein, for tax purposes, the Participant will be deemed to have been issued the full number of shares of Common Stock due to the Participant at vesting, notwithstanding that a number of shares of Common Stock is held back solely for the purpose of such Tax-Related Items withholding.</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Company is also authorized to satisfy the actual Tax-Related Items arising from the vesting or payment of any Award relating to the LTI Grant, the sale of shares of Common Stock issued pursuant to the Award or hypothetical withholding tax amounts if the Participant is covered under a Company tax equalization policy, as the case may be, by the remittance of the required amounts from any proceeds realized upon the open-market sale of the Common Stock received by the Participant. Such open-market sale is on the Participant’s behalf and at the Participant’s direction pursuant to this authorization without further consent.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Furthermore, the Company and/or the Employer are authorized to satisfy any withholding obligations with regard to all Tax-Related Items arising from the vesting or payment of any Award relating to the LTI Grant, or sale of shares issued pursuant to the Award, as the case may be, by withholding from the Participant’s wages or other cash compensation paid to the Participant by the Company and/or the Employer. Shares of Common Stock deducted from the LTI Award Payout in satisfaction of any Tax-Related Items shall be valued at the Fair Market Value of the Common Stock received in payment of the Award on the date as of which the amount giving rise to the withholding requirement first became includible in the gross income of the Participant under applicable tax laws. If the Participant is covered by a Company tax equalization policy, the Participant also agrees to pay to the Company any additional hypothetical tax obligation calculated and paid under the terms and conditions of such tax equalization policy. Finally, the Participant shall pay to the Company or the Employer any amount of Tax-Related </w:t>
      </w:r>
      <w:r>
        <w:br w:type="page"/>
      </w:r>
    </w:p>
    <w:p>
      <w:pPr>
        <w:pStyle w:val="TextBody"/>
        <w:spacing w:before="0" w:after="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25780"/>
                <wp:effectExtent l="0" t="0" r="0" b="0"/>
                <wp:wrapNone/>
                <wp:docPr id="113" name="Frame11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7</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Items that the Company or the Employer may be required to withhold as a result of his or her participation in the Plan that cannot be satisfied by the means previously described. The Company may refuse to issue or deliver the Common Stock if the Participant fails to comply with his or her Tax-Related Items obligations.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If the Participant is subject to the short-swing profit rules of Section 16(b) of the Exchange Act, the Company will deduct the number of shares of Common Stock having an aggregate value equal to the amount of Tax-Related Items due from the LTI Award Payout, or the Committee may determine that a particular method be used to satisfy any Tax Related Items.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Company may withhold or account for Tax-Related Items and any hypothetical taxes by considering statutory withholding rates or other applicable withholding rates in the Participant’s jurisdiction(s), including minimum or maximum applicable withholding rates, in which case the Participant may receive a refund of any over-withheld amount in cash and will have no entitlement to the equivalent shares of Common Stock or, if not refunded, the Participant may be able to seek a refund from the applicable tax authorities. In the event of under-withholding, the Participant may be required to pay any additional Tax-Related Items directly to the applicable tax authority or to the Company and/or the Employer.</w:t>
      </w:r>
    </w:p>
    <w:p>
      <w:pPr>
        <w:pStyle w:val="TextBody"/>
        <w:spacing w:lineRule="auto" w:line="240" w:before="0" w:after="240"/>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Nature of the Grant</w:t>
      </w:r>
      <w:r>
        <w:rPr>
          <w:rFonts w:ascii="Times New Roman;sans-serif" w:hAnsi="Times New Roman;sans-serif"/>
          <w:b w:val="false"/>
          <w:color w:val="000000"/>
          <w:sz w:val="22"/>
        </w:rPr>
        <w:t>. By participating in the Plan and in exchange for receiving the LTI Grant, the Participant acknowledges, understands and agrees that:</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rPr>
        <w:t>the Plan is established voluntarily by the Company, it is discretionary in nature and it may be modified, amended, suspended or terminated by the Company at any time, to the extent permitted by the Plan;</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rPr>
        <w:t>the LTI Grant is exceptional, voluntary and occasional and does not create any contractual or other right to receive future awards, or benefits in lieu of LTI Grants, even if LTI Grants have been made in the past;</w:t>
      </w:r>
    </w:p>
    <w:p>
      <w:pPr>
        <w:pStyle w:val="TextBody"/>
        <w:spacing w:lineRule="auto" w:line="240" w:before="0" w:after="240"/>
        <w:ind w:left="0" w:right="0" w:firstLine="720"/>
        <w:rPr/>
      </w:pPr>
      <w:r>
        <w:rPr>
          <w:rFonts w:ascii="Times New Roman;sans-serif" w:hAnsi="Times New Roman;sans-serif"/>
          <w:b w:val="false"/>
          <w:color w:val="000000"/>
          <w:sz w:val="22"/>
        </w:rPr>
        <w:t>(c)</w:t>
      </w:r>
      <w:r>
        <w:rPr>
          <w:rFonts w:ascii="Times New Roman;sans-serif" w:hAnsi="Times New Roman;sans-serif"/>
          <w:b w:val="false"/>
          <w:color w:val="000000"/>
          <w:sz w:val="22"/>
        </w:rPr>
        <w:t>all decisions with respect to future LTI Grants, if any, will be at the sole discretion of the Committee;</w:t>
      </w:r>
    </w:p>
    <w:p>
      <w:pPr>
        <w:pStyle w:val="TextBody"/>
        <w:spacing w:lineRule="auto" w:line="240" w:before="0" w:after="240"/>
        <w:ind w:left="0" w:right="0" w:firstLine="720"/>
        <w:rPr/>
      </w:pPr>
      <w:r>
        <w:rPr>
          <w:rFonts w:ascii="Times New Roman;sans-serif" w:hAnsi="Times New Roman;sans-serif"/>
          <w:b w:val="false"/>
          <w:color w:val="000000"/>
          <w:sz w:val="22"/>
        </w:rPr>
        <w:t>(d)</w:t>
      </w:r>
      <w:r>
        <w:rPr>
          <w:rFonts w:ascii="Times New Roman;sans-serif" w:hAnsi="Times New Roman;sans-serif"/>
          <w:b w:val="false"/>
          <w:color w:val="000000"/>
          <w:sz w:val="22"/>
        </w:rPr>
        <w:t>the Participant’s participation in the Plan is voluntary;</w:t>
      </w:r>
    </w:p>
    <w:p>
      <w:pPr>
        <w:pStyle w:val="TextBody"/>
        <w:spacing w:lineRule="auto" w:line="240" w:before="0" w:after="240"/>
        <w:ind w:left="0" w:right="0" w:firstLine="720"/>
        <w:rPr/>
      </w:pPr>
      <w:r>
        <w:rPr>
          <w:rFonts w:ascii="Times New Roman;sans-serif" w:hAnsi="Times New Roman;sans-serif"/>
          <w:b w:val="false"/>
          <w:color w:val="000000"/>
          <w:sz w:val="22"/>
        </w:rPr>
        <w:t>(e)</w:t>
      </w:r>
      <w:r>
        <w:rPr>
          <w:rFonts w:ascii="Times New Roman;sans-serif" w:hAnsi="Times New Roman;sans-serif"/>
          <w:b w:val="false"/>
          <w:color w:val="000000"/>
          <w:sz w:val="22"/>
        </w:rPr>
        <w:t>the LTI Grant and the shares of Common Stock, and the income and value of same, subject to the LTI Grant are not intended to replace any pension rights or compensation;</w:t>
      </w:r>
    </w:p>
    <w:p>
      <w:pPr>
        <w:pStyle w:val="TextBody"/>
        <w:spacing w:lineRule="auto" w:line="240" w:before="0" w:after="240"/>
        <w:ind w:left="0" w:right="0" w:firstLine="720"/>
        <w:rPr/>
      </w:pPr>
      <w:r>
        <w:rPr>
          <w:rFonts w:ascii="Times New Roman;sans-serif" w:hAnsi="Times New Roman;sans-serif"/>
          <w:b w:val="false"/>
          <w:color w:val="000000"/>
          <w:sz w:val="22"/>
        </w:rPr>
        <w:t>(f)</w:t>
      </w:r>
      <w:r>
        <w:rPr>
          <w:rFonts w:ascii="Times New Roman;sans-serif" w:hAnsi="Times New Roman;sans-serif"/>
          <w:b w:val="false"/>
          <w:color w:val="000000"/>
          <w:sz w:val="22"/>
        </w:rPr>
        <w:t>the LTI Grant and the shares of Common Stock subject to the LTI Grant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pStyle w:val="TextBody"/>
        <w:spacing w:lineRule="auto" w:line="240" w:before="0" w:after="240"/>
        <w:ind w:left="0" w:right="0" w:firstLine="720"/>
        <w:rPr/>
      </w:pPr>
      <w:r>
        <w:rPr>
          <w:rFonts w:ascii="Times New Roman;sans-serif" w:hAnsi="Times New Roman;sans-serif"/>
          <w:b w:val="false"/>
          <w:color w:val="000000"/>
          <w:sz w:val="22"/>
        </w:rPr>
        <w:t>(g)</w:t>
      </w:r>
      <w:r>
        <w:rPr>
          <w:rFonts w:ascii="Times New Roman;sans-serif" w:hAnsi="Times New Roman;sans-serif"/>
          <w:b w:val="false"/>
          <w:color w:val="000000"/>
          <w:sz w:val="22"/>
        </w:rPr>
        <w:t>the future value of the underlying shares of Common Stock is unknown, indeterminable and cannot be predicted;</w:t>
      </w:r>
    </w:p>
    <w:p>
      <w:pPr>
        <w:pStyle w:val="TextBody"/>
        <w:spacing w:lineRule="auto" w:line="240" w:before="0" w:after="240"/>
        <w:ind w:left="0" w:right="0" w:firstLine="720"/>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unless otherwise agreed with the Company, the LTI Grant and the shares of Common Stock underlying the LTI Grant, and the income and value of same, are not granted as consideration for, or in connection with, the service the Participant may provide as a director of any entity of the Mondelēz Group; </w:t>
      </w:r>
    </w:p>
    <w:p>
      <w:pPr>
        <w:pStyle w:val="TextBody"/>
        <w:spacing w:lineRule="auto" w:line="240" w:before="0" w:after="240"/>
        <w:ind w:left="0" w:right="0" w:firstLine="720"/>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the LTI Grant and the shares of Common Stock subject to the LTI Grant, and the income and value of same, are not part of normal or expected compensation or salary for any purpose; </w:t>
      </w:r>
    </w:p>
    <w:p>
      <w:pPr>
        <w:pStyle w:val="TextBody"/>
        <w:spacing w:lineRule="auto" w:line="240" w:before="0" w:after="240"/>
        <w:ind w:left="0" w:right="0" w:firstLine="720"/>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neither the Company, the Employer nor any other member of the Mondelēz Group shall be liable for any foreign exchange rate fluctuation between the Participant’s local currency and the United States Dollar that may affect the value of the LTI Grant or any shares of Common Stock delivered to the </w:t>
      </w:r>
      <w:r>
        <w:br w:type="page"/>
      </w:r>
    </w:p>
    <w:p>
      <w:pPr>
        <w:pStyle w:val="TextBody"/>
        <w:spacing w:before="0" w:after="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25780"/>
                <wp:effectExtent l="0" t="0" r="0" b="0"/>
                <wp:wrapNone/>
                <wp:docPr id="114" name="Frame11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8</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Participant upon vesting of the LTI Grant or of any proceeds resulting from the Participant’s sale of such shares; and</w:t>
      </w:r>
    </w:p>
    <w:p>
      <w:pPr>
        <w:pStyle w:val="TextBody"/>
        <w:spacing w:lineRule="auto" w:line="240" w:before="0" w:after="240"/>
        <w:ind w:left="0" w:right="0" w:firstLine="720"/>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no claim or entitlement to compensation or damages shall arise from forfeiture of the LTI Grant </w:t>
      </w:r>
      <w:r>
        <w:rPr>
          <w:rFonts w:ascii="Times New Roman;sans-serif" w:hAnsi="Times New Roman;sans-serif"/>
          <w:b w:val="false"/>
          <w:color w:val="000000"/>
          <w:sz w:val="22"/>
          <w:highlight w:val="white"/>
        </w:rPr>
        <w:t xml:space="preserve">or the recoupment of any </w:t>
      </w:r>
      <w:r>
        <w:rPr>
          <w:rFonts w:ascii="Times New Roman;sans-serif" w:hAnsi="Times New Roman;sans-serif"/>
          <w:b w:val="false"/>
          <w:color w:val="000000"/>
          <w:sz w:val="22"/>
        </w:rPr>
        <w:t>shares of Common Stock</w:t>
      </w:r>
      <w:r>
        <w:rPr>
          <w:color w:val="000000"/>
          <w:highlight w:val="white"/>
        </w:rPr>
        <w:t xml:space="preserve"> </w:t>
      </w:r>
      <w:r>
        <w:rPr>
          <w:rFonts w:ascii="Times New Roman;sans-serif" w:hAnsi="Times New Roman;sans-serif"/>
          <w:b w:val="false"/>
          <w:color w:val="000000"/>
          <w:sz w:val="22"/>
          <w:highlight w:val="white"/>
        </w:rPr>
        <w:t>acquired under the Plan</w:t>
      </w:r>
      <w:r>
        <w:rPr>
          <w:color w:val="000000"/>
        </w:rPr>
        <w:t xml:space="preserve"> </w:t>
      </w:r>
      <w:r>
        <w:rPr>
          <w:rFonts w:ascii="Times New Roman;sans-serif" w:hAnsi="Times New Roman;sans-serif"/>
          <w:b w:val="false"/>
          <w:color w:val="000000"/>
          <w:sz w:val="22"/>
        </w:rPr>
        <w:t>resulting from (a) the failure to reach Performance Goals or termination of the Participant’s employment or other service relationship by the Company or the Employer (for any reason whatsoever, whether or not later found to be invalid or in breach of employment laws in the jurisdiction where the Participant is employed or the terms of his or her employment agreement, if any);</w:t>
      </w:r>
      <w:r>
        <w:rPr>
          <w:color w:val="000000"/>
          <w:highlight w:val="white"/>
        </w:rPr>
        <w:t xml:space="preserve"> </w:t>
      </w:r>
      <w:r>
        <w:rPr>
          <w:rFonts w:ascii="Times New Roman;sans-serif" w:hAnsi="Times New Roman;sans-serif"/>
          <w:b w:val="false"/>
          <w:color w:val="000000"/>
          <w:sz w:val="22"/>
          <w:highlight w:val="white"/>
        </w:rPr>
        <w:t>and/or (b) the application of any recoupment policy or any recovery or clawback policy otherwise required by law</w:t>
      </w:r>
      <w:r>
        <w:rPr>
          <w:rFonts w:ascii="Times New Roman;sans-serif" w:hAnsi="Times New Roman;sans-serif"/>
          <w:b w:val="false"/>
          <w:color w:val="000000"/>
          <w:sz w:val="22"/>
        </w:rPr>
        <w:t>.</w:t>
      </w:r>
    </w:p>
    <w:p>
      <w:pPr>
        <w:pStyle w:val="TextBody"/>
        <w:spacing w:lineRule="auto" w:line="240" w:before="0" w:after="240"/>
        <w:ind w:left="0" w:right="0" w:hanging="23"/>
        <w:rPr/>
      </w:pPr>
      <w:r>
        <w:rPr>
          <w:rFonts w:ascii="Times New Roman;sans-serif" w:hAnsi="Times New Roman;sans-serif"/>
          <w:b w:val="false"/>
          <w:color w:val="000000"/>
          <w:sz w:val="22"/>
        </w:rPr>
        <w:t>10.</w:t>
      </w:r>
      <w:r>
        <w:rPr>
          <w:rFonts w:ascii="Times New Roman;sans-serif" w:hAnsi="Times New Roman;sans-serif"/>
          <w:b/>
          <w:i/>
          <w:color w:val="000000"/>
          <w:sz w:val="22"/>
          <w:u w:val="single"/>
        </w:rPr>
        <w:t>Data Privacy</w:t>
      </w:r>
      <w:r>
        <w:rPr>
          <w:rFonts w:ascii="Times New Roman;sans-serif" w:hAnsi="Times New Roman;sans-serif"/>
          <w:b/>
          <w:i/>
          <w:color w:val="000000"/>
          <w:sz w:val="22"/>
        </w:rPr>
        <w:t>. The Participant hereby explicitly and unambiguously consents to the collection, use and transfer, in electronic or other form, of the Participant’s personal data as described in this Agreement and any other LTI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by and among the Mondelēz Group for the exclusive purpose of implementing, administering and managing the Participant’s participation in the Plan.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 xml:space="preserve">The Participant understands that the Mondelēz Group may hold certain personal information about the Participant, including, but not limited to, the Participant’s name, home address, email address and telephone number, date of birth, social security, passport or insurance number or other identification number (e.g., resident registration number), salary, nationality, job title, any shares of stock or directorships held in the Company, details of all LTI Grants or any other entitlement to shares of Common Stock or other equivalent benefits, awarded, canceled, purchased, exercised, vested, unvested or outstanding in the Participant’s favor, for the purpose of implementing, administering and managing the Plan. </w:t>
      </w:r>
    </w:p>
    <w:p>
      <w:pPr>
        <w:pStyle w:val="TextBody"/>
        <w:spacing w:lineRule="auto" w:line="240" w:before="0" w:after="240"/>
        <w:rPr/>
      </w:pPr>
      <w:r>
        <w:rPr>
          <w:rFonts w:ascii="Times New Roman;sans-serif" w:hAnsi="Times New Roman;sans-serif"/>
          <w:b/>
          <w:i/>
          <w:color w:val="000000"/>
          <w:sz w:val="22"/>
        </w:rPr>
        <w:t>The Participant understands that Data will be transferred to E*TRADE Financial Corporate Services Inc. and its affiliates (“</w:t>
      </w:r>
      <w:r>
        <w:rPr>
          <w:rFonts w:ascii="Times New Roman;sans-serif" w:hAnsi="Times New Roman;sans-serif"/>
          <w:b/>
          <w:i/>
          <w:color w:val="000000"/>
          <w:sz w:val="22"/>
          <w:u w:val="single"/>
        </w:rPr>
        <w:t>E*TRADE</w:t>
      </w:r>
      <w:r>
        <w:rPr>
          <w:color w:val="000000"/>
        </w:rPr>
        <w:t>”</w:t>
      </w:r>
      <w:r>
        <w:rPr>
          <w:rFonts w:ascii="Times New Roman;sans-serif" w:hAnsi="Times New Roman;sans-serif"/>
          <w:b/>
          <w:i/>
          <w:color w:val="000000"/>
          <w:sz w:val="22"/>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KPMG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If the Participant resides outside the United States, the Participant understands that he or she may request a list with the names and addresses of any potential recipients of the Data by contacting his or her local human resources representative. The Participant authorizes the Company, E*TRADE,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Participant understands that Data will be held only as long as is necessary to implement, administer and manage the Participant’s participation in the Plan. If the Participant resides outside the United States,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the Participant is providing the consents herein on a purely voluntary basis. If the Participant does not consent, or if the Participant later seeks to revoke his or her consent, the Participant’s employment status or service with the Employer will not be affected; the only consequence of refusing or withdrawing the Participant’s consent is that the Company would not be able to grant the Participant an LTI Grant or other equity awards or administer or maintain such Grants. The Participant also understands that the Company has no obligation to substitute other forms of Grants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r>
        <w:br w:type="page"/>
      </w:r>
    </w:p>
    <w:p>
      <w:pPr>
        <w:pStyle w:val="TextBody"/>
        <w:spacing w:before="0" w:after="0"/>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25780"/>
                <wp:effectExtent l="0" t="0" r="0" b="0"/>
                <wp:wrapNone/>
                <wp:docPr id="115" name="Frame11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9</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Further, upon request of the Company or the Employer, the Participant agrees to provide an executed data privacy form (or any other agreements or consents) that the Company and/or the Employer may deem necessary to obtain from the Participant for the purpose of administering his or her participation in the Plan in compliance with the data privacy laws in the Participant’s country, either now or in the future. The Participant understands and agrees that he or she will not be able to participate in the Plan if the Participant fails to provide any such consent or agreement requested by the Company and/or the Employer.</w:t>
      </w:r>
    </w:p>
    <w:p>
      <w:pPr>
        <w:pStyle w:val="TextBody"/>
        <w:spacing w:lineRule="auto" w:line="240" w:before="0" w:after="240"/>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Nontransferability of LTI Grant</w:t>
      </w:r>
      <w:r>
        <w:rPr>
          <w:rFonts w:ascii="Times New Roman;sans-serif" w:hAnsi="Times New Roman;sans-serif"/>
          <w:b w:val="false"/>
          <w:color w:val="000000"/>
          <w:sz w:val="22"/>
        </w:rPr>
        <w:t>. The LTI Grant or the interests or rights therein may not be transferred in any manner other than by will or by the laws of descent and distribution applicable to the Participant, and may not be assigned, hypothecated or otherwise pledged and shall not be subject to execution, attachment or similar process. Upon any attempt to effect any such disposition, or upon the levy of any such process, in violation of the provisions herein, the LTI Grant shall immediately become null and void and any rights to receive a payment under the LTI Grant shall be forfeited.</w:t>
      </w:r>
    </w:p>
    <w:p>
      <w:pPr>
        <w:pStyle w:val="TextBody"/>
        <w:spacing w:lineRule="auto" w:line="240" w:before="0" w:after="240"/>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Rights as Shareholder</w:t>
      </w:r>
      <w:r>
        <w:rPr>
          <w:rFonts w:ascii="Times New Roman;sans-serif" w:hAnsi="Times New Roman;sans-serif"/>
          <w:b w:val="false"/>
          <w:color w:val="000000"/>
          <w:sz w:val="22"/>
        </w:rPr>
        <w:t xml:space="preserve">. Neither the Participant nor any person claiming under or through the Participant shall have any of the rights or privileges of a shareholder of the Company in respect of any shares of Common Stock issuable hereunder unless and until certificates representing such Common Stock (which may be in uncertificated form) will have been issued and recorded on the books and records of the Company or its transfer agents or registrars, and delivered to the Participant (including through electronic delivery to a brokerage account). After such issuance, recordation and delivery, the Participant shall have all the rights of a shareholder of the Company, including with respect to the right to vote the Common Stock and the right to receive any cash or share dividends or other distributions paid to or made with respect to the Common Stock. Notwithstanding the foregoing, in accordance with Section 9 of the Plan, the Company may pay dividend equivalents on the outstanding LTI Grant subject to such restrictions and conditions as the Committee may establish. </w:t>
      </w:r>
    </w:p>
    <w:p>
      <w:pPr>
        <w:pStyle w:val="TextBody"/>
        <w:spacing w:lineRule="auto" w:line="240" w:before="0" w:after="240"/>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The Committee may make such adjustments to one or more of the Performance Goals, as well as the manner in which the LTI Award Payout is calculated, as the Committee in its sole discretion deems appropriate. The Participant shall be notified of such adjustment and such adjustment shall be binding upon the Company and the Participant.</w:t>
      </w:r>
    </w:p>
    <w:p>
      <w:pPr>
        <w:pStyle w:val="TextBody"/>
        <w:spacing w:lineRule="auto" w:line="240" w:before="0" w:after="240"/>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NO GUARANTEE OF CONTINUED EMPLOYMENT</w:t>
      </w:r>
      <w:r>
        <w:rPr>
          <w:rFonts w:ascii="Times New Roman;sans-serif" w:hAnsi="Times New Roman;sans-serif"/>
          <w:b w:val="false"/>
          <w:color w:val="000000"/>
          <w:sz w:val="22"/>
        </w:rPr>
        <w:t>. THE PARTICIPANT HEREBY ACKNOWLEDGES AND AGREES THAT THE VESTING OF THE LTI GRANT PURSUANT TO THE PROVISIONS OF THE PLAN AND THIS AGREEMENT IS EARNED ONLY IF THE PERFORMANCE GOALS ARE ATTAINED AND THE OTHER TERMS AND CONDITIONS SET FORTH IN THIS AGREEMENT AND THE PLAN ARE SATISFIED AND BY THE PARTICIPANT CONTINUING TO BE EMPLOYED (SUBJECT TO THE PROVISIONS OF PARAGRAPH 3(b) HEREOF) AT THE WILL OF THE EMPLOYER (AND NOT THROUGH THE ACT OF BEING EMPLOYED BY THE EMPLOYER, BEING GRANTED AN LTI GRANT, OR RECEIVING COMMON STOCK HEREUNDER). THE PARTICIPANT FURTHER ACKNOWLEDGES AND AGREES THAT THIS AGREEMENT, THE TRANSACTIONS CONTEMPLATED HEREUNDER AND THE RIGHT TO EARN A PAYMENT UNDER THE LTI GRANT SET FORTH HEREIN DO NOT CONSTITUTE AN EXPRESS OR IMPLIED PROMISE OF CONTINUED EMPLOYMENT DURING THE PERFORMANCE CYCLE, FOR ANY PERIOD, OR AT ALL, AND SHALL NOT INTERFERE WITH THE PARTICIPANT’S RIGHT OR THE RIGHT OF THE EMPLOYER TO TERMINATE THE PARTICIPANT’S EMPLOYMENT AT ANY TIME, WITH OR WITHOUT CAUSE AND IN ACCORDANCE WITH APPLICABLE EMPLOYMENT LAWS OF THE COUNTRY WHERE THE PARTICIPANT RESIDES OR BE INTERPRETED AS FORMING AN EMPLOYMENT OR SERVICE CONTRACT WITH THE EMPLOYER.</w:t>
      </w:r>
    </w:p>
    <w:p>
      <w:pPr>
        <w:pStyle w:val="TextBody"/>
        <w:spacing w:lineRule="auto" w:line="240" w:before="0" w:after="240"/>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Entire Agreement; Governing Law</w:t>
      </w:r>
      <w:r>
        <w:rPr>
          <w:rFonts w:ascii="Times New Roman;sans-serif" w:hAnsi="Times New Roman;sans-serif"/>
          <w:b w:val="false"/>
          <w:color w:val="000000"/>
          <w:sz w:val="22"/>
        </w:rPr>
        <w:t xml:space="preserve">. The Notice, 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as provided in the Notice, the Plan or this Agreement or by means of a writing signed by the Company and the Participant. Nothing in the Notice, the Plan and this Agreement (except as expressly provided therein) is intended to confer any rights </w:t>
      </w:r>
      <w:r>
        <w:br w:type="page"/>
      </w:r>
    </w:p>
    <w:p>
      <w:pPr>
        <w:pStyle w:val="TextBody"/>
        <w:spacing w:before="0" w:after="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25780"/>
                <wp:effectExtent l="0" t="0" r="0" b="0"/>
                <wp:wrapNone/>
                <wp:docPr id="116" name="Frame11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10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10</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or remedies on any persons other than the parties. The Notice,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Notice, the Plan or this Agreement, the Participant is deemed to submit to the exclusive jurisdiction of the Commonwealth of Virginia, U.S.A., and agrees that such litigation shall be conducted in the courts of Henrico County, Virginia, or the federal courts for the United States for the Eastern District of Virginia.</w:t>
      </w:r>
    </w:p>
    <w:p>
      <w:pPr>
        <w:pStyle w:val="TextBody"/>
        <w:spacing w:lineRule="auto" w:line="240" w:before="0" w:after="240"/>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The Participant acknowledges that the Notice,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Notice, the Plan and this Agreement shall be administered, and the LTI Grant is made, only in such a manner as to conform to such laws, rules and regulations. To the extent permitted by applicable law, the Notice, the Plan and this Agreement shall be deemed amended to the extent necessary to conform to such laws, rules and regulations.</w:t>
      </w:r>
    </w:p>
    <w:p>
      <w:pPr>
        <w:pStyle w:val="TextBody"/>
        <w:spacing w:lineRule="auto" w:line="240" w:before="0" w:after="240"/>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Administration and Interpretation</w:t>
      </w:r>
      <w:r>
        <w:rPr>
          <w:rFonts w:ascii="Times New Roman;sans-serif" w:hAnsi="Times New Roman;sans-serif"/>
          <w:b w:val="false"/>
          <w:color w:val="000000"/>
          <w:sz w:val="22"/>
        </w:rPr>
        <w:t>. The terms and provisions of the Plan (a copy of which will be made available online or furnished to the Participant upon written request to the Corporate Secretary, Mondelēz International, Inc., 905 West Fulton Market, Suite 200, Chicago, Illinois 60607, U.S.A.) are incorporated herein by reference. To the extent any provision in the Notice or this Agreement is inconsistent or in conflict with any term or provision of the Plan, the Plan shall govern except as otherwise expressly set forth in this Agreement. The LTI Grant, the vesting of the LTI Grant and any issuance of Common Stock upon payment of the LTI Grant are subject to, and shall be administered in accordance with, the provisions of the Plan, as the same may be amended from time to time. Any question or dispute regarding the administration or interpretation of the Notice, the Plan and this Agreement shall be submitted by the Participant or by the Company to the Committee. The resolution of such question or dispute by the Committee shall be final and binding on all persons.</w:t>
      </w:r>
    </w:p>
    <w:p>
      <w:pPr>
        <w:pStyle w:val="TextBody"/>
        <w:spacing w:lineRule="auto" w:line="240" w:before="0" w:after="240"/>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The captions used in the Notice and this Agreement are inserted for convenience and shall not be deemed a part of the LTI Grant for construction or interpretation.</w:t>
      </w:r>
    </w:p>
    <w:p>
      <w:pPr>
        <w:pStyle w:val="TextBody"/>
        <w:spacing w:lineRule="auto" w:line="240" w:before="0" w:after="240"/>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Participant related to current or future participation in the Plan may also be delivered through electronic means as described in paragraph 26 below.</w:t>
      </w:r>
    </w:p>
    <w:p>
      <w:pPr>
        <w:pStyle w:val="TextBody"/>
        <w:spacing w:lineRule="auto" w:line="240" w:before="0" w:after="240"/>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pStyle w:val="TextBody"/>
        <w:spacing w:lineRule="auto" w:line="240" w:before="0" w:after="240"/>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Whenever feasible, each provision of the Notice, this Agreement and the Plan shall be interpreted in such manner as to be effective and valid under applicable law, but if any provision in the Notice, the Plan or this Agreement is held to be prohibited by or invalid under applicable law, such provision will be ineffective only to the extent of such prohibition or invalidity, without invalidating the remainder of the Notice, the Plan or this Agreement.</w:t>
      </w:r>
    </w:p>
    <w:p>
      <w:pPr>
        <w:pStyle w:val="TextBody"/>
        <w:spacing w:lineRule="auto" w:line="240" w:before="0" w:after="240"/>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Code Section 409A</w:t>
      </w:r>
      <w:r>
        <w:rPr>
          <w:rFonts w:ascii="Times New Roman;sans-serif" w:hAnsi="Times New Roman;sans-serif"/>
          <w:b w:val="false"/>
          <w:color w:val="000000"/>
          <w:sz w:val="22"/>
        </w:rPr>
        <w:t xml:space="preserve">. This LTI Grant is intended to be exempt from, or otherwise comply with, Section 409A of the Code and shall be interpreted, operated and administered in a manner consistent with </w:t>
      </w:r>
      <w:r>
        <w:br w:type="page"/>
      </w:r>
    </w:p>
    <w:p>
      <w:pPr>
        <w:pStyle w:val="TextBody"/>
        <w:spacing w:before="0" w:after="0"/>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25780"/>
                <wp:effectExtent l="0" t="0" r="0" b="0"/>
                <wp:wrapNone/>
                <wp:docPr id="117" name="Frame11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11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11</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such intent. The Company reserves the right, to amend or modify this Agreement at any time, without the consent of the Participant or any other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LTI Grant made hereunder, and Mondelēz Group shall not under any circumstances have any liability to any participant or his estate or any other party for any taxes, penalties or interest due on amounts paid or payable under this Agreement, including taxes, penalties or interest imposed under Section 409A of the Code.</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anything to the contrary in the Agreement, if the Award is considered nonqualified deferred compensation subject to Section 409A of the Code (“Deferred Compensation”) and is settled on or on a date that is by reference to the Participant’s “separation from service” and the Participant is a “specified employee” (each within the meaning of Section 409A of the Code and each determined by the Company it its sole discretion) on the date the Participant experiences a separation from service, then the Award (or applicable portion thereof) shall be settled on the first business day of the seventh month following the Participant’s separation from service, or, if earlier, on the date of the Participant’s death, to the extent such delayed payment is required in order to avoid a prohibited distribution under Section 409A of the Code. </w:t>
      </w:r>
    </w:p>
    <w:p>
      <w:pPr>
        <w:pStyle w:val="TextBody"/>
        <w:spacing w:lineRule="auto" w:line="240" w:before="0" w:after="240"/>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No Advice Regarding LTI Grant</w:t>
      </w:r>
      <w:r>
        <w:rPr>
          <w:rFonts w:ascii="Times New Roman;sans-serif" w:hAnsi="Times New Roman;sans-serif"/>
          <w:b w:val="false"/>
          <w:color w:val="000000"/>
          <w:sz w:val="22"/>
        </w:rPr>
        <w:t>. The Company is not providing any tax, legal or financial advice, nor is the Company making any recommendations regarding the Participant’s participation in the Plan or the Participant’s acquisition or sale of any shares of Common Stock issued in payment of the LTI Grant. The Participant understands and agrees that the Participant should consult with his or her own personal tax, legal and financial advisors regarding the Participant’s participation in the Plan before taking any action related to the Plan.</w:t>
      </w:r>
    </w:p>
    <w:p>
      <w:pPr>
        <w:pStyle w:val="TextBody"/>
        <w:spacing w:lineRule="auto" w:line="240" w:before="0" w:after="240"/>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The Participant acknowledges that he or she is sufficiently proficient in English, or, alternatively, the Participant acknowledges that he or she will seek appropriate assistance, to understand the terms and conditions in the Agreement. Furthermore, if the Participant has received this Agreement or any other document related to the Plan translated into a language other than English and if the meaning of the translated version is different than the English version, the English version will control.</w:t>
      </w:r>
    </w:p>
    <w:p>
      <w:pPr>
        <w:pStyle w:val="TextBody"/>
        <w:spacing w:lineRule="auto" w:line="240" w:before="0" w:after="240"/>
        <w:rPr/>
      </w:pPr>
      <w:r>
        <w:rPr>
          <w:rFonts w:ascii="Times New Roman;sans-serif" w:hAnsi="Times New Roman;sans-serif"/>
          <w:b w:val="false"/>
          <w:color w:val="000000"/>
          <w:sz w:val="22"/>
        </w:rPr>
        <w:t>25.</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Notwithstanding any provisions in this Agreement, the LTI Grant shall be subject to any terms and conditions set forth in Appendix A to this Agreement for the Participant’s country. Moreover, if the Participant relocates to one of the countries included in Appendix A, the terms and conditions for such country will apply to the Participant, to the extent the Company determines that the application of such terms and conditions is necessary or advisable for legal or administrative reasons. Appendix A constitutes part of this Agreement.</w:t>
      </w:r>
    </w:p>
    <w:p>
      <w:pPr>
        <w:pStyle w:val="TextBody"/>
        <w:spacing w:lineRule="auto" w:line="240" w:before="0" w:after="240"/>
        <w:rPr/>
      </w:pPr>
      <w:r>
        <w:rPr>
          <w:rFonts w:ascii="Times New Roman;sans-serif" w:hAnsi="Times New Roman;sans-serif"/>
          <w:b w:val="false"/>
          <w:color w:val="000000"/>
          <w:sz w:val="22"/>
        </w:rPr>
        <w:t>26.</w:t>
      </w:r>
      <w:r>
        <w:rPr>
          <w:rFonts w:ascii="Times New Roman;sans-serif" w:hAnsi="Times New Roman;sans-serif"/>
          <w:b w:val="false"/>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any on-line or electronic system established and maintained by the Company or a third party designated by the Company.</w:t>
      </w:r>
    </w:p>
    <w:p>
      <w:pPr>
        <w:pStyle w:val="TextBody"/>
        <w:spacing w:lineRule="auto" w:line="240" w:before="0" w:after="240"/>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or on the LTI Grant and on any shares of Common Stock issued in payment of the LTI Grant, to the extent the Company determines it is necessary or advisable for legal or administrative reasons and to require the Participant to sign any additional agreements or undertakings that may be necessary to accomplish the foregoing.</w:t>
      </w:r>
    </w:p>
    <w:p>
      <w:pPr>
        <w:pStyle w:val="TextBody"/>
        <w:spacing w:lineRule="auto" w:line="240" w:before="0" w:after="240"/>
        <w:rPr/>
      </w:pPr>
      <w:r>
        <w:rPr>
          <w:rFonts w:ascii="Times New Roman;sans-serif" w:hAnsi="Times New Roman;sans-serif"/>
          <w:b w:val="false"/>
          <w:color w:val="000000"/>
          <w:sz w:val="22"/>
        </w:rPr>
        <w:t>28.</w:t>
      </w:r>
      <w:r>
        <w:rPr>
          <w:rFonts w:ascii="Times New Roman;sans-serif" w:hAnsi="Times New Roman;sans-serif"/>
          <w:b w:val="false"/>
          <w:color w:val="000000"/>
          <w:sz w:val="22"/>
          <w:u w:val="single"/>
        </w:rPr>
        <w:t>Insider Trading/Market Abuse Laws</w:t>
      </w:r>
      <w:r>
        <w:rPr>
          <w:rFonts w:ascii="Times New Roman;sans-serif" w:hAnsi="Times New Roman;sans-serif"/>
          <w:b w:val="false"/>
          <w:color w:val="000000"/>
          <w:sz w:val="22"/>
        </w:rPr>
        <w:t>. The Participant may be subject to insider trading and/or market abuse laws, which affect the Participant’s ability to accept, acquire, sell or</w:t>
      </w:r>
      <w:r>
        <w:rPr>
          <w:color w:val="000000"/>
        </w:rPr>
        <w:t xml:space="preserve"> </w:t>
      </w:r>
      <w:r>
        <w:rPr>
          <w:rFonts w:ascii="Times New Roman;sans-serif" w:hAnsi="Times New Roman;sans-serif"/>
          <w:b w:val="false"/>
          <w:color w:val="000000"/>
          <w:sz w:val="22"/>
        </w:rPr>
        <w:t>otherwise dispose of shares of Common Stock, rights to such shares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the LTI Grant) or rights linked to the value of shares of Common Stock under the Plan during such times as the Participant is considered to have “material </w:t>
      </w:r>
      <w:r>
        <w:br w:type="page"/>
      </w:r>
    </w:p>
    <w:p>
      <w:pPr>
        <w:pStyle w:val="TextBody"/>
        <w:spacing w:before="0" w:after="0"/>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25780"/>
                <wp:effectExtent l="0" t="0" r="0" b="0"/>
                <wp:wrapNone/>
                <wp:docPr id="118" name="Frame11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12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12</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nonpublic information” or “insider information” regarding the Company (as defined by the laws or regulations in the relevant jurisdictions). Local insider trading laws and regulations may prohibit the cancellation or amendment of orders the Participant places before the Participant possessed inside information. Furthermore, the Participant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Participant acknowledges that it is his or her responsibility to be compliant with any applicable restrictions, and that the Participant should speak to his or her personal advisor on this matter.</w:t>
      </w:r>
    </w:p>
    <w:p>
      <w:pPr>
        <w:pStyle w:val="TextBody"/>
        <w:spacing w:lineRule="auto" w:line="240" w:before="0" w:after="240"/>
        <w:rPr/>
      </w:pPr>
      <w:r>
        <w:rPr>
          <w:rFonts w:ascii="Times New Roman;sans-serif" w:hAnsi="Times New Roman;sans-serif"/>
          <w:b w:val="false"/>
          <w:color w:val="000000"/>
          <w:sz w:val="22"/>
        </w:rPr>
        <w:t>29.</w:t>
      </w:r>
      <w:r>
        <w:rPr>
          <w:rFonts w:ascii="Times New Roman;sans-serif" w:hAnsi="Times New Roman;sans-serif"/>
          <w:b w:val="false"/>
          <w:color w:val="000000"/>
          <w:sz w:val="22"/>
          <w:u w:val="single"/>
        </w:rPr>
        <w:t>Exchange Control, Tax and Foreign Asset/Account Reporting Requirements</w:t>
      </w:r>
      <w:r>
        <w:rPr>
          <w:rFonts w:ascii="Times New Roman;sans-serif" w:hAnsi="Times New Roman;sans-serif"/>
          <w:b w:val="false"/>
          <w:color w:val="000000"/>
          <w:sz w:val="22"/>
        </w:rPr>
        <w:t>. 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dividends paid on shares of Common Stock acquired under the Plan) in a brokerage, bank account or legal entity outside the Participant’s country. The Participant may be required to report such accounts, balances, assets and/or the related transactions to the tax or other authorities in his or her country. The Participant also may be required to repatriate sale proceeds or other funds received as a result of the Participant’s participation in the Plan to his or her country through a designated bank or broker within a certain time after receipt. In addition, the Participant agrees to take any and all actions required by the Company, any other entity in the Mondelēz Group or the local laws, rules and regulations in the Participant’s country of residence (and country of employment, if different) that may be required to comply with such laws, rules and regulations. The Participant acknowledges that it is the Participant’s responsibility to be compliant with such regulations, and the Participant understands and agrees that the Participant should consult his or her personal legal advisor for any details.</w:t>
      </w:r>
    </w:p>
    <w:p>
      <w:pPr>
        <w:pStyle w:val="TextBody"/>
        <w:spacing w:lineRule="auto" w:line="240" w:before="0" w:after="240"/>
        <w:rPr/>
      </w:pPr>
      <w:r>
        <w:rPr>
          <w:rFonts w:ascii="Times New Roman;sans-serif" w:hAnsi="Times New Roman;sans-serif"/>
          <w:b w:val="false"/>
          <w:color w:val="000000"/>
          <w:sz w:val="22"/>
        </w:rPr>
        <w:t>30.</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The Participant acknowledges that a waiver by the Company of a breach of any provision of this Agreement shall not operate or be construed as a waiver of any other provision of this Agreement or of any subsequent breach by the Participant or any other participant of the Plan.</w:t>
      </w:r>
    </w:p>
    <w:p>
      <w:pPr>
        <w:pStyle w:val="TextBody"/>
        <w:ind w:left="0" w:right="0" w:firstLine="72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25780"/>
                <wp:effectExtent l="0" t="0" r="0" b="0"/>
                <wp:wrapNone/>
                <wp:docPr id="119" name="Frame11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13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13</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spacing w:before="0" w:after="0"/>
        <w:ind w:left="0" w:right="0" w:firstLine="720"/>
        <w:rPr/>
      </w:pPr>
      <w:r>
        <w:rPr/>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The Participant acknowledges that the Participant has reviewed the Plan, the Notice and this Agreement (including any appendices hereto) in their entirety and fully understands their respective provisions. The Participant agrees to accept as binding, conclusive and final all decisions or interpretations of the Committee upon any questions arising under the Plan, the Notice or this Agreement.</w:t>
      </w:r>
    </w:p>
    <w:p>
      <w:pPr>
        <w:pStyle w:val="TextBody"/>
        <w:spacing w:before="0" w:after="240"/>
        <w:ind w:left="0" w:right="0" w:firstLine="720"/>
        <w:rPr/>
      </w:pPr>
      <w:r>
        <w:rPr/>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IN WITNESS WHEREOF, this Agreement has been executed as of the date of the Notice. </w:t>
      </w:r>
    </w:p>
    <w:p>
      <w:pPr>
        <w:pStyle w:val="TextBody"/>
        <w:spacing w:before="0" w:after="240"/>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MONDELĒZ INTERNATIONAL, INC.</w:t>
      </w:r>
    </w:p>
    <w:p>
      <w:pPr>
        <w:pStyle w:val="TextBody"/>
        <w:spacing w:before="0" w:after="240"/>
        <w:rPr/>
      </w:pPr>
      <w:r>
        <w:rPr/>
        <w:drawing>
          <wp:inline distT="0" distB="63500" distL="0" distR="0">
            <wp:extent cx="2457450" cy="609600"/>
            <wp:effectExtent l="0" t="0" r="0" b="0"/>
            <wp:docPr id="1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 descr=""/>
                    <pic:cNvPicPr>
                      <a:picLocks noChangeAspect="1" noChangeArrowheads="1"/>
                    </pic:cNvPicPr>
                  </pic:nvPicPr>
                  <pic:blipFill>
                    <a:blip r:embed="rId5"/>
                    <a:stretch>
                      <a:fillRect/>
                    </a:stretch>
                  </pic:blipFill>
                  <pic:spPr bwMode="auto">
                    <a:xfrm>
                      <a:off x="0" y="0"/>
                      <a:ext cx="2457450" cy="609600"/>
                    </a:xfrm>
                    <a:prstGeom prst="rect">
                      <a:avLst/>
                    </a:prstGeom>
                  </pic:spPr>
                </pic:pic>
              </a:graphicData>
            </a:graphic>
          </wp:inline>
        </w:drawing>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Ellen M. Smith</w:t>
        <w:br/>
        <w:t>SVP &amp; Chief Counsel, Chief Compliance Officer &amp; Corporate Secretary</w:t>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25780"/>
                <wp:effectExtent l="0" t="0" r="0" b="0"/>
                <wp:wrapNone/>
                <wp:docPr id="121" name="Frame11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14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14</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spacing w:lineRule="auto" w:line="240" w:before="288" w:after="283"/>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br/>
        <w:t>AMENDED AND RESTATED 2005 PERFORMANCE INCENTIVE PLAN</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as of February 3, 2017)</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ADDITIONAL TERMS AND CONDITIONS OF THE</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GLOBAL LONG-TERM INCENTIVE GRANT AGREEMENT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This Appendix A includes additional terms and conditions that govern the LTI Grant to the Participant under the Plan if he or she resides and/or works in one of the countries listed herein. If the Participant is a citizen or resident (or is considered as such for local law purposes) of a country other than the country in which the Participant is currently residing and/or working, or if the Participant transfers to another country after receiving the LTI Grant, the Company shall, in its discretion, determine to what extent the terms and conditions contained herein shall be applicable to the Participant. Certain capitalized terms used but not defined in this Appendix A have the meanings set forth in the Plan and/or the Agreement.</w:t>
      </w:r>
    </w:p>
    <w:p>
      <w:pPr>
        <w:pStyle w:val="TextBody"/>
        <w:spacing w:lineRule="auto" w:line="240" w:before="288" w:after="283"/>
        <w:rPr>
          <w:rFonts w:ascii="Times New Roman;sans-serif" w:hAnsi="Times New Roman;sans-serif"/>
          <w:b w:val="false"/>
          <w:color w:val="000000"/>
          <w:sz w:val="22"/>
        </w:rPr>
      </w:pPr>
      <w:r>
        <w:rPr>
          <w:rFonts w:ascii="Times New Roman;sans-serif" w:hAnsi="Times New Roman;sans-serif"/>
          <w:b w:val="false"/>
          <w:color w:val="000000"/>
          <w:sz w:val="22"/>
        </w:rPr>
        <w:t>This Appendix A also includes information regarding securities, exchange control and certain other issues of which the Participant should be aware with respect to participation in the Plan. The information is based on the securities, exchange control and other laws in effect in the respective countries as of January 2023. Such laws are often complex and change frequently. As a result, the Participant should not rely on the information in this Appendix A as the only source of information relating to the consequences of his or her participation in the Plan because the information may be out of date at the time the Participant vests in the LTI Grant or sells shares of Common Stock acquired under the Plan.</w:t>
      </w:r>
    </w:p>
    <w:p>
      <w:pPr>
        <w:pStyle w:val="TextBody"/>
        <w:spacing w:lineRule="auto" w:line="240" w:before="324" w:after="240"/>
        <w:rPr>
          <w:rFonts w:ascii="Times New Roman;sans-serif" w:hAnsi="Times New Roman;sans-serif"/>
          <w:b w:val="false"/>
          <w:color w:val="000000"/>
          <w:sz w:val="22"/>
        </w:rPr>
      </w:pPr>
      <w:r>
        <w:rPr>
          <w:rFonts w:ascii="Times New Roman;sans-serif" w:hAnsi="Times New Roman;sans-serif"/>
          <w:b w:val="false"/>
          <w:color w:val="000000"/>
          <w:sz w:val="22"/>
        </w:rPr>
        <w:t>In addition, the information contained herein is general in nature and may not apply to the Participant’s particular situation, and the Company is not in a position to assure the Participant of a particular result. Accordingly, the Participant should seek appropriate professional advice as to how the relevant laws in his or her country may apply to the Participant’s situation.</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Finally, if the Participant is a citizen or resident of a country other than the one in which the Participant is currently working, transfers employment after the LTI Grant is made, or is considered a resident of another country for local law purposes, the information contained herein may not be applicable to the Participant in the same manner.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25780"/>
                <wp:effectExtent l="0" t="0" r="0" b="0"/>
                <wp:wrapNone/>
                <wp:docPr id="122" name="Frame11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15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18"/>
                        </w:rPr>
                        <w:t>15</w:t>
                      </w:r>
                    </w:p>
                    <w:p>
                      <w:pPr>
                        <w:pStyle w:val="TextBody"/>
                        <w:spacing w:before="0" w:after="0"/>
                        <w:rPr/>
                      </w:pPr>
                      <w:r>
                        <w:rPr/>
                      </w:r>
                    </w:p>
                  </w:txbxContent>
                </v:textbox>
              </v:rect>
            </w:pict>
          </mc:Fallback>
        </mc:AlternateContent>
      </w:r>
    </w:p>
    <w:p>
      <w:pPr>
        <w:pStyle w:val="TextBody"/>
        <w:spacing w:lineRule="auto" w:line="240" w:before="0" w:after="0"/>
        <w:rPr>
          <w:rFonts w:ascii="Times New Roman;sans-serif" w:hAnsi="Times New Roman;sans-serif"/>
          <w:b/>
          <w:color w:val="000000"/>
          <w:sz w:val="22"/>
          <w:highlight w:val="white"/>
          <w:u w:val="single"/>
        </w:rPr>
      </w:pPr>
      <w:r>
        <w:rPr>
          <w:rFonts w:ascii="Times New Roman;sans-serif" w:hAnsi="Times New Roman;sans-serif"/>
          <w:b/>
          <w:color w:val="000000"/>
          <w:sz w:val="22"/>
          <w:highlight w:val="white"/>
          <w:u w:val="single"/>
        </w:rPr>
        <w:t>EUROPEAN UNION / EUROPEAN ECONOMIC AREA, SWITZERLAND AND THE UNITED KINGDOM</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before="0" w:after="0"/>
        <w:rPr/>
      </w:pPr>
      <w:r>
        <w:rPr/>
      </w:r>
    </w:p>
    <w:p>
      <w:pPr>
        <w:pStyle w:val="TextBody"/>
        <w:spacing w:lineRule="auto" w:line="240" w:before="0" w:after="240"/>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10 of the Agreement:</w:t>
      </w:r>
    </w:p>
    <w:p>
      <w:pPr>
        <w:pStyle w:val="TextBody"/>
        <w:spacing w:lineRule="auto" w:line="240" w:before="7"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Participant is based in the European Union (“EU”), the European Economic Area, Switzerland or the United Kingdom, the Participant should note that Mondelēz International, Inc., with registered address at 905 West Fulton Market, Suite 200, Chicago, Illinois 60607, U.S.A. is the controller responsible for the processing of the Participant's Personal Data (as defined below) in connection with the Agreement and the Plan. </w:t>
      </w:r>
    </w:p>
    <w:p>
      <w:pPr>
        <w:pStyle w:val="TextBody"/>
        <w:spacing w:lineRule="auto" w:line="240" w:before="0" w:after="240"/>
        <w:rPr/>
      </w:pPr>
      <w:r>
        <w:rPr>
          <w:rFonts w:ascii="Times New Roman;sans-serif" w:hAnsi="Times New Roman;sans-serif"/>
          <w:b w:val="false"/>
          <w:color w:val="000000"/>
          <w:sz w:val="22"/>
          <w:u w:val="single"/>
        </w:rPr>
        <w:t>Data Collection and Usage</w:t>
      </w:r>
      <w:r>
        <w:rPr>
          <w:rFonts w:ascii="Times New Roman;sans-serif" w:hAnsi="Times New Roman;sans-serif"/>
          <w:b w:val="false"/>
          <w:color w:val="000000"/>
          <w:sz w:val="22"/>
        </w:rPr>
        <w:t xml:space="preserve">. Pursuant to applicable data protection laws, the Participant is hereby notified that the Company collects, processes and uses the following types of personal data about the Participant: name, home address and telephone number, email address, date of birth, social insurance, passport number or other identification number, salary, nationality, job title, any shares of stock or directorships held in any entity in the Mondelēz Group, details of all LTI Grants or any other entitlement to shares awarded, canceled, settled, vested, unvested or outstanding in the Participant’s favor, which the Company receives from the Participant or the Employer (“Personal Data”) for the exclusive legitimate purpose of the LTI Grant and implementing, administering and managing the Participant’s participation in the Plan. </w:t>
      </w:r>
    </w:p>
    <w:p>
      <w:pPr>
        <w:pStyle w:val="TextBody"/>
        <w:spacing w:lineRule="auto" w:line="240" w:before="0" w:after="240"/>
        <w:rPr/>
      </w:pPr>
      <w:r>
        <w:rPr>
          <w:rFonts w:ascii="Times New Roman;sans-serif" w:hAnsi="Times New Roman;sans-serif"/>
          <w:b w:val="false"/>
          <w:color w:val="000000"/>
          <w:sz w:val="22"/>
          <w:u w:val="single"/>
        </w:rPr>
        <w:t>Purposes and Legal Bases of Processing</w:t>
      </w:r>
      <w:r>
        <w:rPr>
          <w:rFonts w:ascii="Times New Roman;sans-serif" w:hAnsi="Times New Roman;sans-serif"/>
          <w:b w:val="false"/>
          <w:color w:val="000000"/>
          <w:sz w:val="22"/>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Participant equity awards. The Participant understands that providing the Company with Personal Data is necessary for the performance of the Agreement and that the Participant's refusal to provide Personal Data would make it impossible for the Company to perform its contractual obligations and may affect the Participant's ability to participate in the Plan.</w:t>
      </w:r>
    </w:p>
    <w:p>
      <w:pPr>
        <w:pStyle w:val="TextBody"/>
        <w:spacing w:lineRule="auto" w:line="240" w:before="0" w:after="240"/>
        <w:rPr/>
      </w:pPr>
      <w:r>
        <w:rPr>
          <w:rFonts w:ascii="Times New Roman;sans-serif" w:hAnsi="Times New Roman;sans-serif"/>
          <w:b w:val="false"/>
          <w:color w:val="000000"/>
          <w:sz w:val="22"/>
          <w:u w:val="single"/>
        </w:rPr>
        <w:t>International Data Transfers</w:t>
      </w:r>
      <w:r>
        <w:rPr>
          <w:rFonts w:ascii="Times New Roman;sans-serif" w:hAnsi="Times New Roman;sans-serif"/>
          <w:b w:val="false"/>
          <w:color w:val="000000"/>
          <w:sz w:val="22"/>
        </w:rPr>
        <w:t>. The Company is located in the United States which means that it will be necessary for Personal Data to be transferred to, and processed in, the United States. The Participant understands and acknowledges that the United States is not subject to an unlimited adequacy finding by the European Commission and that the Participant’s Personal Data may not have an equivalent level of protection as compared to the Participant’s country of residence. To provide appropriate safeguards for the protection of the Participant’s Personal Data, the Personal Data is transferred to the Company based on data transfer and processing agreements implementing the EU Standard Contractual Clauses. Further, the Participant understands that the Company transfers his or her Personal Data, or parts thereof to third parties based on agreements implementing the EU Standard Contractual Clauses. These third parties include E*TRADE Financial Corporate Services Inc. and its affiliates (“E*TRADE”), an independent service provider based in the United States which assists the Company with the implementation, administration and management of the Plan. E*TRADE has opened or will open an account for the Participant to receive and trade shares of Common Stock acquired under the Plan. The Participant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Participant may be asked to agree on separate terms and data processing practices with E*TRADE, PricewaterhouseCoopers LLP or KPMG LLP with such agreement being a condition to the Participant’s ability to participate in the Plan.</w:t>
      </w:r>
    </w:p>
    <w:p>
      <w:pPr>
        <w:pStyle w:val="TextBody"/>
        <w:spacing w:lineRule="auto" w:line="240" w:before="0" w:after="240"/>
        <w:rPr/>
      </w:pPr>
      <w:r>
        <w:rPr>
          <w:rFonts w:ascii="Times New Roman;sans-serif" w:hAnsi="Times New Roman;sans-serif"/>
          <w:b w:val="false"/>
          <w:color w:val="000000"/>
          <w:sz w:val="22"/>
        </w:rPr>
        <w:t xml:space="preserve">The Participant may request a copy of the safeguards used to protect his or her Personal Data or the names and addresses of any potential recipients of Personal Data by contacting the Company at: </w:t>
      </w:r>
      <w:r>
        <w:rPr>
          <w:rFonts w:ascii="Times New Roman;sans-serif" w:hAnsi="Times New Roman;sans-serif"/>
          <w:b w:val="false"/>
          <w:color w:val="000000"/>
          <w:sz w:val="22"/>
          <w:u w:val="single"/>
        </w:rPr>
        <w:t>DataProtectionOfficeMEU@mdlz.com</w:t>
      </w:r>
      <w:r>
        <w:rPr>
          <w:rFonts w:ascii="Times New Roman;sans-serif" w:hAnsi="Times New Roman;sans-serif"/>
          <w:b w:val="false"/>
          <w:color w:val="000000"/>
          <w:sz w:val="22"/>
        </w:rPr>
        <w:t>.</w:t>
      </w:r>
    </w:p>
    <w:p>
      <w:pPr>
        <w:pStyle w:val="TextBody"/>
        <w:spacing w:lineRule="auto" w:line="240" w:before="0" w:after="240"/>
        <w:rPr/>
      </w:pPr>
      <w:r>
        <w:rPr>
          <w:rFonts w:ascii="Times New Roman;sans-serif" w:hAnsi="Times New Roman;sans-serif"/>
          <w:b w:val="false"/>
          <w:color w:val="000000"/>
          <w:sz w:val="22"/>
          <w:u w:val="single"/>
        </w:rPr>
        <w:t>Data Retention</w:t>
      </w:r>
      <w:r>
        <w:rPr>
          <w:rFonts w:ascii="Times New Roman;sans-serif" w:hAnsi="Times New Roman;sans-serif"/>
          <w:b w:val="false"/>
          <w:color w:val="000000"/>
          <w:sz w:val="22"/>
        </w:rPr>
        <w:t xml:space="preserve">. The Company will use the Personal Data only as long as necessary to implement, administer and manage the Participant’s participation in the Plan, or as required to comply with legal or regulatory obligations, including tax and securities laws. When the Company no longer needs the </w:t>
      </w:r>
      <w:r>
        <w:br w:type="page"/>
      </w:r>
    </w:p>
    <w:p>
      <w:pPr>
        <w:pStyle w:val="TextBody"/>
        <w:spacing w:before="0" w:after="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25780"/>
                <wp:effectExtent l="0" t="0" r="0" b="0"/>
                <wp:wrapNone/>
                <wp:docPr id="123" name="Frame12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Personal Data, the Company will remove it from its systems. If the Company keeps data longer, it would be to satisfy legal or regulatory obligations and the Company’s legal basis would be relevant laws or regulations. </w:t>
      </w:r>
    </w:p>
    <w:p>
      <w:pPr>
        <w:pStyle w:val="TextBody"/>
        <w:spacing w:lineRule="auto" w:line="240" w:before="0" w:after="240"/>
        <w:rPr/>
      </w:pPr>
      <w:r>
        <w:rPr>
          <w:rFonts w:ascii="Times New Roman;sans-serif" w:hAnsi="Times New Roman;sans-serif"/>
          <w:b w:val="false"/>
          <w:color w:val="000000"/>
          <w:sz w:val="22"/>
          <w:u w:val="single"/>
        </w:rPr>
        <w:t>Data Subject Rights</w:t>
      </w:r>
      <w:r>
        <w:rPr>
          <w:rFonts w:ascii="Times New Roman;sans-serif" w:hAnsi="Times New Roman;sans-serif"/>
          <w:b w:val="false"/>
          <w:color w:val="000000"/>
          <w:sz w:val="22"/>
        </w:rPr>
        <w:t xml:space="preserve">. To the extent provided by law, the Participant has the right to (i) inquire whether and what kind of Personal Data the Company holds about the Participant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Participant feels its processing is inappropriate, (v) object, in certain circumstances, to the processing of Personal Data for legitimate interests, (vi) request portability of Personal Data that the Participant has actively or passively provided to the Company, where the processing of such Personal Data is based on consent or a contractual agreement with the Participant and is carried out by automated means, or (vii) lodge a complaint with the competent local data protection authority. To receive additional information regarding the Participant’s rights, raise any other questions regarding the practices described in the Agreement or to exercise his or her rights, the Participant should contact the Company at: </w:t>
      </w:r>
      <w:r>
        <w:rPr>
          <w:rFonts w:ascii="Times New Roman;sans-serif" w:hAnsi="Times New Roman;sans-serif"/>
          <w:b w:val="false"/>
          <w:color w:val="000000"/>
          <w:sz w:val="22"/>
          <w:u w:val="single"/>
        </w:rPr>
        <w:t>DataProtectionOfficeMEU@mdlz.com</w:t>
      </w:r>
      <w:r>
        <w:rPr>
          <w:rFonts w:ascii="Times New Roman;sans-serif" w:hAnsi="Times New Roman;sans-serif"/>
          <w:b w:val="false"/>
          <w:color w:val="000000"/>
          <w:sz w:val="22"/>
        </w:rPr>
        <w:t xml:space="preserve">. </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ARGENTINA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Restrictions and Covenants. </w:t>
      </w:r>
      <w:r>
        <w:rPr>
          <w:rFonts w:ascii="Times New Roman;sans-serif" w:hAnsi="Times New Roman;sans-serif"/>
          <w:b w:val="false"/>
          <w:color w:val="000000"/>
          <w:sz w:val="22"/>
        </w:rPr>
        <w:t>Notwithstanding anything to the contrary in the Agreement, paragraph 6 of the Agreement will not apply to Argentinian Participants.</w:t>
      </w:r>
    </w:p>
    <w:p>
      <w:pPr>
        <w:pStyle w:val="TextBody"/>
        <w:spacing w:lineRule="auto" w:line="240" w:before="0" w:after="240"/>
        <w:rPr/>
      </w:pPr>
      <w:r>
        <w:rPr>
          <w:rFonts w:ascii="Times New Roman;sans-serif" w:hAnsi="Times New Roman;sans-serif"/>
          <w:b/>
          <w:color w:val="000000"/>
          <w:sz w:val="22"/>
        </w:rPr>
        <w:t>Labor Law Policy and Acknowledgement</w:t>
      </w:r>
      <w:r>
        <w:rPr>
          <w:rFonts w:ascii="Times New Roman;sans-serif" w:hAnsi="Times New Roman;sans-serif"/>
          <w:b w:val="false"/>
          <w:color w:val="000000"/>
          <w:sz w:val="22"/>
        </w:rPr>
        <w:t>. The following provision supplements paragraph 9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Participant acknowledges and agrees that the grant is made by the Company (not the Employer) in its sole discretion and that the value of the LTI Grant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If, notwithstanding the foregoing, any benefits under the Plan are considered for any purpose under Argentine labor law, the Participant acknowledges and agrees that such benefits shall not accrue more frequently than on each vesting date.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Type of Offering</w:t>
      </w:r>
      <w:r>
        <w:rPr>
          <w:rFonts w:ascii="Times New Roman;sans-serif" w:hAnsi="Times New Roman;sans-serif"/>
          <w:b w:val="false"/>
          <w:color w:val="000000"/>
          <w:sz w:val="22"/>
        </w:rPr>
        <w:t>. Neither the LTI Grant nor the underlying shares of Common Stock are publicly offered or listed on any stock exchange in Argentina.</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Participant is solely responsible for complying with the exchange control rules that may apply in connection with his or her participation in the Plan and/or the transfer of proceeds acquired under the Plan into Argentina. Prior to vesting of the LTI Grant or transferring proceeds into Argentina, the Participant should consult his or her local bank and exchange control advisor to confirm the exchange control rules and required documentation.</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must report holdings of any equity interest in a foreign company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acquired under the Plan) on his or her annual tax return each year.</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AUSTRALIA </w:t>
      </w:r>
      <w:r>
        <w:br w:type="page"/>
      </w:r>
    </w:p>
    <w:p>
      <w:pPr>
        <w:pStyle w:val="TextBody"/>
        <w:spacing w:before="0" w:after="0"/>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25780"/>
                <wp:effectExtent l="0" t="0" r="0" b="0"/>
                <wp:wrapNone/>
                <wp:docPr id="124" name="Frame12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Nature of Plan</w:t>
      </w:r>
      <w:r>
        <w:rPr>
          <w:rFonts w:ascii="Times New Roman;sans-serif" w:hAnsi="Times New Roman;sans-serif"/>
          <w:b w:val="false"/>
          <w:color w:val="000000"/>
          <w:sz w:val="22"/>
        </w:rPr>
        <w:t xml:space="preserve">. The Participant’s right to participate in the Plan and receive the LTI Grant under the Plan is being made under Division 1A of Part 7.12 of the </w:t>
      </w:r>
      <w:r>
        <w:rPr>
          <w:rFonts w:ascii="Times New Roman;sans-serif" w:hAnsi="Times New Roman;sans-serif"/>
          <w:b w:val="false"/>
          <w:i/>
          <w:color w:val="000000"/>
          <w:sz w:val="22"/>
        </w:rPr>
        <w:t>Corporations Act 2001 (Cth)</w:t>
      </w:r>
      <w:r>
        <w:rPr>
          <w:rFonts w:ascii="Times New Roman;sans-serif" w:hAnsi="Times New Roman;sans-serif"/>
          <w:b w:val="false"/>
          <w:color w:val="000000"/>
          <w:sz w:val="22"/>
        </w:rPr>
        <w:t>. If the Participant offers shares of Common Stock for sale to a person or entity resident in Australia, the Participant’s offer may be subject to disclosure requirements under Australian law. The Participant should obtain legal advice on applicable disclosure obligations prior to making any such offer.</w:t>
      </w:r>
    </w:p>
    <w:p>
      <w:pPr>
        <w:pStyle w:val="TextBody"/>
        <w:spacing w:lineRule="auto" w:line="240" w:before="0" w:after="0"/>
        <w:jc w:val="both"/>
        <w:rPr/>
      </w:pPr>
      <w:r>
        <w:rPr>
          <w:rFonts w:ascii="Times New Roman;sans-serif" w:hAnsi="Times New Roman;sans-serif"/>
          <w:b/>
          <w:color w:val="000000"/>
          <w:sz w:val="22"/>
          <w:highlight w:val="white"/>
        </w:rPr>
        <w:t xml:space="preserve">Securities Law Disclosure. </w:t>
      </w:r>
      <w:r>
        <w:rPr>
          <w:rFonts w:ascii="Times New Roman;sans-serif" w:hAnsi="Times New Roman;sans-serif"/>
          <w:b w:val="false"/>
          <w:color w:val="000000"/>
          <w:sz w:val="22"/>
          <w:highlight w:val="white"/>
        </w:rPr>
        <w:t xml:space="preserve">This offer is being made under Division 1A, Part 7.12 of the Corporations Act 2001 (Cth). Please note that if the Participant offers </w:t>
      </w:r>
      <w:r>
        <w:rPr>
          <w:rFonts w:ascii="Times New Roman;sans-serif" w:hAnsi="Times New Roman;sans-serif"/>
          <w:b w:val="false"/>
          <w:color w:val="000000"/>
          <w:sz w:val="22"/>
        </w:rPr>
        <w:t>shares of Common Stock</w:t>
      </w:r>
      <w:r>
        <w:rPr>
          <w:color w:val="000000"/>
          <w:highlight w:val="white"/>
        </w:rPr>
        <w:t xml:space="preserve"> </w:t>
      </w:r>
      <w:r>
        <w:rPr>
          <w:rFonts w:ascii="Times New Roman;sans-serif" w:hAnsi="Times New Roman;sans-serif"/>
          <w:b w:val="false"/>
          <w:color w:val="000000"/>
          <w:sz w:val="22"/>
          <w:highlight w:val="white"/>
        </w:rPr>
        <w:t>for sale to a person or entity resident in Australia, the offer may be subject to disclosure requirements under Australian law. The Participant should obtain legal advice on the Participant’s disclosure obligations prior to making any such offer.</w:t>
      </w:r>
    </w:p>
    <w:p>
      <w:pPr>
        <w:pStyle w:val="TextBody"/>
        <w:spacing w:before="0" w:after="0"/>
        <w:rPr/>
      </w:pPr>
      <w:r>
        <w:rPr/>
      </w:r>
    </w:p>
    <w:p>
      <w:pPr>
        <w:pStyle w:val="TextBody"/>
        <w:spacing w:lineRule="auto" w:line="240" w:before="0" w:after="240"/>
        <w:rPr/>
      </w:pPr>
      <w:r>
        <w:rPr>
          <w:rFonts w:ascii="Times New Roman;sans-serif" w:hAnsi="Times New Roman;sans-serif"/>
          <w:b/>
          <w:color w:val="000000"/>
          <w:sz w:val="22"/>
        </w:rPr>
        <w:t xml:space="preserve">No payment constituting breach of law in Australia. </w:t>
      </w:r>
      <w:r>
        <w:rPr>
          <w:rFonts w:ascii="Times New Roman;sans-serif" w:hAnsi="Times New Roman;sans-serif"/>
          <w:b w:val="false"/>
          <w:color w:val="000000"/>
          <w:sz w:val="22"/>
        </w:rPr>
        <w:t>Notwithstanding anything else in the Plan or the Agreement, the Participant will not 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reporting is required for cash transactions exceeding AUD10,000 and for international fund transfers. If an Australian bank is assisting with the transaction, the bank will file the report on the Participant’s behalf, otherwise the Participant will be responsible for complying with any exchange control reporting requirements.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AUSTRIA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Participant holds shares of Common Stock acquired under the Plan or cash (including proceeds from the sale of shares of Common Stock) outside Austria, the Participant may be subject to reporting obligations to the Austrian National Bank.</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holds securities (including shares of Common Stock acquired under the Plan) or cash (including proceeds from the sale of shares of Common Stock) outside of Austria, he or she may be subject to reporting obligations to the Austrian National Bank. If the value of the shares of Common Stock meets or exceeds a certain threshold, the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of Austria meet or exceed a certain threshold, monthly reporting obligations apply as explained in the next paragraph.</w:t>
      </w:r>
    </w:p>
    <w:p>
      <w:pPr>
        <w:pStyle w:val="TextBody"/>
        <w:spacing w:lineRule="auto" w:line="240" w:before="0" w:after="240"/>
        <w:rPr/>
      </w:pPr>
      <w:r>
        <w:rPr>
          <w:rFonts w:ascii="Times New Roman;sans-serif" w:hAnsi="Times New Roman;sans-serif"/>
          <w:b w:val="false"/>
          <w:color w:val="000000"/>
          <w:sz w:val="22"/>
        </w:rPr>
        <w:t>If the Participant sells shares of Common Stock, or receives any cash dividends, the Participant may have exchange control obligations if the Participant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on the prescribed form (</w:t>
      </w:r>
      <w:r>
        <w:rPr>
          <w:rFonts w:ascii="Times New Roman;sans-serif" w:hAnsi="Times New Roman;sans-serif"/>
          <w:b w:val="false"/>
          <w:i/>
          <w:color w:val="000000"/>
          <w:sz w:val="22"/>
        </w:rPr>
        <w:t>Meldungen SI-Forderungen und/oder SI-Verpflichtungen</w:t>
      </w:r>
      <w:r>
        <w:rPr>
          <w:rFonts w:ascii="Times New Roman;sans-serif" w:hAnsi="Times New Roman;sans-serif"/>
          <w:b w:val="false"/>
          <w:color w:val="000000"/>
          <w:sz w:val="22"/>
        </w:rPr>
        <w: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BAHRAIN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r>
        <w:br w:type="page"/>
      </w:r>
    </w:p>
    <w:p>
      <w:pPr>
        <w:pStyle w:val="TextBody"/>
        <w:spacing w:before="0" w:after="0"/>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25780"/>
                <wp:effectExtent l="0" t="0" r="0" b="0"/>
                <wp:wrapNone/>
                <wp:docPr id="125" name="Frame12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Agreement does not constitute advertising or an offering of securities in Bahrain, nor does it constitute an allotment of securities in Bahrain. Any shares of Common Stock delivered pursuant to the vesting of the LTI Grant shall be deposited into a brokerage account in the United States. In no event will shares of Common Stock be issued or delivered in Bahrain. The issuance of shares of Common Stock pursuant to the LTI Grant described herein has not and will not be registered in Bahrain and hence, the shares of Common Stock described herein may not be admitted or used for offering, placement or public circulation in Bahrain. Accordingly, the Participant may not make any public advertising or announcements regarding the LTI Grant or shares of Common Stock in Bahrain, promote these shares of Common Stock to legal entities or individuals in Bahrain, or sell shares of Common Stock directly to other legal entities or individuals in Bahrain. The Participant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xml:space="preserve">., the Nasdaq Global Select Market). </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BELGIUM</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Participant is required to report any securities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acquired 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Participant should consult a personal tax advisor with respect to the applicable reporting obligations.</w:t>
      </w:r>
    </w:p>
    <w:p>
      <w:pPr>
        <w:pStyle w:val="TextBody"/>
        <w:spacing w:lineRule="auto" w:line="240" w:before="0" w:after="240"/>
        <w:rPr/>
      </w:pPr>
      <w:r>
        <w:rPr>
          <w:rFonts w:ascii="Times New Roman;sans-serif" w:hAnsi="Times New Roman;sans-serif"/>
          <w:b/>
          <w:color w:val="000000"/>
          <w:sz w:val="22"/>
        </w:rPr>
        <w:t>Annual Securities Accounts Tax</w:t>
      </w:r>
      <w:r>
        <w:rPr>
          <w:rFonts w:ascii="Times New Roman;sans-serif" w:hAnsi="Times New Roman;sans-serif"/>
          <w:b w:val="false"/>
          <w:color w:val="000000"/>
          <w:sz w:val="22"/>
        </w:rPr>
        <w:t>. If the value of securities held in a Belgian or foreign securities account exceeds EUR 1 million, a new “annual securities accounts tax” applies. Belgian residents should consult with their personal tax advisor regarding the new tax.</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By participating in the Plan and receiving the LTI Grant, the Participant acknowledges that he or she agrees to comply with applicable Brazilian laws and pay any and all applicable Tax-Related Items associated with the vesting of the LTI Grant and the payout or sale of any shares of Common Stock acquired under the Plan.</w:t>
      </w:r>
    </w:p>
    <w:p>
      <w:pPr>
        <w:pStyle w:val="TextBody"/>
        <w:spacing w:lineRule="auto" w:line="240" w:before="0" w:after="240"/>
        <w:rPr/>
      </w:pPr>
      <w:r>
        <w:rPr>
          <w:rFonts w:ascii="Times New Roman;sans-serif" w:hAnsi="Times New Roman;sans-serif"/>
          <w:b/>
          <w:color w:val="000000"/>
          <w:sz w:val="22"/>
        </w:rPr>
        <w:t xml:space="preserve">Labor Law Acknowledgment. </w:t>
      </w:r>
      <w:r>
        <w:rPr>
          <w:rFonts w:ascii="Times New Roman;sans-serif" w:hAnsi="Times New Roman;sans-serif"/>
          <w:b w:val="false"/>
          <w:color w:val="000000"/>
          <w:sz w:val="22"/>
        </w:rPr>
        <w:t>By accepting the LTI Grant, the Participant understands, acknowledges and agrees that, for all legal purposes (i) the Participant is making an investment decision and (ii) the value of the underlying shares of Common Stock are not fixed and may increase or decrease in value over the vesting period without compensation to the Employee.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Individuals who are resident or domiciled in Brazil are generally required to submit an annual declaration of assets and rights held outside Brazil to the Central Bank of Brazil if the aggregate value of such assets and rights is greater than US$1,000,000. If such amount is equal to or greater than US$100,000,000, the referenced declaration must be submitted quarterly, in the month following the end of each quarter. Assets and rights to be included in this annual declaration include shares of Common Stock acquired under the Plan.</w:t>
      </w:r>
    </w:p>
    <w:p>
      <w:pPr>
        <w:pStyle w:val="TextBody"/>
        <w:spacing w:lineRule="auto" w:line="240" w:before="0" w:after="240"/>
        <w:rPr/>
      </w:pPr>
      <w:r>
        <w:rPr>
          <w:rFonts w:ascii="Times New Roman;sans-serif" w:hAnsi="Times New Roman;sans-serif"/>
          <w:b/>
          <w:color w:val="000000"/>
          <w:sz w:val="22"/>
        </w:rPr>
        <w:t>Tax on Financial Transaction (IOF)</w:t>
      </w:r>
      <w:r>
        <w:rPr>
          <w:rFonts w:ascii="Times New Roman;sans-serif" w:hAnsi="Times New Roman;sans-serif"/>
          <w:b w:val="false"/>
          <w:color w:val="000000"/>
          <w:sz w:val="22"/>
        </w:rPr>
        <w:t>. Repatriation of funds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sale proceeds from the sale of shares of Common Stock and/or dividends) into Brazil and the conversion of USD into BRL associated with such fund transfers may be subject to the Tax on Financial Transactions. It is the Participant’s </w:t>
      </w:r>
      <w:r>
        <w:br w:type="page"/>
      </w:r>
    </w:p>
    <w:p>
      <w:pPr>
        <w:pStyle w:val="TextBody"/>
        <w:spacing w:before="0" w:after="0"/>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25780"/>
                <wp:effectExtent l="0" t="0" r="0" b="0"/>
                <wp:wrapNone/>
                <wp:docPr id="126" name="Frame12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responsibility to comply with any applicable Tax on Financial Transactions arising from his or her participation in the Plan. The Participant should consult with his or her personal tax advisor for additional details.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BULGARIA</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will be required to file statistical forms with the Bulgarian national bank annually regarding his or her receivables in bank accounts abroad as well as securities held abroad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shares of Common Stock acquired under the Plan) if the total sum of all such receivables and securities equals or exceeds BGN50,000 as of the previous calendar year end. The reports are due by March 31.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Participant should contact his or her bank in Bulgaria for additional information regarding these requirements.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CANADA </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Form of Payment.</w:t>
      </w:r>
      <w:r>
        <w:rPr>
          <w:color w:val="000000"/>
        </w:rPr>
        <w:t xml:space="preserve"> </w:t>
      </w:r>
      <w:r>
        <w:rPr>
          <w:rFonts w:ascii="Times New Roman;sans-serif" w:hAnsi="Times New Roman;sans-serif"/>
          <w:b w:val="false"/>
          <w:color w:val="000000"/>
          <w:sz w:val="22"/>
        </w:rPr>
        <w:t>LTI Grants to employees resident in Canada shall be paid in shares of Common Stock only.</w:t>
      </w:r>
    </w:p>
    <w:p>
      <w:pPr>
        <w:pStyle w:val="TextBody"/>
        <w:spacing w:lineRule="auto" w:line="240" w:before="0" w:after="240"/>
        <w:rPr/>
      </w:pPr>
      <w:r>
        <w:rPr>
          <w:rFonts w:ascii="Times New Roman;sans-serif" w:hAnsi="Times New Roman;sans-serif"/>
          <w:b/>
          <w:color w:val="000000"/>
          <w:sz w:val="22"/>
        </w:rPr>
        <w:t xml:space="preserve">Termination of Employment. </w:t>
      </w:r>
      <w:r>
        <w:rPr>
          <w:rFonts w:ascii="Times New Roman;sans-serif" w:hAnsi="Times New Roman;sans-serif"/>
          <w:b w:val="false"/>
          <w:color w:val="000000"/>
          <w:sz w:val="22"/>
        </w:rPr>
        <w:t>The following provision supplements paragraph 3(b)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Except as expressly required by applicable legislation, the Participant’s employment with the Mondelēz Group shall be deemed to be terminated and vesting for the LTI Grant will terminate effective as of the date that is the earliest of: (1) the date the Participant’s employment with the Mondelēz Group is terminated, or (2) the date the Participant receives notice of termination of employment from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Participant’s employment or service agreement, if any. The Committee shall have the exclusive discretion to determine when the Participant is no longer actively employed or providing services and the termination date for purposes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the foregoing, if applicable employment standards legislation explicitly requires continued entitlement to vesting during a statutory notice period, the Participant’s right to vest in the LTI Grants under the Plan, if any, will terminate effective as of the last day of the Participant’s minimum statutory notice period. The Participant will not earn or be entitled to pro-rated vesting for that portion of time before the date on which the Participant's right to vest terminates or if the vesting date falls after the end of the Participant’s statutory notice period, nor will the Participant be entitled to any compensation for lost vesting. </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The following provisions apply for Participants resident in Quebec:</w:t>
      </w:r>
    </w:p>
    <w:p>
      <w:pPr>
        <w:pStyle w:val="TextBody"/>
        <w:spacing w:lineRule="auto" w:line="240" w:before="0" w:after="240"/>
        <w:rPr/>
      </w:pPr>
      <w:r>
        <w:rPr>
          <w:rFonts w:ascii="Times New Roman;sans-serif" w:hAnsi="Times New Roman;sans-serif"/>
          <w:b/>
          <w:color w:val="000000"/>
          <w:sz w:val="22"/>
        </w:rPr>
        <w:t xml:space="preserve">Data Privacy. </w:t>
      </w:r>
      <w:r>
        <w:rPr>
          <w:rFonts w:ascii="Times New Roman;sans-serif" w:hAnsi="Times New Roman;sans-serif"/>
          <w:b w:val="false"/>
          <w:color w:val="000000"/>
          <w:sz w:val="22"/>
        </w:rPr>
        <w:t>The following provision supplements paragraph 10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The Participant hereby authorizes the Company and the Company’s representatives to discuss with and obtain all relevant information from all personnel, professional or not, involved in the administration and operation of the Plan. The Participant further authorizes the Mondelēz Group and the administrator of the Plan to disclose and discuss the Plan with their advisors. The Participant acknowledges and agrees that the Participant’s personal information, including sensitive personal information, may be transferred or disclosed outside of the Province of Quebec, including to the United States. The Participant further authorizes the Mondelēz Group to record such information and to keep such information in his or her employee file. The Participant also acknowledges and authorizes the Company and any subsidiary or </w:t>
      </w:r>
      <w:r>
        <w:br w:type="page"/>
      </w:r>
    </w:p>
    <w:p>
      <w:pPr>
        <w:pStyle w:val="TextBody"/>
        <w:spacing w:before="0" w:after="0"/>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25780"/>
                <wp:effectExtent l="0" t="0" r="0" b="0"/>
                <wp:wrapNone/>
                <wp:docPr id="127" name="Frame12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affiliate or other parties involved in the administration of the Plan to use technology for profiling purposes and to make automated decisions that may have an impact on the Participant or the administration of the Plan.</w:t>
      </w:r>
    </w:p>
    <w:p>
      <w:pPr>
        <w:pStyle w:val="TextBody"/>
        <w:spacing w:lineRule="auto" w:line="240" w:before="0" w:after="240"/>
        <w:rPr/>
      </w:pPr>
      <w:r>
        <w:rPr>
          <w:rFonts w:ascii="Times New Roman;sans-serif" w:hAnsi="Times New Roman;sans-serif"/>
          <w:b/>
          <w:color w:val="000000"/>
          <w:sz w:val="22"/>
        </w:rPr>
        <w:t xml:space="preserve">Language. </w:t>
      </w:r>
      <w:r>
        <w:rPr>
          <w:rFonts w:ascii="Times New Roman;sans-serif" w:hAnsi="Times New Roman;sans-serif"/>
          <w:b w:val="false"/>
          <w:color w:val="000000"/>
          <w:sz w:val="22"/>
        </w:rPr>
        <w:t xml:space="preserve">A French translation of the Plan and the Agreement can be made available to the Participant as soon as reasonably practicable upon the Participant’s request.. The Participant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 </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Une traduction française du Plan et du présent Contrat pourra êtremise à la disposition de Participant dès que raisonnablement possible à la demande de l'Participant. Le Participant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Participant is permitted to sell shares of Common Stock acquired under the Plan through the designated broker appointed under the Plan, if any, provided that the sale of such shares takes place outside Canada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the Nasdaq Global Select Market). </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Participant is required to report any specified foreign property annually on Form T1135 (Foreign Income Verification Statement) if the total cost of the Participant’s specified foreign property exceeds C$100,000 at any time during the year. The form must be filed by April 30th of the following year. Specified foreign property includes shares of Common Stock acquired under the Plan and may include the LTI Grant. The LTI Grant must be reported--generally at a nil cost--if the $100,000 cost threshold is exceeded because of other specified foreign property the Participant holds. If shares of Common Stock are acquired, their cost generally is the adjusted cost base (“</w:t>
      </w:r>
      <w:r>
        <w:rPr>
          <w:rFonts w:ascii="Times New Roman;sans-serif" w:hAnsi="Times New Roman;sans-serif"/>
          <w:b w:val="false"/>
          <w:color w:val="000000"/>
          <w:sz w:val="22"/>
          <w:u w:val="single"/>
        </w:rPr>
        <w:t>ACB</w:t>
      </w:r>
      <w:r>
        <w:rPr>
          <w:color w:val="000000"/>
        </w:rPr>
        <w:t>”</w:t>
      </w:r>
      <w:r>
        <w:rPr>
          <w:rFonts w:ascii="Times New Roman;sans-serif" w:hAnsi="Times New Roman;sans-serif"/>
          <w:b w:val="false"/>
          <w:color w:val="000000"/>
          <w:sz w:val="22"/>
        </w:rPr>
        <w:t xml:space="preserve">) of the shares of Common Stock. The ACB would normally equal the fair market value of the shares of Company Common Stock at vesting for the LTI Grant, but if the Participant owns other shares of Common Stock, this ACB may have to be averaged with the ACB of the other shares of Common Stock owned by the Participant. It is the Participant’s responsibility to comply with applicable reporting obligations. </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CHILE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constitutes a private offering of securities in Chile effective as of the Grant Date. The LTI Grant is made subject to general ruling N° 336 of the Chilean Superintendence of Securities and Insurance (“</w:t>
      </w:r>
      <w:r>
        <w:rPr>
          <w:rFonts w:ascii="Times New Roman;sans-serif" w:hAnsi="Times New Roman;sans-serif"/>
          <w:b w:val="false"/>
          <w:color w:val="000000"/>
          <w:sz w:val="22"/>
          <w:u w:val="single"/>
        </w:rPr>
        <w:t>SVS</w:t>
      </w:r>
      <w:r>
        <w:rPr>
          <w:color w:val="000000"/>
        </w:rPr>
        <w:t>”</w:t>
      </w:r>
      <w:r>
        <w:rPr>
          <w:rFonts w:ascii="Times New Roman;sans-serif" w:hAnsi="Times New Roman;sans-serif"/>
          <w:b w:val="false"/>
          <w:color w:val="000000"/>
          <w:sz w:val="22"/>
        </w:rPr>
        <w:t>). The offer refers to securities not registered at the securities registry or at the foreign securities registry of the SVS, and, therefore, such securities are not subject to oversight of the SVS. Given that the LTI Grant is not registered in Chile, the Company is not required to provide public information about the LTI Grant or the shares of Common Stock in Chile. Unless the LTI Grant and/or the shares of Common Stock are registered with the SVS, a public offering of such securities cannot be made in Chile.</w:t>
      </w:r>
    </w:p>
    <w:p>
      <w:pPr>
        <w:pStyle w:val="TextBody"/>
        <w:spacing w:lineRule="auto" w:line="240" w:before="0" w:after="240"/>
        <w:rPr/>
      </w:pPr>
      <w:r>
        <w:rPr>
          <w:rFonts w:ascii="Times New Roman;sans-serif" w:hAnsi="Times New Roman;sans-serif"/>
          <w:b w:val="false"/>
          <w:i/>
          <w:color w:val="000000"/>
          <w:sz w:val="22"/>
        </w:rPr>
        <w:t>Este Premio LTIP (en Inglés, “LTI Grant”) constituye una oferta privada de valores en Chile y se inicia en la Fecha de la Concesión. Este Premio LTIP se acoge a las disposiciones de la Norma de Carácter General N° 336 de la Superintendencia de Valores y Seguros de Chile (“</w:t>
      </w:r>
      <w:r>
        <w:rPr>
          <w:rFonts w:ascii="Times New Roman;sans-serif" w:hAnsi="Times New Roman;sans-serif"/>
          <w:b w:val="false"/>
          <w:i/>
          <w:color w:val="000000"/>
          <w:sz w:val="22"/>
          <w:u w:val="single"/>
        </w:rPr>
        <w:t>SVS</w:t>
      </w:r>
      <w:r>
        <w:rPr>
          <w:color w:val="000000"/>
        </w:rPr>
        <w:t>”</w:t>
      </w:r>
      <w:r>
        <w:rPr>
          <w:rFonts w:ascii="Times New Roman;sans-serif" w:hAnsi="Times New Roman;sans-serif"/>
          <w:b w:val="false"/>
          <w:i/>
          <w:color w:val="000000"/>
          <w:sz w:val="22"/>
        </w:rPr>
        <w:t>). Esta oferta versa sobre valores no inscritos en el Registro de Valores o en el Registro de Valores Extranjeros que lleva la SVS, por lo que tales valores no están sujetos a la fiscalización de ésta. Por tratarse el Premio LTIP de valores no registrados en Chile, no existe obligación por parte de la Compañía de entregar en Chile información pública respecto del Premio LTIP o sus Acciones. Estos valores no podrán ser objeto de oferta pública en Chile mientras no sean inscritos en el Registro de Valores correspondiente.</w:t>
      </w:r>
      <w:r>
        <w:br w:type="page"/>
      </w:r>
    </w:p>
    <w:p>
      <w:pPr>
        <w:pStyle w:val="TextBody"/>
        <w:spacing w:before="0" w:after="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25780"/>
                <wp:effectExtent l="0" t="0" r="0" b="0"/>
                <wp:wrapNone/>
                <wp:docPr id="128" name="Frame12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Participant is not required to repatriate any funds he or she receives with respect to the LTI Award Payout and/or the shares of Common Stock (</w:t>
      </w:r>
      <w:r>
        <w:rPr>
          <w:rFonts w:ascii="Times New Roman;sans-serif" w:hAnsi="Times New Roman;sans-serif"/>
          <w:b w:val="false"/>
          <w:i/>
          <w:color w:val="000000"/>
          <w:sz w:val="22"/>
        </w:rPr>
        <w:t>e.g.</w:t>
      </w:r>
      <w:r>
        <w:rPr>
          <w:rFonts w:ascii="Times New Roman;sans-serif" w:hAnsi="Times New Roman;sans-serif"/>
          <w:b w:val="false"/>
          <w:color w:val="000000"/>
          <w:sz w:val="22"/>
        </w:rPr>
        <w:t>, proceeds from the sale of shares of Common Stock or dividends received) to Chile. However, if the Participant decides to repatriate such funds, he or she must do so through the Formal Exchange Market (</w:t>
      </w:r>
      <w:r>
        <w:rPr>
          <w:rFonts w:ascii="Times New Roman;sans-serif" w:hAnsi="Times New Roman;sans-serif"/>
          <w:b w:val="false"/>
          <w:i/>
          <w:color w:val="000000"/>
          <w:sz w:val="22"/>
        </w:rPr>
        <w:t>i.e.</w:t>
      </w:r>
      <w:r>
        <w:rPr>
          <w:rFonts w:ascii="Times New Roman;sans-serif" w:hAnsi="Times New Roman;sans-serif"/>
          <w:b w:val="false"/>
          <w:color w:val="000000"/>
          <w:sz w:val="22"/>
        </w:rPr>
        <w:t>, a commercial bank or registered foreign exchange office) if the amount of the funds repatriated exceeds US$10,000. Further, if the value of the aggregate investments held by the Participant outside of Chile exceeds US$5,000,000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and cash proceeds acquired under the Plan), the Participant must report the investments annually to the Central Bank using Annex 3.1 of Chapter XII of the Foreign Exchange Regulations.</w:t>
      </w:r>
    </w:p>
    <w:p>
      <w:pPr>
        <w:pStyle w:val="TextBody"/>
        <w:spacing w:lineRule="auto" w:line="240" w:before="0" w:after="240"/>
        <w:rPr/>
      </w:pPr>
      <w:r>
        <w:rPr>
          <w:rFonts w:ascii="Times New Roman;sans-serif" w:hAnsi="Times New Roman;sans-serif"/>
          <w:b w:val="false"/>
          <w:color w:val="000000"/>
          <w:sz w:val="22"/>
        </w:rPr>
        <w:t xml:space="preserve">Exchange control requirements are subject to change. </w:t>
      </w:r>
      <w:r>
        <w:rPr>
          <w:rFonts w:ascii="Times New Roman;sans-serif" w:hAnsi="Times New Roman;sans-serif"/>
          <w:b w:val="false"/>
          <w:i/>
          <w:color w:val="000000"/>
          <w:sz w:val="22"/>
        </w:rPr>
        <w:t>The Participant</w:t>
      </w:r>
      <w:r>
        <w:rPr>
          <w:color w:val="000000"/>
        </w:rPr>
        <w:t xml:space="preserve"> </w:t>
      </w:r>
      <w:r>
        <w:rPr>
          <w:rFonts w:ascii="Times New Roman;sans-serif" w:hAnsi="Times New Roman;sans-serif"/>
          <w:b w:val="false"/>
          <w:i/>
          <w:color w:val="000000"/>
          <w:sz w:val="22"/>
        </w:rPr>
        <w:t>should consult with his or her personal legal advisor regarding any exchange control obligations that may apply in connection with the LTI Award Payout.</w:t>
      </w:r>
    </w:p>
    <w:p>
      <w:pPr>
        <w:pStyle w:val="TextBody"/>
        <w:spacing w:lineRule="auto" w:line="240" w:before="0" w:after="240"/>
        <w:rPr/>
      </w:pPr>
      <w:r>
        <w:rPr>
          <w:rFonts w:ascii="Times New Roman;sans-serif" w:hAnsi="Times New Roman;sans-serif"/>
          <w:b/>
          <w:color w:val="000000"/>
          <w:sz w:val="22"/>
        </w:rPr>
        <w:t>Foreign Asset / Account Reporting Information</w:t>
      </w:r>
      <w:r>
        <w:rPr>
          <w:rFonts w:ascii="Times New Roman;sans-serif" w:hAnsi="Times New Roman;sans-serif"/>
          <w:b w:val="false"/>
          <w:color w:val="000000"/>
          <w:sz w:val="22"/>
        </w:rPr>
        <w:t>. If the Participant holds shares of Common Stock acquired under the Plan outside Chile, the Participant may be required to inform the Chilean Internal Revenue Service (the “</w:t>
      </w:r>
      <w:r>
        <w:rPr>
          <w:rFonts w:ascii="Times New Roman;sans-serif" w:hAnsi="Times New Roman;sans-serif"/>
          <w:b w:val="false"/>
          <w:color w:val="000000"/>
          <w:sz w:val="22"/>
          <w:u w:val="single"/>
        </w:rPr>
        <w:t>CIRS</w:t>
      </w:r>
      <w:r>
        <w:rPr>
          <w:color w:val="000000"/>
        </w:rPr>
        <w:t>”</w:t>
      </w:r>
      <w:r>
        <w:rPr>
          <w:rFonts w:ascii="Times New Roman;sans-serif" w:hAnsi="Times New Roman;sans-serif"/>
          <w:b w:val="false"/>
          <w:color w:val="000000"/>
          <w:sz w:val="22"/>
        </w:rPr>
        <w:t xml:space="preserve">) of the details of the Participant’s investment in the shares of Common Stock. Further, if the Participant wishes to receive credit against the Participant’s Chilean income taxes for any taxes paid abroad, the Participant e must report the payment of taxes abroad to the CIRS. In either case, the Participant must file Tax Form 1929 by July 1 each year, which should be submitted electronically through the CIRS website: </w:t>
      </w:r>
      <w:r>
        <w:rPr>
          <w:rFonts w:ascii="Times New Roman;sans-serif" w:hAnsi="Times New Roman;sans-serif"/>
          <w:b w:val="false"/>
          <w:color w:val="000000"/>
          <w:sz w:val="24"/>
        </w:rPr>
        <w:t>www.sii.cl.</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CHINA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The following provisions apply to Participants who are exclusively citizens of the People’s Republic of China and who reside in mainland China, and Participants who are otherwise subject to exchange control restrictions applicable to employee stock plans in China, as determined by the Company in its sole discretion.</w:t>
      </w:r>
    </w:p>
    <w:p>
      <w:pPr>
        <w:pStyle w:val="TextBody"/>
        <w:spacing w:lineRule="auto" w:line="240" w:before="0" w:after="240"/>
        <w:rPr/>
      </w:pPr>
      <w:r>
        <w:rPr>
          <w:rFonts w:ascii="Times New Roman;sans-serif" w:hAnsi="Times New Roman;sans-serif"/>
          <w:b/>
          <w:color w:val="000000"/>
          <w:sz w:val="22"/>
        </w:rPr>
        <w:t>Time and Form of Payment.</w:t>
      </w:r>
      <w:r>
        <w:rPr>
          <w:color w:val="000000"/>
        </w:rPr>
        <w:t xml:space="preserve"> </w:t>
      </w:r>
      <w:r>
        <w:rPr>
          <w:rFonts w:ascii="Times New Roman;sans-serif" w:hAnsi="Times New Roman;sans-serif"/>
          <w:b w:val="false"/>
          <w:color w:val="000000"/>
          <w:sz w:val="22"/>
        </w:rPr>
        <w:t>Due to legal restrictions in China, the LTI Award Payout may be made to the Participant in cash, rather than shares of Common Stock as stated in paragraph 4(a) of the Agreement. If shares of Common Stock are issued upon payment of the LTI Grant, in the Company’s sole discretion, the shares may be required to be immediately sold. Thus, as a condition of the LTI Grant, the Participant agrees to the immediate sale of any shares of Common Stock issued to Participant upon payment and settlement of the LTI Grant.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the event that the Participant is not required to sell shares of Common Stock immediately upon payment of the LTI Grant, any shares of Common Stock issued to the Participant must be maintained in an account with E*TRADE Financial Corporate Services Inc. or such other broker as may be designated by the Company until the shares of Common Stock are sold through that broker. If the Company changes its designated broker, the Participant acknowledges and agrees that the Company may transfer any shares of Common Stock issued under the Plan to the new designated broker if necessary for legal or administrative reasons. The Participant agrees to sign any documentation necessary to facilitate the transfer. In addition, the Participant acknowledges and agrees that he or she must sell any shares of Common Stock issued as soon as practicable following the termination of the Participant’s employment or other service relationship with the Mondelēz Group and in no event later than six (6) months following the termination of the Participant’s employment or other service relationship with the Mondelēz Group, or within any other such time frame the Company determines to be necessary or advisable to comply with local requirements.</w:t>
      </w:r>
      <w:r>
        <w:br w:type="page"/>
      </w:r>
    </w:p>
    <w:p>
      <w:pPr>
        <w:pStyle w:val="TextBody"/>
        <w:spacing w:before="0" w:after="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25780"/>
                <wp:effectExtent l="0" t="0" r="0" b="0"/>
                <wp:wrapNone/>
                <wp:docPr id="129" name="Frame12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Exchange Control Restrictions.</w:t>
      </w:r>
      <w:r>
        <w:rPr>
          <w:color w:val="000000"/>
        </w:rPr>
        <w:t xml:space="preserve"> </w:t>
      </w:r>
      <w:r>
        <w:rPr>
          <w:rFonts w:ascii="Times New Roman;sans-serif" w:hAnsi="Times New Roman;sans-serif"/>
          <w:b w:val="false"/>
          <w:color w:val="000000"/>
          <w:sz w:val="22"/>
        </w:rPr>
        <w:t>The Participant understands and agrees that, due to exchange control laws in China, he or she will be required to immediately repatriate to China the cash proceeds from the sale of shares of Common Stock acquired under the LTI Grant. The Participant further understands that, under local law, such repatriation of the cash proceeds will be effected through a special exchange control account established by a member of the Mondelēz Group and the Participant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Participant acknowledges that he or she will be required to set up a U.S. dollar bank account in China so that the proceeds may be delivered to this account. If the proceeds are converted to local currency, the Participant acknowledges that the Mondelēz Group is under no obligation to secure any currency conversion rate, and may face delays in converting the proceeds to local currency due to exchange control restrictions in China. The Participant agrees to bear any currency fluctuation risk between the date the shares of Common Stock acquired from the LTI Grant are sold and the time that (i) the Tax-Related Items are converted to local currency and remitted to the tax authorities and (ii) net proceeds are converted to local currency and distributed to the Participant. The Participant acknowledges that the Mondelēz Group will not be held liable for any delay in delivering the proceeds to the Participant. The Participant agrees to sign any agreements, forms and/or consents that may be requested by the Company or the Company’s designated broker to effectuate any of the remittances, transfers, conversions or other processes affecting the proceeds.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Participant further agrees to comply with any other requirements that may be imposed by the Company in the future in order to facilitate compliance with exchange control requirements in China. For shares issued under the Plan, these additional requirements may include, but are not limited to, a requirement to maintain any shares of Common Stock acquired under the Plan in an account with a Company-designated broker and/or to sell any shares of Common Stock that the Participant receives immediately upon issuance (as described above) or upon termination of the Participant’s service with the Mondelēz Group.</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Chinese residents may be required to report to the SAFE all details of their foreign financial assets and liabilities, as well as details of any economic transactions conducted with non-Chinese residents, including the Company.</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COLOMBIA</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 xml:space="preserve">The Participant acknowledges that pursuant to Article 128 of the Colombian Labor Code, the Plan and related benefits do not constitute a component of the Participant’s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 </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shares of Common Stock are not and will not be registered in the Colombian registry of publicly traded securities (</w:t>
      </w:r>
      <w:r>
        <w:rPr>
          <w:rFonts w:ascii="Times New Roman;sans-serif" w:hAnsi="Times New Roman;sans-serif"/>
          <w:b w:val="false"/>
          <w:i/>
          <w:color w:val="000000"/>
          <w:sz w:val="22"/>
        </w:rPr>
        <w:t>Registro Nacional de Valores y Emisores</w:t>
      </w:r>
      <w:r>
        <w:rPr>
          <w:rFonts w:ascii="Times New Roman;sans-serif" w:hAnsi="Times New Roman;sans-serif"/>
          <w:b w:val="false"/>
          <w:color w:val="000000"/>
          <w:sz w:val="22"/>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Colombian residents must register shares of Common Stock acquired under the Plan, regardless of value, with the Central Bank of Colombia (</w:t>
      </w:r>
      <w:r>
        <w:rPr>
          <w:rFonts w:ascii="Times New Roman;sans-serif" w:hAnsi="Times New Roman;sans-serif"/>
          <w:b w:val="false"/>
          <w:i/>
          <w:color w:val="000000"/>
          <w:sz w:val="22"/>
        </w:rPr>
        <w:t>Banco de la República</w:t>
      </w:r>
      <w:r>
        <w:rPr>
          <w:rFonts w:ascii="Times New Roman;sans-serif" w:hAnsi="Times New Roman;sans-serif"/>
          <w:b w:val="false"/>
          <w:color w:val="000000"/>
          <w:sz w:val="22"/>
        </w:rPr>
        <w:t xml:space="preserve">) as foreign investment held abroad. In addition, the liquidation of such investments must be transferred </w:t>
      </w:r>
      <w:r>
        <w:br w:type="page"/>
      </w:r>
    </w:p>
    <w:p>
      <w:pPr>
        <w:pStyle w:val="TextBody"/>
        <w:spacing w:before="0" w:after="0"/>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25780"/>
                <wp:effectExtent l="0" t="0" r="0" b="0"/>
                <wp:wrapNone/>
                <wp:docPr id="130" name="Frame12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through the Colombian foreign exchange market (e.g. local banks), which includes the obligation of correctly completing and filing the appropriate foreign exchange form (</w:t>
      </w:r>
      <w:r>
        <w:rPr>
          <w:rFonts w:ascii="Times New Roman;sans-serif" w:hAnsi="Times New Roman;sans-serif"/>
          <w:b w:val="false"/>
          <w:i/>
          <w:color w:val="000000"/>
          <w:sz w:val="22"/>
        </w:rPr>
        <w:t>declaración de cambio</w:t>
      </w:r>
      <w:r>
        <w:rPr>
          <w:rFonts w:ascii="Times New Roman;sans-serif" w:hAnsi="Times New Roman;sans-serif"/>
          <w:b w:val="false"/>
          <w:color w:val="000000"/>
          <w:sz w:val="22"/>
        </w:rPr>
        <w: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Participant is responsible for complying with applicable exchange control requirements in Colombia and the Participant should consult his or her legal advisor prior to the acquisition or sale of the shares of Common Stock under the Plan to ensure compliance with current regulations.</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must file an annual informative return with the Colombian Tax Office detailing any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held abroad. If the individual value of any of these assets exceeds a certain threshold, the Participant must describe each asset and indicate the jurisdiction in which it is located, its nature and its value.</w:t>
      </w:r>
    </w:p>
    <w:p>
      <w:pPr>
        <w:pStyle w:val="TextBody"/>
        <w:spacing w:lineRule="auto" w:line="240" w:before="0" w:after="240"/>
        <w:rPr/>
      </w:pPr>
      <w:r>
        <w:rPr>
          <w:rFonts w:ascii="Times New Roman;sans-serif" w:hAnsi="Times New Roman;sans-serif"/>
          <w:b/>
          <w:color w:val="000000"/>
          <w:sz w:val="22"/>
          <w:u w:val="single"/>
        </w:rPr>
        <w:t>COSTA RICA</w:t>
      </w:r>
      <w:r>
        <w:rPr>
          <w:color w:val="000000"/>
        </w:rPr>
        <w:t xml:space="preserve">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CROATIA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Croatian residents may be required to report any foreign investments (including shares of Common Stock acquired under the Plan) to the Croatian National Bank for statistical purposes and obtain prior approval from the Croatian National Bank for bank accounts opened abroad. However, because exchange control regulations may change without notice, the Participant should consult his or her legal advisor to ensure compliance with current regulations.</w:t>
      </w:r>
      <w:r>
        <w:rPr>
          <w:color w:val="000000"/>
        </w:rPr>
        <w:t xml:space="preserve"> </w:t>
      </w:r>
      <w:r>
        <w:rPr>
          <w:rFonts w:ascii="Times New Roman;sans-serif" w:hAnsi="Times New Roman;sans-serif"/>
          <w:b w:val="false"/>
          <w:color w:val="000000"/>
          <w:sz w:val="22"/>
        </w:rPr>
        <w:t>It is the Participant 's responsibility to comply with Croatian exchange control laws.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CZECH REPUBLIC</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Retirement. </w:t>
      </w:r>
      <w:r>
        <w:rPr>
          <w:rFonts w:ascii="Times New Roman;sans-serif" w:hAnsi="Times New Roman;sans-serif"/>
          <w:b w:val="false"/>
          <w:color w:val="000000"/>
          <w:sz w:val="22"/>
        </w:rPr>
        <w:t>The following provision replaces paragraph 1(j) of the Agreement:</w:t>
      </w:r>
    </w:p>
    <w:p>
      <w:pPr>
        <w:pStyle w:val="TextBody"/>
        <w:spacing w:lineRule="auto" w:line="240" w:before="0" w:after="240"/>
        <w:rPr/>
      </w:pPr>
      <w:r>
        <w:rPr>
          <w:rFonts w:ascii="Times New Roman;sans-serif" w:hAnsi="Times New Roman;sans-serif"/>
          <w:b w:val="false"/>
          <w:color w:val="000000"/>
          <w:sz w:val="22"/>
          <w:u w:val="single"/>
        </w:rPr>
        <w:t>Retirement</w:t>
      </w:r>
      <w:r>
        <w:rPr>
          <w:rFonts w:ascii="Times New Roman;sans-serif" w:hAnsi="Times New Roman;sans-serif"/>
          <w:b w:val="false"/>
          <w:color w:val="000000"/>
          <w:sz w:val="22"/>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Czech residents may be required to fulfill certain notification duties in relation to the LTI Grant and the opening and maintenance of a foreign account, including reporting foreign financial assets with a value of CZK 200,000,000 or more. The Participant should consult their personal legal advisor to ensure compliance with the applicable requirements.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DENMARK</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Stock Option Act</w:t>
      </w:r>
      <w:r>
        <w:rPr>
          <w:rFonts w:ascii="Times New Roman;sans-serif" w:hAnsi="Times New Roman;sans-serif"/>
          <w:b w:val="false"/>
          <w:color w:val="000000"/>
          <w:sz w:val="22"/>
        </w:rPr>
        <w:t xml:space="preserve">. The Participant acknowledges that he or she has received an Employer Statement in Danish, which sets forth the additional terms of the LTI Grant to the extent that the Danish Stock Option Act applies. </w:t>
      </w:r>
      <w:r>
        <w:br w:type="page"/>
      </w:r>
    </w:p>
    <w:p>
      <w:pPr>
        <w:pStyle w:val="TextBody"/>
        <w:spacing w:before="0" w:after="0"/>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25780"/>
                <wp:effectExtent l="0" t="0" r="0" b="0"/>
                <wp:wrapNone/>
                <wp:docPr id="131" name="Frame12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is required to report any accounts holding shares of Common Stock or cash established outside Denmark to the Danish Tax Administration as part of his or her tax return under the section related to foreign affairs and income.</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ECUADOR</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In addition, Ecuadorian resident individuals are required to report on an annual basis, all monetary assets held in foreign financial entities in excess of US$100,000. The Participant should consult his or her legal or tax advisor to ensure compliance with all applicable reporting obligations.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EGYPT</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If the Participant transfers funds into Egypt in connection with the LTI Award Payout, the Participant is required to transfer the funds through a registered bank in Egypt.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FINLAND</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There are no specific reporting requirements with respect to foreign assets/accounts. However, please note that the Participant must check their pre-completed tax return to confirm that the ownership of shares of Common Stock and other securities (foreign or domestic) is correctly reported. If the Participant finds any errors or omissions, the Participant must make the necessary corrections electronically or by sending specific paper forms to the local tax authorities.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FRANCE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LTI Grant Not French-Qualified.</w:t>
      </w:r>
      <w:r>
        <w:rPr>
          <w:color w:val="000000"/>
        </w:rPr>
        <w:t xml:space="preserve"> </w:t>
      </w:r>
      <w:r>
        <w:rPr>
          <w:rFonts w:ascii="Times New Roman;sans-serif" w:hAnsi="Times New Roman;sans-serif"/>
          <w:b w:val="false"/>
          <w:color w:val="000000"/>
          <w:sz w:val="22"/>
        </w:rPr>
        <w:t>The LTI Grant made under this Agreement are not intended to qualify for specific tax and social security treatment pursuant to Sections L. 225-197-1 to L. 225-197-6 of the French Commercial Code, as amended.</w:t>
      </w:r>
    </w:p>
    <w:p>
      <w:pPr>
        <w:pStyle w:val="TextBody"/>
        <w:spacing w:lineRule="auto" w:line="240" w:before="0" w:after="240"/>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participating in the Plan and receiving the LTI Grant, the Participant confirms having read and understood the Plan and Agreement, including all terms and conditions included therein, which were provided in the English language. The Participant accepts the terms of those documents accordingly.</w:t>
      </w:r>
    </w:p>
    <w:p>
      <w:pPr>
        <w:pStyle w:val="TextBody"/>
        <w:spacing w:lineRule="auto" w:line="240" w:before="0" w:after="240"/>
        <w:rPr/>
      </w:pPr>
      <w:r>
        <w:rPr>
          <w:rFonts w:ascii="Times New Roman;sans-serif" w:hAnsi="Times New Roman;sans-serif"/>
          <w:b w:val="false"/>
          <w:i/>
          <w:color w:val="000000"/>
          <w:sz w:val="22"/>
        </w:rPr>
        <w:t>En acceptant cette LTIP recompense, le Participant confirme avoir lu et compris le Plan et le Contrat y relatif, incluant tous leurs termes et conditions, qui ont été transmis en langue anglaise. Le Participant accepte les dispositions de ces documents en connaissance de cause</w:t>
      </w:r>
      <w:r>
        <w:rPr>
          <w:rFonts w:ascii="Times New Roman;sans-serif" w:hAnsi="Times New Roman;sans-serif"/>
          <w:b w:val="false"/>
          <w:color w:val="000000"/>
          <w:sz w:val="22"/>
        </w:rPr>
        <w:t>.</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 xml:space="preserve">If the Participant holds shares of Common Stock outside France or maintains a foreign bank account, he or she is required to report such to the French tax authorities when filing his or her annual tax return, including any accounts that were closed during </w:t>
      </w:r>
      <w:r>
        <w:br w:type="page"/>
      </w:r>
    </w:p>
    <w:p>
      <w:pPr>
        <w:pStyle w:val="TextBody"/>
        <w:spacing w:before="0" w:after="0"/>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25780"/>
                <wp:effectExtent l="0" t="0" r="0" b="0"/>
                <wp:wrapNone/>
                <wp:docPr id="132" name="Frame12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year. Failure to comply could trigger significant penalties. Further, French residents with foreign account balances exceeding €1,000,000 may have additional monthly reporting obligations.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Retirement. </w:t>
      </w:r>
      <w:r>
        <w:rPr>
          <w:rFonts w:ascii="Times New Roman;sans-serif" w:hAnsi="Times New Roman;sans-serif"/>
          <w:b w:val="false"/>
          <w:color w:val="000000"/>
          <w:sz w:val="22"/>
        </w:rPr>
        <w:t>The following provision replaces paragraph 1(j) of the Agreement:</w:t>
      </w:r>
    </w:p>
    <w:p>
      <w:pPr>
        <w:pStyle w:val="TextBody"/>
        <w:spacing w:lineRule="auto" w:line="240" w:before="0" w:after="240"/>
        <w:rPr/>
      </w:pPr>
      <w:r>
        <w:rPr>
          <w:rFonts w:ascii="Times New Roman;sans-serif" w:hAnsi="Times New Roman;sans-serif"/>
          <w:b w:val="false"/>
          <w:color w:val="000000"/>
          <w:sz w:val="22"/>
          <w:u w:val="single"/>
        </w:rPr>
        <w:t>Retirement</w:t>
      </w:r>
      <w:r>
        <w:rPr>
          <w:rFonts w:ascii="Times New Roman;sans-serif" w:hAnsi="Times New Roman;sans-serif"/>
          <w:b w:val="false"/>
          <w:color w:val="000000"/>
          <w:sz w:val="22"/>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Cross-border payments made or received in excess of €12,500 may need to be reported monthly by accessing the electronic General Statistics Reporting Portal (“</w:t>
      </w:r>
      <w:r>
        <w:rPr>
          <w:rFonts w:ascii="Times New Roman;sans-serif" w:hAnsi="Times New Roman;sans-serif"/>
          <w:b w:val="false"/>
          <w:i/>
          <w:color w:val="000000"/>
          <w:sz w:val="22"/>
        </w:rPr>
        <w:t>Allgemeine Meldeportal Statistik</w:t>
      </w:r>
      <w:r>
        <w:rPr>
          <w:color w:val="000000"/>
        </w:rPr>
        <w:t>”</w:t>
      </w:r>
      <w:r>
        <w:rPr>
          <w:rFonts w:ascii="Times New Roman;sans-serif" w:hAnsi="Times New Roman;sans-serif"/>
          <w:b w:val="false"/>
          <w:color w:val="000000"/>
          <w:sz w:val="22"/>
        </w:rPr>
        <w:t>) via the Bundesbank’s website (</w:t>
      </w:r>
      <w:r>
        <w:rPr>
          <w:rFonts w:ascii="Times New Roman;sans-serif" w:hAnsi="Times New Roman;sans-serif"/>
          <w:b w:val="false"/>
          <w:color w:val="000000"/>
          <w:sz w:val="22"/>
          <w:u w:val="single"/>
        </w:rPr>
        <w:t>www.bundesbank.de</w:t>
      </w:r>
      <w:r>
        <w:rPr>
          <w:rFonts w:ascii="Times New Roman;sans-serif" w:hAnsi="Times New Roman;sans-serif"/>
          <w:b w:val="false"/>
          <w:color w:val="000000"/>
          <w:sz w:val="22"/>
        </w:rPr>
        <w:t xml:space="preserve">), or by such other method and within such other timing as permitted or required by Bundesbank. In addition, the Participant may be required to report the acquisition of securities if the value of the securities acquired exceeds €12,500 to the Bundesbank via email or telephone. </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German residents holding Common Stock must notify their local tax office if the acquisition of Common Stock under the Plan leads to a so-called qualified participation at any point during the calendar year. A qualified participation is attained only in the unlikely event (i) the Participant owns at least 1% of the Company and the value of the Common Stock acquired exceeds €150,000, or (ii) the Participant holds Common Stock exceeding 10% of the total capital of the Company.</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GHANA</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GREECE</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GUATEMALA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participating in the Plan, the Participant acknowledges that they have reviewed paragraph 24 of the Agreement and are sufficiently proficient in English, or, alternatively, that the Participant will seek appropriate assistance, to understand the terms and conditions in the Agreement.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HONDURAS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HONG KONG</w:t>
      </w:r>
      <w:r>
        <w:br w:type="page"/>
      </w:r>
    </w:p>
    <w:p>
      <w:pPr>
        <w:pStyle w:val="TextBody"/>
        <w:spacing w:before="0" w:after="0"/>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25780"/>
                <wp:effectExtent l="0" t="0" r="0" b="0"/>
                <wp:wrapNone/>
                <wp:docPr id="133" name="Frame13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i/>
          <w:color w:val="000000"/>
          <w:sz w:val="22"/>
        </w:rPr>
        <w:t>Warning: The contents of this document have not been reviewed by any regulatory authority in Hong Kong. The Participant is advised to exercise caution in relation to the offer. If the Participant is in any doubt about any of the contents of the Agreement, including this Appendix, or the Plan, the Participant should obtain independent professional advice. The LTI Grant and any shares of Common Stock issued pursuant to the grant do not constitute a public offering of securities under Hong Kong law and are available only to Participants of the</w:t>
      </w:r>
      <w:r>
        <w:rPr>
          <w:color w:val="000000"/>
        </w:rPr>
        <w:t xml:space="preserve"> </w:t>
      </w:r>
      <w:r>
        <w:rPr>
          <w:rFonts w:ascii="Times New Roman;sans-serif" w:hAnsi="Times New Roman;sans-serif"/>
          <w:b w:val="false"/>
          <w:i/>
          <w:color w:val="000000"/>
          <w:sz w:val="22"/>
        </w:rPr>
        <w:t xml:space="preserve">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LTI Grant and any related documentation are intended only for the personal use of each eligible employee of the Mondelēz Group and may not be distributed to any other person. </w:t>
      </w:r>
    </w:p>
    <w:p>
      <w:pPr>
        <w:pStyle w:val="TextBody"/>
        <w:spacing w:lineRule="auto" w:line="240" w:before="0" w:after="240"/>
        <w:rPr/>
      </w:pPr>
      <w:r>
        <w:rPr>
          <w:rFonts w:ascii="Times New Roman;sans-serif" w:hAnsi="Times New Roman;sans-serif"/>
          <w:b/>
          <w:color w:val="000000"/>
          <w:sz w:val="22"/>
        </w:rPr>
        <w:t>Sale of Shares.</w:t>
      </w:r>
      <w:r>
        <w:rPr>
          <w:color w:val="000000"/>
        </w:rPr>
        <w:t xml:space="preserve"> </w:t>
      </w:r>
      <w:r>
        <w:rPr>
          <w:rFonts w:ascii="Times New Roman;sans-serif" w:hAnsi="Times New Roman;sans-serif"/>
          <w:b w:val="false"/>
          <w:color w:val="000000"/>
          <w:sz w:val="22"/>
        </w:rPr>
        <w:t xml:space="preserve">Shares of Common Stock received under the Plan are accepted as a personal investment. In the event the LTI Grant vests and shares of Common Stock are issued to the Participant within six months of the Grant Date, the Participant agrees that he or she will not dispose of the shares of Common Stock acquired prior to the six-month anniversary of the Grant Date. </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HUNGARY</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216" w:after="240"/>
        <w:rPr>
          <w:rFonts w:ascii="Times New Roman;sans-serif" w:hAnsi="Times New Roman;sans-serif"/>
          <w:b/>
          <w:color w:val="000000"/>
          <w:sz w:val="22"/>
          <w:u w:val="single"/>
        </w:rPr>
      </w:pPr>
      <w:r>
        <w:rPr>
          <w:rFonts w:ascii="Times New Roman;sans-serif" w:hAnsi="Times New Roman;sans-serif"/>
          <w:b/>
          <w:color w:val="000000"/>
          <w:sz w:val="22"/>
          <w:u w:val="single"/>
        </w:rPr>
        <w:t>INDIA</w:t>
      </w:r>
    </w:p>
    <w:p>
      <w:pPr>
        <w:pStyle w:val="TextBody"/>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jc w:val="both"/>
        <w:rPr/>
      </w:pPr>
      <w:r>
        <w:rPr>
          <w:rFonts w:ascii="Times New Roman;sans-serif" w:hAnsi="Times New Roman;sans-serif"/>
          <w:b/>
          <w:color w:val="000000"/>
          <w:sz w:val="22"/>
        </w:rPr>
        <w:t>Payment after Vesting.</w:t>
      </w:r>
      <w:r>
        <w:rPr>
          <w:color w:val="000000"/>
        </w:rPr>
        <w:t xml:space="preserve"> </w:t>
      </w:r>
      <w:r>
        <w:rPr>
          <w:rFonts w:ascii="Times New Roman;sans-serif" w:hAnsi="Times New Roman;sans-serif"/>
          <w:b w:val="false"/>
          <w:color w:val="000000"/>
          <w:sz w:val="22"/>
        </w:rPr>
        <w:t>The following provision supplements Section 4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Due to regulatory requirements in India, the Company reserves the right to require that the Participant sell all shares of Common Stock delivered to the Participant, either immediately upon receipt of such shares or upon the Participant’s termination of employment from the Mondelēz Group. In this regard, the Participant agrees that the Company is authorized to instruct its designated broker to assist with any such mandatory sale of shares of Common Stock (on the Participant’s behalf pursuant to this authorization), and the Participant expressly authorizes the designated broker to complete the sale of such shares. The Participant also agrees to sign any agreements, forms and/or consents that may be reasonably requested by the Company (or the designated broker) to effectuate the sale of the shares of Common Stock and shall otherwise cooperate with the Company with respect to such matters, provided that the Participant shall not be permitted to exercise any influence over how, when or whether the sales occur. The Participant acknowledges that the designated broker is under no obligation to arrange for the sale of the shares of Common Stock at any particular price. Due to fluctuations in the shares of Common Stock price and/or applicable exchange rates between the date the shares of Common Stock are delivered to the Participant and (if later) the date on which the shares of Common Stock are sold, the amount of proceeds ultimately distributed to the Participant may be more or less than the market value of the shares of Common Stock on the relevant vesting date or the date on which such shares are delivered to the Participant. Upon the sale of the shares of Common Stock, the cash proceeds from the sale of shares (less any applicable Tax-Related Items, brokerage fees or commissions) will be delivered to the Participant in accordance with applicable laws and regulations, as determined by the Company in its sole discretion.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Indian residents are required to repatriate the cash proceeds received upon the sale of shares of Common Stock and convert such proceeds into local currency within specified timeframes as required under applicable regulations. Indian residents also are required to retain the foreign inward remittance certificate as evidence of repatriation.</w:t>
      </w:r>
      <w:r>
        <w:br w:type="page"/>
      </w:r>
    </w:p>
    <w:p>
      <w:pPr>
        <w:pStyle w:val="TextBody"/>
        <w:spacing w:before="0" w:after="0"/>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25780"/>
                <wp:effectExtent l="0" t="0" r="0" b="0"/>
                <wp:wrapNone/>
                <wp:docPr id="134" name="Frame13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As exchange control regulations can change frequently and without notice, the Participant should consult his or her personal tax or legal advisor before selling shares of Common Stock to ensure compliance with current regulations.</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Participant is required to declare foreign bank accounts and any foreign financial assets (including shares of Common Stock held outside India) in his or her annual tax return. It is the Participant’s responsibility to comply with this reporting obligation and the Participant should consult with his or her personal tax advisor in this regard.</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INDONESIA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 xml:space="preserve">TERMS AND CONDITIONS </w:t>
      </w:r>
    </w:p>
    <w:p>
      <w:pPr>
        <w:pStyle w:val="TextBody"/>
        <w:spacing w:lineRule="auto" w:line="240" w:before="0" w:after="240"/>
        <w:rPr/>
      </w:pPr>
      <w:r>
        <w:rPr>
          <w:rFonts w:ascii="Times New Roman;sans-serif" w:hAnsi="Times New Roman;sans-serif"/>
          <w:b/>
          <w:color w:val="000000"/>
          <w:sz w:val="22"/>
        </w:rPr>
        <w:t xml:space="preserve">Language Consent and Notification. </w:t>
      </w:r>
      <w:r>
        <w:rPr>
          <w:rFonts w:ascii="Times New Roman;sans-serif" w:hAnsi="Times New Roman;sans-serif"/>
          <w:b w:val="false"/>
          <w:color w:val="000000"/>
          <w:sz w:val="22"/>
        </w:rPr>
        <w:t xml:space="preserve">A translation of the documents relating to this LTI grant into Bahasa Indonesia can be provided to the Participant upon request to </w:t>
      </w:r>
      <w:r>
        <w:rPr>
          <w:rFonts w:ascii="Times New Roman;sans-serif" w:hAnsi="Times New Roman;sans-serif"/>
          <w:b w:val="false"/>
          <w:color w:val="000000"/>
          <w:sz w:val="22"/>
          <w:highlight w:val="white"/>
        </w:rPr>
        <w:t>Daning Novianti, My Rewards Advisor ID,</w:t>
      </w:r>
      <w:r>
        <w:rPr>
          <w:color w:val="000000"/>
          <w:highlight w:val="white"/>
        </w:rPr>
        <w:t xml:space="preserve"> </w:t>
      </w:r>
      <w:r>
        <w:rPr>
          <w:rFonts w:ascii="Times New Roman;sans-serif" w:hAnsi="Times New Roman;sans-serif"/>
          <w:b w:val="false"/>
          <w:color w:val="000000"/>
          <w:sz w:val="22"/>
          <w:highlight w:val="white"/>
        </w:rPr>
        <w:t xml:space="preserve">at </w:t>
      </w:r>
      <w:r>
        <w:rPr>
          <w:rFonts w:ascii="Times New Roman;sans-serif" w:hAnsi="Times New Roman;sans-serif"/>
          <w:b w:val="false"/>
          <w:color w:val="000000"/>
          <w:sz w:val="22"/>
          <w:highlight w:val="white"/>
          <w:u w:val="single"/>
        </w:rPr>
        <w:t>Daning.Novianti@mdlz.com</w:t>
      </w:r>
      <w:r>
        <w:rPr>
          <w:rFonts w:ascii="Times New Roman;sans-serif" w:hAnsi="Times New Roman;sans-serif"/>
          <w:b w:val="false"/>
          <w:color w:val="000000"/>
          <w:sz w:val="22"/>
        </w:rPr>
        <w:t>. By accepting the LTI Grant, the Participant (i) confirms having read and understood the documents relating to this LTI Grant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pStyle w:val="TextBody"/>
        <w:spacing w:lineRule="auto" w:line="240" w:before="0" w:after="240"/>
        <w:rPr/>
      </w:pPr>
      <w:r>
        <w:rPr>
          <w:rFonts w:ascii="Times New Roman;sans-serif" w:hAnsi="Times New Roman;sans-serif"/>
          <w:b/>
          <w:color w:val="000000"/>
          <w:sz w:val="22"/>
        </w:rPr>
        <w:t>Language Consent and Notification</w:t>
      </w:r>
      <w:r>
        <w:rPr>
          <w:rFonts w:ascii="Times New Roman;sans-serif" w:hAnsi="Times New Roman;sans-serif"/>
          <w:b w:val="false"/>
          <w:color w:val="000000"/>
          <w:sz w:val="22"/>
        </w:rPr>
        <w:t xml:space="preserve">. Terjemahan dari dokumen-dokumen terkait dengan pemberian ini ke Bahasa Indonesia dapat disediakan untuk anda berdasarkan permintaan kepada </w:t>
      </w:r>
      <w:r>
        <w:rPr>
          <w:rFonts w:ascii="Times New Roman;sans-serif" w:hAnsi="Times New Roman;sans-serif"/>
          <w:b w:val="false"/>
          <w:color w:val="000000"/>
          <w:sz w:val="22"/>
          <w:highlight w:val="white"/>
        </w:rPr>
        <w:t>Daning Novianti, My Rewards Advisor ID,</w:t>
      </w:r>
      <w:r>
        <w:rPr>
          <w:color w:val="000000"/>
          <w:highlight w:val="white"/>
        </w:rPr>
        <w:t xml:space="preserve"> </w:t>
      </w:r>
      <w:r>
        <w:rPr>
          <w:rFonts w:ascii="Times New Roman;sans-serif" w:hAnsi="Times New Roman;sans-serif"/>
          <w:b w:val="false"/>
          <w:color w:val="000000"/>
          <w:sz w:val="22"/>
          <w:highlight w:val="white"/>
        </w:rPr>
        <w:t xml:space="preserve">di </w:t>
      </w:r>
      <w:r>
        <w:rPr>
          <w:rFonts w:ascii="Times New Roman;sans-serif" w:hAnsi="Times New Roman;sans-serif"/>
          <w:b w:val="false"/>
          <w:color w:val="000000"/>
          <w:sz w:val="22"/>
          <w:highlight w:val="white"/>
          <w:u w:val="single"/>
        </w:rPr>
        <w:t>Daning.Novianti@mdlz.com</w:t>
      </w:r>
      <w:r>
        <w:rPr>
          <w:rFonts w:ascii="Times New Roman;sans-serif" w:hAnsi="Times New Roman;sans-serif"/>
          <w:b w:val="false"/>
          <w:color w:val="000000"/>
          <w:sz w:val="22"/>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Indonesian residents must provide the Indonesian central bank, Bank of Indonesia, with information on 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addition, if the Participant remits funds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Participant must complete a “Transfer Report Form.” The Transfer Report Form will be provided to the Participant by the bank through which the transaction is made.</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Indonesian residents have the obligation to report worldwide assets (including foreign accounts and shares of Common Stock acquired under the Plan) in their annual individual income tax return.</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IRELAND</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Retirement. </w:t>
      </w:r>
      <w:r>
        <w:rPr>
          <w:rFonts w:ascii="Times New Roman;sans-serif" w:hAnsi="Times New Roman;sans-serif"/>
          <w:b w:val="false"/>
          <w:color w:val="000000"/>
          <w:sz w:val="22"/>
        </w:rPr>
        <w:t>The following provision replaces paragraph 1(j) of the Agreement:</w:t>
      </w:r>
      <w:r>
        <w:br w:type="page"/>
      </w:r>
    </w:p>
    <w:p>
      <w:pPr>
        <w:pStyle w:val="TextBody"/>
        <w:spacing w:before="0" w:after="0"/>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25780"/>
                <wp:effectExtent l="0" t="0" r="0" b="0"/>
                <wp:wrapNone/>
                <wp:docPr id="135" name="Frame13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u w:val="single"/>
        </w:rPr>
        <w:t>Retirement</w:t>
      </w:r>
      <w:r>
        <w:rPr>
          <w:rFonts w:ascii="Times New Roman;sans-serif" w:hAnsi="Times New Roman;sans-serif"/>
          <w:b w:val="false"/>
          <w:color w:val="000000"/>
          <w:sz w:val="22"/>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Director Notification Requirement.</w:t>
      </w:r>
      <w:r>
        <w:rPr>
          <w:color w:val="000000"/>
        </w:rPr>
        <w:t xml:space="preserve"> </w:t>
      </w:r>
      <w:r>
        <w:rPr>
          <w:rFonts w:ascii="Times New Roman;sans-serif" w:hAnsi="Times New Roman;sans-serif"/>
          <w:b w:val="false"/>
          <w:color w:val="000000"/>
          <w:sz w:val="22"/>
        </w:rPr>
        <w:t>If the Participant is a director, shadow director or secretary of an Irish subsidiary or affiliate, the Participant must notify the Irish subsidiary or affiliate in writing if (1) the Participant receives or disposes of an interest exceeding 1% of the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LTI Award Payout, shares of Common Stock, etc.), (2) the Participant becomes aware of an event giving rise to a notification requirement, or (3) the Participant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ISRAEL</w:t>
      </w:r>
    </w:p>
    <w:p>
      <w:pPr>
        <w:pStyle w:val="TextBody"/>
        <w:spacing w:before="0" w:after="0"/>
        <w:rPr/>
      </w:pPr>
      <w:r>
        <w:rPr/>
      </w:r>
    </w:p>
    <w:p>
      <w:pPr>
        <w:pStyle w:val="TextBody"/>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0"/>
        <w:rPr/>
      </w:pPr>
      <w:r>
        <w:rPr>
          <w:rFonts w:ascii="Times New Roman;sans-serif" w:hAnsi="Times New Roman;sans-serif"/>
          <w:b/>
          <w:color w:val="000000"/>
          <w:sz w:val="22"/>
        </w:rPr>
        <w:t>Immediate Sale Restriction.</w:t>
      </w:r>
      <w:r>
        <w:rPr>
          <w:color w:val="000000"/>
        </w:rPr>
        <w:t xml:space="preserve"> </w:t>
      </w:r>
      <w:r>
        <w:rPr>
          <w:rFonts w:ascii="Times New Roman;sans-serif" w:hAnsi="Times New Roman;sans-serif"/>
          <w:b w:val="false"/>
          <w:color w:val="000000"/>
          <w:sz w:val="22"/>
        </w:rPr>
        <w:t xml:space="preserve">As a condition of the LTI Grant, the Participant agrees to the immediate sale of any shares of Common Stock issued to Participant upon the LTI Award Payout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of Common Stock. Upon any such sale of the shares, the proceeds, less any Tax-Related Items and broker’s fees or commissions, will be remitted to the Participant. The Company reserves the right to allow the Participant to hold shares of Common Stock depending on the development of local law. </w:t>
      </w:r>
    </w:p>
    <w:p>
      <w:pPr>
        <w:pStyle w:val="TextBody"/>
        <w:spacing w:before="0" w:after="0"/>
        <w:rPr/>
      </w:pPr>
      <w:r>
        <w:rPr/>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LTI Grant does not constitute a public offering under the Securities Law, 1968.</w:t>
      </w:r>
    </w:p>
    <w:p>
      <w:pPr>
        <w:pStyle w:val="TextBody"/>
        <w:spacing w:before="0" w:after="0"/>
        <w:rPr/>
      </w:pPr>
      <w:r>
        <w:rPr/>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Plan Document Acknowledgment.</w:t>
      </w:r>
      <w:r>
        <w:rPr>
          <w:color w:val="000000"/>
        </w:rPr>
        <w:t xml:space="preserve"> </w:t>
      </w:r>
      <w:r>
        <w:rPr>
          <w:rFonts w:ascii="Times New Roman;sans-serif" w:hAnsi="Times New Roman;sans-serif"/>
          <w:b w:val="false"/>
          <w:color w:val="000000"/>
          <w:sz w:val="22"/>
        </w:rPr>
        <w:t>In participating in the Plan and receiving the LTI Grant, the Participant acknowledges that he or she has received a copy of the Plan and the Agreement and has reviewed the Plan and the Agreement, including this Appendix A, in their entirety and fully understands and accepts all provisions of the Plan and the Agreement, including this Appendix A.</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Participant acknowledges that he or she has read and specifically and expressly approves the following paragraphs of the Agreement: paragraph 3 on Vesting and Forfeiture; paragraph 4 on Payment; paragraph 5 on Treatment Upon a Change of Control; paragraph 6 on Restrictions and Covenants; paragraph 8 on Withholding Taxes; paragraph 9 on the Nature of the Grant; paragraph 11 on Nontransferability of LTI Grant; paragraph 14 on No Guarantee of Continued Employment; paragraph 15 on Entire Agreement; Governing Law; paragraph 16 on Conformity to Securities Laws; paragraph 24 on Language; paragraph 26 on Electronic Delivery and Acceptance; paragraph 27 on Imposition of Other Requirements; paragraph 28 on Insider Trading/Market Abuse Laws; paragraph 30 on Waiver; and the Data Privacy Notice in the European Union / European Economic Area section of this Appendix 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r>
        <w:br w:type="page"/>
      </w:r>
    </w:p>
    <w:p>
      <w:pPr>
        <w:pStyle w:val="TextBody"/>
        <w:spacing w:before="0" w:after="0"/>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25780"/>
                <wp:effectExtent l="0" t="0" r="0" b="0"/>
                <wp:wrapNone/>
                <wp:docPr id="136" name="Frame13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Italian residents who, during the fiscal year,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LTI Grants)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LTI Grants), are beneficial owners of the investment pursuant to Italian money laundering provisions.</w:t>
      </w:r>
    </w:p>
    <w:p>
      <w:pPr>
        <w:pStyle w:val="TextBody"/>
        <w:spacing w:lineRule="auto" w:line="240" w:before="0" w:after="240"/>
        <w:rPr/>
      </w:pPr>
      <w:r>
        <w:rPr>
          <w:rFonts w:ascii="Times New Roman;sans-serif" w:hAnsi="Times New Roman;sans-serif"/>
          <w:b/>
          <w:color w:val="000000"/>
          <w:sz w:val="22"/>
        </w:rPr>
        <w:t xml:space="preserve">Foreign Financial Assets Tax. </w:t>
      </w:r>
      <w:r>
        <w:rPr>
          <w:rFonts w:ascii="Times New Roman;sans-serif" w:hAnsi="Times New Roman;sans-serif"/>
          <w:b w:val="false"/>
          <w:color w:val="000000"/>
          <w:sz w:val="22"/>
        </w:rPr>
        <w:t>The fair market value of any shares of Common Stock held outside Italy is subject to a foreign assets tax. The fair market value is considered to be the value of the shares of Common Stock on the Nasdaq Global Select Market on December 31 of each year or on the last day the Participant held the shares (in such case, or when the shares of Common Stock are acquired during the course of the year, the tax is levied in proportion to the actual days of holding over the calendar year). The Participant should consult with his or her personal tax advisor about the foreign financial assets tax.</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will be required to report details of any assets held outside Japan as of December 31st (including any shares of Common Stock acquired under the Plan) to the extent such assets have a total net fair market value exceeding ¥50,000,000. Such report will be due by March 15th each year. The Participant should consult with his or her personal tax advisor as to whether the reporting obligation applies to the Participant and whether the Participant will be required to include details of any outstanding LTI Grant, shares of Common Stock or cash held by the Participant in the report.</w:t>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KAZAKHSTAN</w:t>
      </w:r>
    </w:p>
    <w:p>
      <w:pPr>
        <w:pStyle w:val="TextBody"/>
        <w:spacing w:before="0" w:after="0"/>
        <w:rPr/>
      </w:pPr>
      <w:r>
        <w:rPr/>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0"/>
        <w:rPr/>
      </w:pPr>
      <w:r>
        <w:rPr>
          <w:rFonts w:ascii="Times New Roman;sans-serif" w:hAnsi="Times New Roman;sans-serif"/>
          <w:b/>
          <w:color w:val="000000"/>
          <w:sz w:val="22"/>
        </w:rPr>
        <w:t>Securities Law Notification</w:t>
      </w:r>
      <w:r>
        <w:rPr>
          <w:rFonts w:ascii="Times New Roman;sans-serif" w:hAnsi="Times New Roman;sans-serif"/>
          <w:b w:val="false"/>
          <w:color w:val="000000"/>
          <w:sz w:val="22"/>
        </w:rPr>
        <w:t>.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Residents of Kazakhstan may be required to notify the National Bank of Kazakhstan when they acquire shares of Common Stock under the Plan if the value of such shares of Common Stock exceeds US$100,000.</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Please note that the exchange control regulations in Kazakhstan are subject to change. The Employee should consult with their personal legal advisor regarding any exchange control obligations that the Employee may have prior to the LTI Award Payout or receiving proceeds from the sale of shares of Common Stock acquired under the Plan. The Employee is responsible for ensuring compliance with all exchange control laws in Kazakhstan.</w:t>
      </w:r>
    </w:p>
    <w:p>
      <w:pPr>
        <w:pStyle w:val="TextBody"/>
        <w:spacing w:before="0" w:after="0"/>
        <w:rPr/>
      </w:pPr>
      <w:r>
        <w:rPr/>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KENYA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Tax Registration Notification</w:t>
      </w:r>
      <w:r>
        <w:rPr>
          <w:rFonts w:ascii="Times New Roman;sans-serif" w:hAnsi="Times New Roman;sans-serif"/>
          <w:b w:val="false"/>
          <w:color w:val="000000"/>
          <w:sz w:val="22"/>
        </w:rPr>
        <w:t xml:space="preserve">. Under Tax Procedure Act, 2015, the Participant is required to complete and submit a tax registration application to the Commissioner of Income Tax within 30 days of the LTI Award Payout. The registration should be completed through the online portal “I TAX” and is a one-time only registration. The Participant is solely responsible for ensuring compliance with all registration requirements in Kenya. </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LEBANON</w:t>
      </w:r>
      <w:r>
        <w:br w:type="page"/>
      </w:r>
    </w:p>
    <w:p>
      <w:pPr>
        <w:pStyle w:val="TextBody"/>
        <w:spacing w:before="0" w:after="0"/>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25780"/>
                <wp:effectExtent l="0" t="0" r="0" b="0"/>
                <wp:wrapNone/>
                <wp:docPr id="137" name="Frame13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Plan does not constitute the marketing or offering of securities in Lebanon pursuant to Law No. 161 (2011), the Capital Markets Law. Offerings under the Plan are being made only to eligible employees of the Mondelēz Group.</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LITHUANIA</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MALAYSIA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paragraph 10 of the Agreement:</w:t>
      </w:r>
      <w:r>
        <w:br w:type="page"/>
      </w:r>
    </w:p>
    <w:p>
      <w:pPr>
        <w:pStyle w:val="TextBody"/>
        <w:spacing w:before="0" w:after="0"/>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25780"/>
                <wp:effectExtent l="0" t="0" r="0" b="0"/>
                <wp:wrapNone/>
                <wp:docPr id="138" name="Frame13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974"/>
        <w:gridCol w:w="1736"/>
        <w:gridCol w:w="1740"/>
        <w:gridCol w:w="1391"/>
        <w:gridCol w:w="1391"/>
        <w:gridCol w:w="1973"/>
      </w:tblGrid>
      <w:tr>
        <w:trPr/>
        <w:tc>
          <w:tcPr>
            <w:tcW w:w="1974" w:type="dxa"/>
            <w:tcBorders/>
            <w:shd w:fill="auto" w:val="clear"/>
            <w:vAlign w:val="center"/>
          </w:tcPr>
          <w:p>
            <w:pPr>
              <w:pStyle w:val="TableContents"/>
              <w:spacing w:before="0" w:after="283"/>
              <w:rPr>
                <w:sz w:val="4"/>
                <w:szCs w:val="4"/>
              </w:rPr>
            </w:pPr>
            <w:r>
              <w:rPr>
                <w:sz w:val="4"/>
                <w:szCs w:val="4"/>
              </w:rPr>
            </w:r>
          </w:p>
        </w:tc>
        <w:tc>
          <w:tcPr>
            <w:tcW w:w="1736" w:type="dxa"/>
            <w:tcBorders/>
            <w:shd w:fill="auto" w:val="clear"/>
            <w:vAlign w:val="center"/>
          </w:tcPr>
          <w:p>
            <w:pPr>
              <w:pStyle w:val="TableContents"/>
              <w:spacing w:before="0" w:after="283"/>
              <w:rPr>
                <w:sz w:val="4"/>
                <w:szCs w:val="4"/>
              </w:rPr>
            </w:pPr>
            <w:r>
              <w:rPr>
                <w:sz w:val="4"/>
                <w:szCs w:val="4"/>
              </w:rPr>
            </w:r>
          </w:p>
        </w:tc>
        <w:tc>
          <w:tcPr>
            <w:tcW w:w="1740"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973" w:type="dxa"/>
            <w:tcBorders/>
            <w:shd w:fill="auto" w:val="clear"/>
            <w:vAlign w:val="center"/>
          </w:tcPr>
          <w:p>
            <w:pPr>
              <w:pStyle w:val="TableContents"/>
              <w:spacing w:before="0" w:after="283"/>
              <w:rPr>
                <w:sz w:val="4"/>
                <w:szCs w:val="4"/>
              </w:rPr>
            </w:pPr>
            <w:r>
              <w:rPr>
                <w:sz w:val="4"/>
                <w:szCs w:val="4"/>
              </w:rPr>
            </w:r>
          </w:p>
        </w:tc>
      </w:tr>
      <w:tr>
        <w:trPr/>
        <w:tc>
          <w:tcPr>
            <w:tcW w:w="5450" w:type="dxa"/>
            <w:gridSpan w:val="3"/>
            <w:tcBorders>
              <w:top w:val="dotted" w:sz="4" w:space="0" w:color="000000"/>
              <w:left w:val="dotted" w:sz="4" w:space="0" w:color="000000"/>
              <w:bottom w:val="dotted" w:sz="4" w:space="0" w:color="000000"/>
            </w:tcBorders>
            <w:shd w:fill="auto" w:val="clear"/>
            <w:tcMar>
              <w:top w:w="30" w:type="dxa"/>
              <w:bottom w:w="30" w:type="dxa"/>
              <w:right w:w="0" w:type="dxa"/>
            </w:tcMar>
            <w:vAlign w:val="center"/>
          </w:tcPr>
          <w:p>
            <w:pPr>
              <w:pStyle w:val="TableContents"/>
              <w:spacing w:lineRule="auto" w:line="240" w:before="0" w:after="240"/>
              <w:jc w:val="left"/>
              <w:rPr/>
            </w:pPr>
            <w:r>
              <w:rPr>
                <w:rFonts w:ascii="Times New Roman;sans-serif" w:hAnsi="Times New Roman;sans-serif"/>
                <w:b/>
                <w:i/>
                <w:color w:val="000000"/>
                <w:sz w:val="22"/>
              </w:rPr>
              <w:t>The Participant explicitly and unambiguously consents to the collection, use and transfer, in electronic or other form, of the Participant’s personal data as described in this Agreement and any other LTI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xml:space="preserve">) by and among, as applicable, the Employer and the Mondelēz Group for the exclusive purpose of implementing, administering and managing the Participant’s participation in the Plan. The Data is supplied by the Employer and also by the Participant through information collected in connection with the Agreement and the Plan. </w:t>
            </w:r>
          </w:p>
          <w:p>
            <w:pPr>
              <w:pStyle w:val="TableContents"/>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The Participant understands that the Company and the Employer may hold certain personal information about the Participant, including, but not limited to, the Participant’s name, home address, email address and telephone number, date of birth, social insurance number, passport or other identification number, salary, nationality, job title, any shares of stock or directorships held in the Company, details of all LTI Grants or any other entitlement to shares of stock awarded, canceled, exercised, vested, unvested or outstanding in the Participant’s favor, for the exclusive purpose of implementing, administering and managing the Plan.</w:t>
            </w:r>
          </w:p>
          <w:p>
            <w:pPr>
              <w:pStyle w:val="TableContents"/>
              <w:spacing w:lineRule="auto" w:line="240" w:before="0" w:after="240"/>
              <w:jc w:val="left"/>
              <w:rPr/>
            </w:pPr>
            <w:r>
              <w:rPr>
                <w:rFonts w:ascii="Times New Roman;sans-serif" w:hAnsi="Times New Roman;sans-serif"/>
                <w:b/>
                <w:i/>
                <w:color w:val="000000"/>
                <w:sz w:val="22"/>
              </w:rPr>
              <w:t>The Participant understands that Data will be transferred to E*TRADE Financial Corporate Services Inc. (“</w:t>
            </w:r>
            <w:r>
              <w:rPr>
                <w:rFonts w:ascii="Times New Roman;sans-serif" w:hAnsi="Times New Roman;sans-serif"/>
                <w:b/>
                <w:i/>
                <w:color w:val="000000"/>
                <w:sz w:val="22"/>
                <w:u w:val="single"/>
              </w:rPr>
              <w:t>E*TRADE</w:t>
            </w:r>
            <w:r>
              <w:rPr>
                <w:color w:val="000000"/>
              </w:rPr>
              <w:t>”</w:t>
            </w:r>
            <w:r>
              <w:rPr>
                <w:rFonts w:ascii="Times New Roman;sans-serif" w:hAnsi="Times New Roman;sans-serif"/>
                <w:b/>
                <w:i/>
                <w:color w:val="000000"/>
                <w:sz w:val="22"/>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The Participant understands that the Participant may request a list with the names and addresses of any potential recipients of the Data by contacting the Participant’s local human resources representative at Mondelez Malaysia Sales Sdn Bhd, Lot 9.01 Level 9, 1 First Avenue, 2A, Dataran Bandar Utama, Bandar Utama Damasara, 47800 Petaling Jaya, Selangor, Malaysia. The Participant authorizes the Company, E*TRADE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Further, the Participant understands that he or she is providing the consents herein on a purely voluntary basis. If the Participant does not consent, or if the Participant later seeks to revoke his or her consent, his or her employment status or service and career with the Employer will not be adversely affected; the only consequence of refusing or withdrawing the Participant’s consent is that the Company would not be able to grant the Participant LTI Grants or other equity awards or administer or maintain such awards. The Participant also understands that the Company has no obligation to substitute other forms of awards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his or her local human resources representative.</w:t>
            </w:r>
          </w:p>
        </w:tc>
        <w:tc>
          <w:tcPr>
            <w:tcW w:w="4755" w:type="dxa"/>
            <w:gridSpan w:val="3"/>
            <w:tcBorders>
              <w:top w:val="dotted" w:sz="4" w:space="0" w:color="000000"/>
              <w:left w:val="dotted" w:sz="4" w:space="0" w:color="000000"/>
              <w:bottom w:val="dotted" w:sz="4" w:space="0" w:color="000000"/>
              <w:right w:val="dotted" w:sz="4" w:space="0" w:color="000000"/>
            </w:tcBorders>
            <w:shd w:fill="auto" w:val="clear"/>
            <w:tcMar>
              <w:top w:w="30" w:type="dxa"/>
              <w:bottom w:w="30" w:type="dxa"/>
            </w:tcMar>
            <w:vAlign w:val="center"/>
          </w:tcPr>
          <w:p>
            <w:pPr>
              <w:pStyle w:val="TableContents"/>
              <w:spacing w:lineRule="auto" w:line="240" w:before="0" w:after="240"/>
              <w:jc w:val="both"/>
              <w:rPr/>
            </w:pPr>
            <w:r>
              <w:rPr>
                <w:rFonts w:ascii="Times New Roman;sans-serif" w:hAnsi="Times New Roman;sans-serif"/>
                <w:b/>
                <w:i/>
                <w:color w:val="000000"/>
                <w:sz w:val="22"/>
              </w:rPr>
              <w:t>Peserta dengan ini secara eksplisit dan tanpa sebarang keraguan mengizinkan pengumpulan, penggunaan dan pemindahan, dalam bentuk elektronik atau lain-lain, data peribadi Peserta seperti yang diterangkan dalam Perjanjian ini serta mana-mana bahan-bahan Geran LTI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oleh dan di antara, seperti mana yang terpakai, Majikan serta Kumpulan Mondelez untuk tujuan ekslusif bagi melaksanakan, mentadbir dan menguruskan penyertaan Peserta dalam Pelan. Data telah dibekalkan oleh pihak Majikan dan juga oleh Peserta melalui informasi yang telah dikumpul berkaitan dengan Perjanjian dan Pelan.</w:t>
            </w:r>
          </w:p>
          <w:p>
            <w:pPr>
              <w:pStyle w:val="TableContents"/>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Peserta memahami bahawa Syarikat dan Majikan mungkin memegang maklumat peribadi tertentu tentang Peserta, termasuk, tetapi tidak terhad kepada, nama Peserta, alamat rumah dan nombor telefon, almat emal, tarikh lahir, insurans sosial, nombor pasport atau pengenalan lain, gaji, kewarganegaraan, jawatan, apa-apa syer dalam Saham atau jawatan pengarah yang dipegang dalam Syarikat, maklumat berkaitan semua Geran LTI atau apa-apa kelayakan lain untuk syer dalam saham yang dianugerahkan, dibatalkan, dilaksanakan, terletak hak, tidak diletak hak ataupun yang belum dijelaskan bagi faedah Peserta, untuk tujuan eksklusif bagi melaksanakan, mentadbir dan menguruskan Pelan tersebut. </w:t>
            </w:r>
          </w:p>
          <w:p>
            <w:pPr>
              <w:pStyle w:val="TableContents"/>
              <w:spacing w:lineRule="auto" w:line="240" w:before="0" w:after="240"/>
              <w:jc w:val="both"/>
              <w:rPr/>
            </w:pPr>
            <w:r>
              <w:rPr>
                <w:rFonts w:ascii="Times New Roman;sans-serif" w:hAnsi="Times New Roman;sans-serif"/>
                <w:b/>
                <w:i/>
                <w:color w:val="000000"/>
                <w:sz w:val="22"/>
              </w:rPr>
              <w:t>Peserta memahami bahawa Data tersebut akan dipindahkan ke E*TRADE Financial Corporate Services Inc. (“</w:t>
            </w:r>
            <w:r>
              <w:rPr>
                <w:rFonts w:ascii="Times New Roman;sans-serif" w:hAnsi="Times New Roman;sans-serif"/>
                <w:b/>
                <w:i/>
                <w:color w:val="000000"/>
                <w:sz w:val="22"/>
                <w:u w:val="single"/>
              </w:rPr>
              <w:t>E*TRADE</w:t>
            </w:r>
            <w:r>
              <w:rPr>
                <w:color w:val="000000"/>
              </w:rPr>
              <w:t>”</w:t>
            </w:r>
            <w:r>
              <w:rPr>
                <w:rFonts w:ascii="Times New Roman;sans-serif" w:hAnsi="Times New Roman;sans-serif"/>
                <w:b/>
                <w:i/>
                <w:color w:val="000000"/>
                <w:sz w:val="22"/>
              </w:rPr>
              <w:t xml:space="preserve">) atau pembekal perkhidmatan pelan saham lain yang mungkin dipilih oleh Syarikat pada masa hadapan, yang membantu Syarikat melaksanakan, mentadbir dan menguruskan Pelan tersebut. Peserta memahami bahawa Data juga mungkin dipindahkan kepada firma akauntansi awam berdaftar bebas Syarikat, PricewaterhouseCoopers LLP, atau firma akauntansi awam lain yang mungkin digunakan oleh Syarikat pada masa hadapan. Peserta turut memahami bahawa penerima Data mungkin berada di Amerika Syarikat atau negara lain dan negara asal penerima Data (contohnya, Amerika Syarikat) mungkin mempunyai undang-undang data peribadi serta perlindungan yang berbeza daripada negara asal Peserta. Peserta memahami bahawa Peserta boleh meminta satu senarai yang mengandungi nama dan alamat penerima-penerima Data yang berpotensi dengan menghubungi wakil sumber manusia tempatan Peserta di Mondelez Malaysia Sales Sdn Bhd, Lot 9.01 Level 9, 1 First Avenue, 2A, Dataran Bandar Utama, Bandar Utama Damasara, 47800 Petaling Jaya, Selangor, Malaysia. </w:t>
            </w:r>
          </w:p>
          <w:p>
            <w:pPr>
              <w:pStyle w:val="TableContents"/>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Pesertadengan ini membenarkan Syarikat, E*TRADE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Peserta dalam Pelan. Peserta memahami bahawa Data hanya akan disimpan untuk tempoh yang diperlukan untuk melaksana, mentadbir, dan mengurus penyertaan Peserta dalam Pelan. Peserta memahami bahawa Peserta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Peserta memahami bahawa Peserta memberikan persetujuan di sini secara sukarela. Jikalau, Peserta tidak bersetuju, atau sekiranaya Peserta kemudiannya membatalkan persetujuannya, status Pesertaan atau perkhidmatan dan kerjaya Peserta dengan Majikan tidak akan terjejas; satu-satunya akibat jika Peserta tidak bersetuju atau menarik balik persetujuan Peserta adalah bahawa Syarikat tidak akan dapat memberikan kepada Peserta opsyen atau anugerah-anugerah ekuiti yang lain atau mentadbir atau mengekalkan anugerah tersebut. Peserta turut memahami bahawa pihak Syarikat tidak mempunyai sebarang kewajiban untuk menggantikan bentuk anugerah yang lain atau memberikan sebarang bentuk kompensasi sebagai pengganti opsyen disebabkan keengganan atau penarikan balik persetujuan Peserta. Oleh kerana itu, Peserta memahami bahawa keengganan atau penarikan balik persetujuan Peserta boleh menjejaskan keupayaan Peserta untuk mengambil bahagian dalam Pelan. Untuk maklumat lanjut mengenai akibat keengganan Peserta untuk memberikan keizinan atau penarikan balik keizinan, Peserta memahami bahawa Peserta boleh menghubungi wakil sumber manusia tempatannya.</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25780"/>
                <wp:effectExtent l="0" t="0" r="0" b="0"/>
                <wp:wrapNone/>
                <wp:docPr id="139" name="Frame13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240"/>
        <w:rPr/>
      </w:pPr>
      <w:r>
        <w:rPr/>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Director Notification Obligation.</w:t>
      </w:r>
      <w:r>
        <w:rPr>
          <w:color w:val="000000"/>
        </w:rPr>
        <w:t xml:space="preserve"> </w:t>
      </w:r>
      <w:r>
        <w:rPr>
          <w:rFonts w:ascii="Times New Roman;sans-serif" w:hAnsi="Times New Roman;sans-serif"/>
          <w:b w:val="false"/>
          <w:color w:val="000000"/>
          <w:sz w:val="22"/>
        </w:rPr>
        <w:t>If the Participant is a director of the Company’s Malaysian subsidiary or affiliate, the Participant is subject to certain notification requirements under the Malaysian Companies Act. Among these requirements is an obligation to notify the Malaysian subsidiary or affiliate in writing when the Participant receives or disposes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LTI Grants or shares of Common Stock) in the Company or any related company. Such notifications must be made within 14 days of receiving or disposing of any interest in the Company or any related company.</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MEXICO</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Labor Law Policy. </w:t>
      </w:r>
      <w:r>
        <w:rPr>
          <w:rFonts w:ascii="Times New Roman;sans-serif" w:hAnsi="Times New Roman;sans-serif"/>
          <w:b w:val="false"/>
          <w:color w:val="000000"/>
          <w:sz w:val="22"/>
        </w:rPr>
        <w:t>In participating in the Plan and receiving this LTI Grant, the Participant expressly recognizes that Mondelēz International, Inc., with registered offices at 905 West Fulton Market, Suite 200, Chicago, Illinois 60607, U.S.A., is solely responsible for the administration of the Plan and that the Participant’s participation in the Plan and acquisition of shares of Common Stock do not constitute an employment relationship between the Participant and Mondelēz International, Inc. since the Participant is participating in the Plan on a wholly commercial basis and his or her sole Employer is</w:t>
      </w:r>
      <w:r>
        <w:rPr>
          <w:color w:val="1F497D"/>
        </w:rPr>
        <w:t xml:space="preserve"> </w:t>
      </w:r>
      <w:r>
        <w:rPr>
          <w:rFonts w:ascii="Times New Roman;sans-serif" w:hAnsi="Times New Roman;sans-serif"/>
          <w:b w:val="false"/>
          <w:color w:val="000000"/>
          <w:sz w:val="22"/>
        </w:rPr>
        <w:t>Mondelēz México, S. de R.L. de C.V., located at Avenida Santa Fe 485, Piso 7, Colonia Cruz Manca, Mexico City, C.P. 05349 Mexico. Based on the foregoing, the Participant expressly recognizes that the Plan and the benefits that he or she may derive from participating in the Plan do not establish any rights between the Participant and the Employer, Mondelēz México, S. de R.L. de C.V., and do not form part of the employment conditions and/or benefits provided by Mondelēz México, S. de R.L. de C.V., and any modification of the Plan or its termination shall not constitute a change or impairment of the terms and conditions of the Participant’s employment.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Participant further understands that his or her participation in the Plan is as a result of a unilateral and discretionary decision of Mondelēz International, Inc.; therefore, Mondelēz International, Inc. reserves the absolute right to amend and/or discontinue the Participant’s participation at any time without any liability to the Participant.</w:t>
      </w:r>
    </w:p>
    <w:p>
      <w:pPr>
        <w:pStyle w:val="TextBody"/>
        <w:spacing w:lineRule="auto" w:line="240" w:before="0" w:after="240"/>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xml:space="preserve">. By accepting the LTI Grant, the Participant acknowledges that he or she has received copies of the Plan, has reviewed the Plan and the Agreement in their entirety and fully understands and accepts all provisions of the Plan and the Agreement.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addition, by accepting the Agreement, the Participant further acknowledges that he or she has read and specifically and expressly approves the terms and conditions in paragraph 9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LTI Grant.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Finally, the Participant hereby declares that he or she does not reserve to him- or herself any action or right to bring any claim against Mondelēz International, Inc. for any compensation or damages regarding any provision of the Plan or the benefits derived under the Plan, and the Participant therefore grants a full and broad release to Mondelēz International, Inc., its affiliates, branches, representation offices, its shareholders, officers, agents or legal representatives with respect to any claim that may arise.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TÉRMINOS Y CONDICIONES</w:t>
      </w:r>
    </w:p>
    <w:p>
      <w:pPr>
        <w:pStyle w:val="TextBody"/>
        <w:spacing w:lineRule="auto" w:line="240" w:before="0" w:after="240"/>
        <w:rPr/>
      </w:pPr>
      <w:r>
        <w:rPr>
          <w:rFonts w:ascii="Times New Roman;sans-serif" w:hAnsi="Times New Roman;sans-serif"/>
          <w:b/>
          <w:color w:val="000000"/>
          <w:sz w:val="22"/>
        </w:rPr>
        <w:t xml:space="preserve">Política Laboral y Reconocimiento/Aceptación. </w:t>
      </w:r>
      <w:r>
        <w:rPr>
          <w:rFonts w:ascii="Times New Roman;sans-serif" w:hAnsi="Times New Roman;sans-serif"/>
          <w:b w:val="false"/>
          <w:color w:val="000000"/>
          <w:sz w:val="22"/>
        </w:rPr>
        <w:t xml:space="preserve">Al participar en el Plan LTI y recibir el Premio LTIP, el Participante expresamente reconoce que Mondelēz International, Inc., con domicilio registrado ubicado en 905 West Fulton Market, Suite 200, Chicago, Illinois 60607, U.S.A., es la única responsable </w:t>
      </w:r>
      <w:r>
        <w:br w:type="page"/>
      </w:r>
    </w:p>
    <w:p>
      <w:pPr>
        <w:pStyle w:val="TextBody"/>
        <w:spacing w:before="0" w:after="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25780"/>
                <wp:effectExtent l="0" t="0" r="0" b="0"/>
                <wp:wrapNone/>
                <wp:docPr id="140" name="Frame13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por la administración del Plan LTI y que la participación del Participante en el Plan LTI y en su caso la adquisición de las Acciones no constituye ni podrá constituir en ningún momento una relación de trabajo entre el Participante y Mondelēz International, Inc., ya que el Participante participa en el Plan LTI en un marco totalmente comercial y su único Patrón lo es Mondelēz México, S. de R.L. de C.V., con domicilio ubicado en Avenida Santa Fe 485, Piso 7, Colonia Cruz Manca, Mexico City, C.P. 05349 Mexico. Derivado de lo anterior, el Participante expresamente reconoce que el Plan LTI y los beneficios que pudieran derivar de la participación en el mismo no establecen derecho alguno entre el Participante y el Patrón, Mondelēz México, S. de R.L. de C.V., y no forma parte de las condiciones de trabajo y/o las prestaciones otorgadas por Mondelēz México, S. de R.L. de C.V., y que cualquier modificación al Plan LTI o su terminación no constituye un cambio o impedimento de los términos y condiciones de la relación de trabajo del Participante.</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De igual manera, el Participante entiende que su participación en el Plan LTI es resultado de una decisión unilateral y discrecional de Mondelēz International, Inc.; por lo tanto, Mondelēz International, Inc. se reserva el absoluto derecho de modificar y/o terminar la participación del Participante en cualquier momento, sin responsabilidad alguna frente el Participante.</w:t>
      </w:r>
    </w:p>
    <w:p>
      <w:pPr>
        <w:pStyle w:val="TextBody"/>
        <w:spacing w:lineRule="auto" w:line="240" w:before="0" w:after="240"/>
        <w:rPr/>
      </w:pPr>
      <w:r>
        <w:rPr>
          <w:rFonts w:ascii="Times New Roman;sans-serif" w:hAnsi="Times New Roman;sans-serif"/>
          <w:b/>
          <w:color w:val="000000"/>
          <w:sz w:val="22"/>
        </w:rPr>
        <w:t>Reconocimiento del Plan de Documentos</w:t>
      </w:r>
      <w:r>
        <w:rPr>
          <w:rFonts w:ascii="Times New Roman;sans-serif" w:hAnsi="Times New Roman;sans-serif"/>
          <w:b w:val="false"/>
          <w:color w:val="000000"/>
          <w:sz w:val="22"/>
        </w:rPr>
        <w:t>. Al aceptar el Premio LTIP, el Participante reconoce que ha recibido copias del Plan LTI, que ha revisado el Plan LTI y el Acuerdo en su totalidad y que entiende y acepta completamente todas las disposiciones contenidas en el Plan LTI y en el Acuerdo.</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Adicionalmente, al firmar el Acuerdo, el Participante reconoce que ha leído y que aprueba específica y expresamente los términos y condiciones contenidos en el párrafo 9 del Acuerdo ( “La Naturaleza del Otorgamiento”) en el cual se encuentra claramente descrito y establecido lo siguiente: (i) la participación en el Plan LTI no constituye un derecho adquirido; (ii) el Plan LTI y la participación en el mismo es ofrecido por Mondelēz International, Inc.de forma completamente discrecional; (iii) la participación en el Plan LTI es voluntaria; y (iv) ni Mondelēz International, Inc. ni de cualqiuer Sociedad controlante, Subsidiaria o Filial son responsables por ninguna disminución en el valor de las Acciones subyacentes del Plan LTI.</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Finalmente, el Participante por este medio declara que no se reserve derecho o acción alguna que ejercitar en contra de Mondelēz International, Inc. por cualquier compensación o daño en relación con las disposiciones del Plan LTI o de los beneficios derivados del mismo y por lo tanto, el Participante otorga el más amplio finiquito que en derecho proceda a Mondelēz International, Inc., sus afiliadas, subsidiarias, oficinas de representación, sus accionistas, funcionarios, agentes o representantes legales en relación con cualquier demanda que pudiera surgir.</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LTI Grants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LTI Grants may not be publicly distributed in Mexico. These materials are addressed to the Participant only because of the Participant’s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MOROCCO</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Morocco shall be paid in cash in an amount equal to the cash equivalent value of the LTI Award Payout.</w:t>
      </w:r>
      <w:r>
        <w:br w:type="page"/>
      </w:r>
    </w:p>
    <w:p>
      <w:pPr>
        <w:pStyle w:val="TextBody"/>
        <w:spacing w:before="0" w:after="0"/>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25780"/>
                <wp:effectExtent l="0" t="0" r="0" b="0"/>
                <wp:wrapNone/>
                <wp:docPr id="141" name="Frame13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NETHERLANDS</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Retirement. </w:t>
      </w:r>
      <w:r>
        <w:rPr>
          <w:rFonts w:ascii="Times New Roman;sans-serif" w:hAnsi="Times New Roman;sans-serif"/>
          <w:b w:val="false"/>
          <w:color w:val="000000"/>
          <w:sz w:val="22"/>
        </w:rPr>
        <w:t>The following provision replaces paragraph 1(j) of the Agreement:</w:t>
      </w:r>
    </w:p>
    <w:p>
      <w:pPr>
        <w:pStyle w:val="TextBody"/>
        <w:spacing w:lineRule="auto" w:line="240" w:before="0" w:after="240"/>
        <w:rPr/>
      </w:pPr>
      <w:r>
        <w:rPr>
          <w:rFonts w:ascii="Times New Roman;sans-serif" w:hAnsi="Times New Roman;sans-serif"/>
          <w:b w:val="false"/>
          <w:color w:val="000000"/>
          <w:sz w:val="22"/>
          <w:u w:val="single"/>
        </w:rPr>
        <w:t>Retirement</w:t>
      </w:r>
      <w:r>
        <w:rPr>
          <w:rFonts w:ascii="Times New Roman;sans-serif" w:hAnsi="Times New Roman;sans-serif"/>
          <w:b w:val="false"/>
          <w:color w:val="000000"/>
          <w:sz w:val="22"/>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NEW ZEALAND</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WARNING: </w:t>
      </w:r>
      <w:r>
        <w:rPr>
          <w:rFonts w:ascii="Times New Roman;sans-serif" w:hAnsi="Times New Roman;sans-serif"/>
          <w:b w:val="false"/>
          <w:i/>
          <w:color w:val="000000"/>
          <w:sz w:val="22"/>
        </w:rPr>
        <w:t>The Participant is being offered an LTI Grant which allows the Participant to acquire shares of Common Stock in accordance with the terms of the Plan and the Agreement. The shares of Common Stock, if issued, give the Participant a stake in the ownership of the Company. The Participant may receive a return if dividends are paid.</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 xml:space="preserve">If the Company runs into financial difficulties and is wound up, the Participant will be paid only after all creditors and holders of preferred shares have been paid. The Participant may lose some or all of his or her investment. </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 xml:space="preserve">New Zealand law normally requires people who offer financial products to give information to investors before they invest. This information is designed to help investors to make an informed decision. </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 xml:space="preserve">The usual rules do not apply to this offer because it is made under an employee share purchase scheme. As a result, the Participant may not be given all the information usually required. The Participant will also have fewer other legal protections for this investment. </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The Participant understands that he or she should ask questions, read all documents carefully, and seek independent financial advice before participating in the Plan.</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The shares of Common Stock are quoted and approved for trading on the Nasdaq Global Select Market in the United States of America. This means that, if the Participant acquires shares of Common Stock under the Plan, the Participant may be able to sell his or her investment on the Nasdaq if there are interested buyers. The price will depend on the demand for the shares of Common Stock.</w:t>
      </w:r>
    </w:p>
    <w:p>
      <w:pPr>
        <w:pStyle w:val="TextBody"/>
        <w:spacing w:lineRule="auto" w:line="240" w:before="0" w:after="240"/>
        <w:rPr/>
      </w:pPr>
      <w:r>
        <w:rPr>
          <w:rFonts w:ascii="Times New Roman;sans-serif" w:hAnsi="Times New Roman;sans-serif"/>
          <w:b w:val="false"/>
          <w:i/>
          <w:color w:val="000000"/>
          <w:sz w:val="22"/>
        </w:rPr>
        <w:t xml:space="preserve">For information on risk factors impacting the Company’s business that may affect the value of the shares of Common Stock, the Participant should refer to the risk factors discussion in the Company’s Annual Report on Form 10-K and Quarterly Reports on Form 10-Q, which are filed with the U.S. Securities and Exchange Commission and are available online at </w:t>
      </w:r>
      <w:r>
        <w:rPr>
          <w:rFonts w:ascii="Times New Roman;sans-serif" w:hAnsi="Times New Roman;sans-serif"/>
          <w:b w:val="false"/>
          <w:i/>
          <w:color w:val="000000"/>
          <w:sz w:val="22"/>
          <w:u w:val="single"/>
        </w:rPr>
        <w:t>www.sec.gov</w:t>
      </w:r>
      <w:r>
        <w:rPr>
          <w:rFonts w:ascii="Times New Roman;sans-serif" w:hAnsi="Times New Roman;sans-serif"/>
          <w:b w:val="false"/>
          <w:i/>
          <w:color w:val="000000"/>
          <w:sz w:val="22"/>
        </w:rPr>
        <w:t xml:space="preserve">, as well as on the Company’s website at </w:t>
      </w:r>
      <w:r>
        <w:rPr>
          <w:rFonts w:ascii="Times New Roman;sans-serif" w:hAnsi="Times New Roman;sans-serif"/>
          <w:b w:val="false"/>
          <w:color w:val="000000"/>
          <w:sz w:val="22"/>
          <w:u w:val="single"/>
        </w:rPr>
        <w:t>http://ir.mondelezinternational.com/sec.cfm</w:t>
      </w:r>
      <w:r>
        <w:rPr>
          <w:rFonts w:ascii="Times New Roman;sans-serif" w:hAnsi="Times New Roman;sans-serif"/>
          <w:b w:val="false"/>
          <w:color w:val="000000"/>
          <w:sz w:val="22"/>
        </w:rPr>
        <w: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NIGERIA</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NORWAY</w:t>
      </w:r>
      <w:r>
        <w:br w:type="page"/>
      </w:r>
    </w:p>
    <w:p>
      <w:pPr>
        <w:pStyle w:val="TextBody"/>
        <w:spacing w:before="0" w:after="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25780"/>
                <wp:effectExtent l="0" t="0" r="0" b="0"/>
                <wp:wrapNone/>
                <wp:docPr id="142" name="Frame13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 general, Norwegian residents should not be subject to any foreign exchange requirements in connection with the acquisition or sale of shares of Common Stock under the Plan, except normal reporting requirements to the Norwegian Currency Registry. If the transfer of funds into or out of Norway is made through a Norwegian bank, the bank will make the registration.</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PAKISTAN</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is required immediately to repatriate to Pakistan the proceeds from the sale of any Common Stock acquired from participation in Plan, including the proceeds from the sale of Common Stock acquired upon the LTI Award Payout. The proceeds must be converted into local currency and the receipt of proceeds must be reported to the State Bank of Pakistan (the “</w:t>
      </w:r>
      <w:r>
        <w:rPr>
          <w:rFonts w:ascii="Times New Roman;sans-serif" w:hAnsi="Times New Roman;sans-serif"/>
          <w:b w:val="false"/>
          <w:color w:val="000000"/>
          <w:sz w:val="22"/>
          <w:u w:val="single"/>
        </w:rPr>
        <w:t>SBP</w:t>
      </w:r>
      <w:r>
        <w:rPr>
          <w:color w:val="000000"/>
        </w:rPr>
        <w:t>”</w:t>
      </w:r>
      <w:r>
        <w:rPr>
          <w:rFonts w:ascii="Times New Roman;sans-serif" w:hAnsi="Times New Roman;sans-serif"/>
          <w:b w:val="false"/>
          <w:color w:val="000000"/>
          <w:sz w:val="22"/>
        </w:rPr>
        <w:t>) by filing a “Proceeds Realization Certificate” issued by the bank converting the proceeds with the SBP. The repatriated amounts cannot be credited to a foreign currency account. The Participant should consult his or her personal advisor prior to repatriation of the sale proceeds to ensure compliance with applicable exchange control regulations in Pakistan, as such regulations are subject to frequent change. The Participant is responsible for ensuring compliance with all exchange control laws in Pakistan.</w:t>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PANAMA</w:t>
      </w:r>
    </w:p>
    <w:p>
      <w:pPr>
        <w:pStyle w:val="TextBody"/>
        <w:spacing w:before="0" w:after="0"/>
        <w:rPr/>
      </w:pPr>
      <w:r>
        <w:rPr/>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4"/>
        </w:rPr>
        <w:t xml:space="preserve">Neither the LTI Award nor any shares of Common Stock that the Participant may acquire at upon the LTI Award Payout constitute a public offering of securities, as they are available only to eligible employees of the </w:t>
      </w:r>
      <w:r>
        <w:rPr>
          <w:rFonts w:ascii="Times New Roman;sans-serif" w:hAnsi="Times New Roman;sans-serif"/>
          <w:b w:val="false"/>
          <w:color w:val="000000"/>
          <w:sz w:val="22"/>
        </w:rPr>
        <w:t>Mondelēz Group</w:t>
      </w:r>
      <w:r>
        <w:rPr>
          <w:rFonts w:ascii="Times New Roman;sans-serif" w:hAnsi="Times New Roman;sans-serif"/>
          <w:b w:val="false"/>
          <w:color w:val="000000"/>
          <w:sz w:val="24"/>
        </w:rPr>
        <w: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PERU</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jc w:val="both"/>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 contained in paragraph 9 of the Agreement:</w:t>
      </w:r>
    </w:p>
    <w:p>
      <w:pPr>
        <w:pStyle w:val="TextBody"/>
        <w:spacing w:lineRule="auto" w:line="240" w:before="0" w:after="240"/>
        <w:rPr/>
      </w:pPr>
      <w:r>
        <w:rPr>
          <w:rFonts w:ascii="Times New Roman;sans-serif" w:hAnsi="Times New Roman;sans-serif"/>
          <w:b w:val="false"/>
          <w:color w:val="000000"/>
          <w:sz w:val="22"/>
        </w:rPr>
        <w:t xml:space="preserve">By accepting the LTI Grant, the Participant acknowledges, understands and agrees that the LTI Grant is granted </w:t>
      </w:r>
      <w:r>
        <w:rPr>
          <w:rFonts w:ascii="Times New Roman;sans-serif" w:hAnsi="Times New Roman;sans-serif"/>
          <w:b w:val="false"/>
          <w:i/>
          <w:color w:val="000000"/>
          <w:sz w:val="22"/>
        </w:rPr>
        <w:t>ex gratia</w:t>
      </w:r>
      <w:r>
        <w:rPr>
          <w:color w:val="000000"/>
        </w:rPr>
        <w:t xml:space="preserve"> </w:t>
      </w:r>
      <w:r>
        <w:rPr>
          <w:rFonts w:ascii="Times New Roman;sans-serif" w:hAnsi="Times New Roman;sans-serif"/>
          <w:b w:val="false"/>
          <w:color w:val="000000"/>
          <w:sz w:val="22"/>
        </w:rPr>
        <w:t>to the Participant.</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The LTI Grant is considered a private offering in Peru; therefore, it is not subject to registration. For more information concerning this offer, the Participant should refer to the Plan, the Agreement and any other grant documents made available by the Company. For more information regarding the Company, the Participant may refer to the Company’s most recent annual report on Form 10-K and quarterly report on Form 10-Q available at </w:t>
      </w:r>
      <w:r>
        <w:rPr>
          <w:rFonts w:ascii="Times New Roman;sans-serif" w:hAnsi="Times New Roman;sans-serif"/>
          <w:b w:val="false"/>
          <w:color w:val="000000"/>
          <w:sz w:val="22"/>
          <w:u w:val="single"/>
        </w:rPr>
        <w:t>www.sec.gov</w:t>
      </w:r>
      <w:r>
        <w:rPr>
          <w:rFonts w:ascii="Times New Roman;sans-serif" w:hAnsi="Times New Roman;sans-serif"/>
          <w:b w:val="false"/>
          <w:color w:val="000000"/>
          <w:sz w:val="22"/>
        </w:rPr>
        <w: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PHILIPPINES</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the Philippines shall be paid in cash in an amount equal to the cash equivalent value of the LTI Award Payout.</w:t>
      </w:r>
      <w:r>
        <w:br w:type="page"/>
      </w:r>
    </w:p>
    <w:p>
      <w:pPr>
        <w:pStyle w:val="TextBody"/>
        <w:spacing w:before="0" w:after="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25780"/>
                <wp:effectExtent l="0" t="0" r="0" b="0"/>
                <wp:wrapNone/>
                <wp:docPr id="143" name="Frame14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POLAND</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Polish residents who maintain bank or brokerage accounts holding cash and foreign securities (including 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w:t>
      </w:r>
      <w:r>
        <w:rPr>
          <w:color w:val="000000"/>
        </w:rPr>
        <w:t xml:space="preserve"> </w:t>
      </w:r>
      <w:r>
        <w:rPr>
          <w:rFonts w:ascii="Times New Roman;sans-serif" w:hAnsi="Times New Roman;sans-serif"/>
          <w:b w:val="false"/>
          <w:color w:val="000000"/>
          <w:sz w:val="22"/>
        </w:rPr>
        <w:t>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pStyle w:val="TextBody"/>
        <w:spacing w:lineRule="auto" w:line="240" w:before="100" w:after="240"/>
        <w:rPr>
          <w:rFonts w:ascii="Times New Roman;sans-serif" w:hAnsi="Times New Roman;sans-serif"/>
          <w:b/>
          <w:color w:val="000000"/>
          <w:sz w:val="22"/>
          <w:u w:val="single"/>
        </w:rPr>
      </w:pPr>
      <w:r>
        <w:rPr>
          <w:rFonts w:ascii="Times New Roman;sans-serif" w:hAnsi="Times New Roman;sans-serif"/>
          <w:b/>
          <w:color w:val="000000"/>
          <w:sz w:val="22"/>
          <w:u w:val="single"/>
        </w:rPr>
        <w:t>PORTUGAL</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Language Consent. </w:t>
      </w:r>
      <w:r>
        <w:rPr>
          <w:rFonts w:ascii="Times New Roman;sans-serif" w:hAnsi="Times New Roman;sans-serif"/>
          <w:b w:val="false"/>
          <w:color w:val="000000"/>
          <w:sz w:val="22"/>
        </w:rPr>
        <w:t>The Participant hereby expressly declares that he or she has full knowledge of the English language and has read, understood and fully accepted and agreed with the terms and conditions established in the Plan and the Agreement.</w:t>
      </w:r>
    </w:p>
    <w:p>
      <w:pPr>
        <w:pStyle w:val="TextBody"/>
        <w:spacing w:lineRule="auto" w:line="240" w:before="0" w:after="240"/>
        <w:rPr/>
      </w:pPr>
      <w:r>
        <w:rPr>
          <w:rFonts w:ascii="Times New Roman;sans-serif" w:hAnsi="Times New Roman;sans-serif"/>
          <w:b/>
          <w:i/>
          <w:color w:val="000000"/>
          <w:sz w:val="22"/>
        </w:rPr>
        <w:t xml:space="preserve">Conhecimento da Lingua. </w:t>
      </w:r>
      <w:r>
        <w:rPr>
          <w:rFonts w:ascii="Times New Roman;sans-serif" w:hAnsi="Times New Roman;sans-serif"/>
          <w:b w:val="false"/>
          <w:i/>
          <w:color w:val="000000"/>
          <w:sz w:val="22"/>
        </w:rPr>
        <w:t>O Contratado, pelo presente instrumento, declara expressamente que tem pleno conhecimento da língua inglesa e que leu, compreendeu e livremente aceitou e concordou com os termos e condições estabelecidas no Plano e no Acordo de Atribuição (“Agreement” em inglês)</w:t>
      </w:r>
      <w:r>
        <w:rPr>
          <w:rFonts w:ascii="Times New Roman;sans-serif" w:hAnsi="Times New Roman;sans-serif"/>
          <w:b w:val="false"/>
          <w:color w:val="000000"/>
          <w:sz w:val="22"/>
        </w:rPr>
        <w:t xml:space="preserve">. </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Participant acquires shares of Common Stock under the Plan and does not hold the shares of Common Stock with a Portuguese financial intermediary, he or she may need to file a report with the Portuguese Central Bank. If the shares of Common Stock are held by a Portuguese financial intermediary, it will file the report for the Participant.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PUERTO RICO</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There are no country specific provisions. </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ROMANIA</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deposits proceeds from the sale of Common Stock in a bank account in Romania, the Participant may be required to provide the Romanian bank assisting with the transaction with appropriate documentation explaining the source of the income. The Participant should consult with a personal legal advisor to determine whether the Participant will be required to submit such documentation to the Romanian bank.</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RUSSIA</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 xml:space="preserve">This Agreement, the Plan and all other materials that the Participant may receive concerning the LTI Grant and the Participant’s participation in the Plan do not constitute advertising or an offering of securities in Russia. The Common Stock to be issued upon the LTI Award </w:t>
      </w:r>
      <w:r>
        <w:br w:type="page"/>
      </w:r>
    </w:p>
    <w:p>
      <w:pPr>
        <w:pStyle w:val="TextBody"/>
        <w:spacing w:before="0" w:after="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25780"/>
                <wp:effectExtent l="0" t="0" r="0" b="0"/>
                <wp:wrapNone/>
                <wp:docPr id="144" name="Frame14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Payout has not and will not be registered in Russia and, therefore, the Common Stock described in any Plan documents may not be offered or placed in public circulation in Russia. In no event will Common Stock to be issued upon the LTI Award Payout be delivered to the Participant in Russia. All Common Stock acquired under the Plan will be maintained on the Participant’s behalf outside of Russia. The Participant will not be permitted to sell Common Stock directly to a Russian legal entity or resident.</w:t>
      </w:r>
    </w:p>
    <w:p>
      <w:pPr>
        <w:pStyle w:val="TextBody"/>
        <w:spacing w:lineRule="auto" w:line="240" w:before="0" w:after="240"/>
        <w:rPr/>
      </w:pPr>
      <w:r>
        <w:rPr>
          <w:rFonts w:ascii="Times New Roman;sans-serif" w:hAnsi="Times New Roman;sans-serif"/>
          <w:b/>
          <w:color w:val="000000"/>
          <w:sz w:val="22"/>
        </w:rPr>
        <w:t>Settlement of LTI Grant and Sale of Shares.</w:t>
      </w:r>
      <w:r>
        <w:rPr>
          <w:color w:val="000000"/>
        </w:rPr>
        <w:t xml:space="preserve"> </w:t>
      </w:r>
      <w:r>
        <w:rPr>
          <w:rFonts w:ascii="Times New Roman;sans-serif" w:hAnsi="Times New Roman;sans-serif"/>
          <w:b w:val="false"/>
          <w:color w:val="000000"/>
          <w:sz w:val="22"/>
        </w:rPr>
        <w:t>The Optionee understands that no shares of Common Stock will be issued upon vesting of the LTI Grant if the Company, in its sole discretion, determines that such issuance would not comply with applicable laws and regulations in Russia.</w:t>
      </w:r>
      <w:r>
        <w:rPr>
          <w:color w:val="000000"/>
        </w:rPr>
        <w:t xml:space="preserve"> </w:t>
      </w:r>
      <w:r>
        <w:rPr>
          <w:rFonts w:ascii="Times New Roman;sans-serif" w:hAnsi="Times New Roman;sans-serif"/>
          <w:b w:val="false"/>
          <w:color w:val="000000"/>
          <w:sz w:val="22"/>
        </w:rPr>
        <w:t>Notwithstanding anything to the contrary in the Agreement, depending on the development of local regulatory requirements, the Participant acknowledges that the LTI Grant may be paid to the Participant in cash rather than shares of Common Stock. If shares of Common Stock are issued upon vesting of the LTI Grant, in the Company’s sole discretion, the shares may be required to be immediately sold.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pStyle w:val="TextBody"/>
        <w:spacing w:lineRule="auto" w:line="240" w:before="0" w:after="240"/>
        <w:rPr/>
      </w:pPr>
      <w:r>
        <w:rPr>
          <w:rFonts w:ascii="Times New Roman;sans-serif" w:hAnsi="Times New Roman;sans-serif"/>
          <w:b/>
          <w:color w:val="000000"/>
          <w:sz w:val="22"/>
        </w:rPr>
        <w:t>Data Privacy.</w:t>
      </w:r>
      <w:r>
        <w:rPr>
          <w:color w:val="000000"/>
        </w:rPr>
        <w:t xml:space="preserve"> </w:t>
      </w:r>
      <w:r>
        <w:rPr>
          <w:rFonts w:ascii="Times New Roman;sans-serif" w:hAnsi="Times New Roman;sans-serif"/>
          <w:b w:val="false"/>
          <w:color w:val="000000"/>
          <w:sz w:val="22"/>
        </w:rPr>
        <w:t>The following provision supplements paragraph 10 of the Agreement:</w:t>
      </w:r>
    </w:p>
    <w:p>
      <w:pPr>
        <w:pStyle w:val="TextBody"/>
        <w:spacing w:lineRule="auto" w:line="240" w:before="0" w:after="240"/>
        <w:rPr/>
      </w:pPr>
      <w:r>
        <w:rPr>
          <w:rFonts w:ascii="Times New Roman;sans-serif" w:hAnsi="Times New Roman;sans-serif"/>
          <w:b w:val="false"/>
          <w:color w:val="000000"/>
          <w:sz w:val="22"/>
        </w:rPr>
        <w:t>The Participant understands and agrees that he or she must complete and return a Consent to Processing of Personal Data (the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form to the Company. Further, the Participant understands and agrees that if the Participant does not complete and return a Consent form to the Company, the Company will not be able make an LTI Grant to the Participant or other grants or administer or maintain such grants. Finally, the Participant understands that the Company has no obligation to substitute other forms of grants or compensation in lieu of the LTI Grant if the Participant fails to complete and return the Consent. Therefore, the Participant understands that refusing to complete a Consent form or withdrawing his or her consent may affect the Participant’s ability to participate in the Plan.</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Participant is responsible for complying with any and all Russian foreign exchange control requirements in connection with the LTI Grant, any shares of Common Stock acquired and funds remitted into Russia in connection with the Plan. This may include, in certain circumstances, reporting and repatriation requirements. The foreign exchange control rules and regulations in Russia are subject to frequent change. The Participant should contact their personal advisor to determine applicability of all repatriation, remittance or other exchange control requirements to ensure compliance with all applicable exchange control requirements prior to vesting of the LTI Grant and/or selling shares of Common Stock.</w:t>
      </w:r>
    </w:p>
    <w:p>
      <w:pPr>
        <w:pStyle w:val="TextBody"/>
        <w:spacing w:lineRule="auto" w:line="240" w:before="0" w:after="240"/>
        <w:rPr/>
      </w:pPr>
      <w:r>
        <w:rPr>
          <w:rFonts w:ascii="Times New Roman;sans-serif" w:hAnsi="Times New Roman;sans-serif"/>
          <w:b/>
          <w:color w:val="000000"/>
          <w:sz w:val="22"/>
        </w:rPr>
        <w:t>Labor Law Information.</w:t>
      </w:r>
      <w:r>
        <w:rPr>
          <w:color w:val="000000"/>
        </w:rPr>
        <w:t xml:space="preserve"> </w:t>
      </w:r>
      <w:r>
        <w:rPr>
          <w:rFonts w:ascii="Times New Roman;sans-serif" w:hAnsi="Times New Roman;sans-serif"/>
          <w:b w:val="false"/>
          <w:color w:val="000000"/>
          <w:sz w:val="22"/>
        </w:rPr>
        <w:t>If the Participant continues to hold shares of Common Stock acquired at vesting of the LTI Grant after an involuntary termination of employment, the Participant will not be eligible to receive unemployment benefits in Russia.</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Russian residents are required to report the opening, closing or change of details of any 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 (including Common Stock) transactions in offshore accounts. </w:t>
      </w:r>
      <w:r>
        <w:rPr>
          <w:rFonts w:ascii="Times New Roman;sans-serif" w:hAnsi="Times New Roman;sans-serif"/>
          <w:b w:val="false"/>
          <w:color w:val="000000"/>
          <w:sz w:val="22"/>
          <w:highlight w:val="white"/>
        </w:rPr>
        <w:t xml:space="preserve">Non-compliance with the reporting obligations could impact the </w:t>
      </w:r>
      <w:r>
        <w:rPr>
          <w:rFonts w:ascii="Times New Roman;sans-serif" w:hAnsi="Times New Roman;sans-serif"/>
          <w:b w:val="false"/>
          <w:color w:val="000000"/>
          <w:sz w:val="22"/>
        </w:rPr>
        <w:t>Participant’s</w:t>
      </w:r>
      <w:r>
        <w:rPr>
          <w:color w:val="000000"/>
          <w:highlight w:val="white"/>
        </w:rPr>
        <w:t xml:space="preserve"> </w:t>
      </w:r>
      <w:r>
        <w:rPr>
          <w:rFonts w:ascii="Times New Roman;sans-serif" w:hAnsi="Times New Roman;sans-serif"/>
          <w:b w:val="false"/>
          <w:color w:val="000000"/>
          <w:sz w:val="22"/>
          <w:highlight w:val="white"/>
        </w:rPr>
        <w:t xml:space="preserve">ability to vest, receive shares of Common Stock pursuant to </w:t>
      </w:r>
      <w:r>
        <w:rPr>
          <w:rFonts w:ascii="Times New Roman;sans-serif" w:hAnsi="Times New Roman;sans-serif"/>
          <w:b w:val="false"/>
          <w:color w:val="000000"/>
          <w:sz w:val="22"/>
        </w:rPr>
        <w:t>the LTI Grant</w:t>
      </w:r>
      <w:r>
        <w:rPr>
          <w:rFonts w:ascii="Times New Roman;sans-serif" w:hAnsi="Times New Roman;sans-serif"/>
          <w:b w:val="false"/>
          <w:color w:val="000000"/>
          <w:sz w:val="22"/>
          <w:highlight w:val="white"/>
        </w:rPr>
        <w:t xml:space="preserve">, maintain the account outside of Russia and participate in the Plan. </w:t>
      </w:r>
      <w:r>
        <w:rPr>
          <w:rFonts w:ascii="Times New Roman;sans-serif" w:hAnsi="Times New Roman;sans-serif"/>
          <w:b w:val="false"/>
          <w:color w:val="000000"/>
          <w:sz w:val="22"/>
        </w:rPr>
        <w:t>The Participant should consult with their personal legal advisor to determine the applicability of these reporting requirements to any brokerage account opened in connection with participation in the Plan.</w:t>
      </w:r>
      <w:r>
        <w:br w:type="page"/>
      </w:r>
    </w:p>
    <w:p>
      <w:pPr>
        <w:pStyle w:val="TextBody"/>
        <w:spacing w:before="0" w:after="0"/>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25780"/>
                <wp:effectExtent l="0" t="0" r="0" b="0"/>
                <wp:wrapNone/>
                <wp:docPr id="145" name="Frame14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Anti-Corruption Information</w:t>
      </w:r>
      <w:r>
        <w:rPr>
          <w:rFonts w:ascii="Times New Roman;sans-serif" w:hAnsi="Times New Roman;sans-serif"/>
          <w:b w:val="false"/>
          <w:color w:val="000000"/>
          <w:sz w:val="22"/>
        </w:rPr>
        <w:t>. Anti-corruption laws prohibit certain public servants, their spouses and their dependent children from owning any foreign source financial instruments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foreign companies such as the Company). Accordingly, the Participant should inform the Company if the Participant is covered by these laws because the Participant should not hold shares of Common Stock acquired under the Plan.</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SAUDI ARABIA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Saudi Arabia shall be paid in cash in an amount equal to the cash equivalent value of the LTI Award Payout.</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jc w:val="both"/>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This document may not be distributed in the Kingdom of Saudi Arabia except to such persons as are permitted under the Offer of Securities Regulations and Continuing Obligations issued by the Capital Market Authority.</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Participant does not understand the contents of this document he or she should consult an authorized financial advisor.</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SERBIA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Pursuant to the Law on Foreign Exchange Transactions, the Participant is permitted to acquire shares of Common Stock under the Plan and hold the shares and any proceeds from the sale of shares of Common Stock in a U.S. brokerage account or other foreign brokerage account. However, the Participant needs permission from the National Bank of Serbia to hold any proceeds from the sale of shares of Common Stock in an offshore bank account. Because the exchange control regulations in Serbia may change without notice, the Participant should consult with his or her personal advisor to ensure compliance with applicable exchange control laws.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SINGAPORE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Transfer Restrictions. </w:t>
      </w:r>
      <w:r>
        <w:rPr>
          <w:rFonts w:ascii="Times New Roman;sans-serif" w:hAnsi="Times New Roman;sans-serif"/>
          <w:b w:val="false"/>
          <w:color w:val="000000"/>
          <w:sz w:val="22"/>
        </w:rPr>
        <w:t>The Participant agrees that any shares of Common Stock acquired pursuant to the LTI Grant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is being made pursuant to the “Qualifying Person” exemption under section 273(1)(f) of the SFA and is not made to the Participant with a view to the LTI Grant being subsequently offered for sale to any other party. The Plan has not been lodged or registered as a prospectus with the Monetary Authority of Singapore.</w:t>
      </w:r>
      <w:r>
        <w:br w:type="page"/>
      </w:r>
    </w:p>
    <w:p>
      <w:pPr>
        <w:pStyle w:val="TextBody"/>
        <w:spacing w:before="0" w:after="0"/>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25780"/>
                <wp:effectExtent l="0" t="0" r="0" b="0"/>
                <wp:wrapNone/>
                <wp:docPr id="146" name="Frame14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The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LTI Grant, shares of Common Stock, etc.) in the Company or any related companies within two business days of (i) its acquisition or disposal, (ii) any change in a previously disclosed interest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when the shares of Common Stock are sold), or (iii) becoming a director, associate director or shadow director. If the Participant is the chief executive officer (“CEO”) of a Singapore subsidiary or affiliate and the above notification requirements are determined to apply to the CEO of a Singapore subsidiary or affiliate, the above notification requirements also may apply to the Participant.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SLOVAK REPUBLIC</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SLOVENIA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Slovenian residents may be required to report the opening of bank and/or brokerage accounts to tax authorities within eight (8) days of opening such account. The Participant should consult with his or her personal tax advisor to determine whether this requirement will be applicable to any accounts opened in connection with the Participant’s participation in the Plan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Participant e’s brokerage account with the Company’s designated broker).</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SOUTH AFRICA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Securities Law Notice</w:t>
      </w:r>
      <w:r>
        <w:rPr>
          <w:rFonts w:ascii="Times New Roman;sans-serif" w:hAnsi="Times New Roman;sans-serif"/>
          <w:b w:val="false"/>
          <w:color w:val="000000"/>
          <w:sz w:val="22"/>
        </w:rPr>
        <w:t xml:space="preserve">. In compliance with South African Securities Law, the documents listed below are available for the Participant’s review on the Company’s public site or intranet site, as applicable, as listed below: </w:t>
      </w:r>
    </w:p>
    <w:p>
      <w:pPr>
        <w:pStyle w:val="TextBody"/>
        <w:spacing w:lineRule="auto" w:line="240" w:before="0" w:after="240"/>
        <w:ind w:left="0" w:right="0" w:hanging="360"/>
        <w:rPr/>
      </w:pPr>
      <w:r>
        <w:rPr>
          <w:rFonts w:ascii="Times New Roman;sans-serif" w:hAnsi="Times New Roman;sans-serif"/>
          <w:b w:val="false"/>
          <w:i/>
          <w:color w:val="000000"/>
          <w:sz w:val="22"/>
        </w:rPr>
        <w:t>1.</w:t>
      </w:r>
      <w:r>
        <w:rPr>
          <w:rFonts w:ascii="Times New Roman;sans-serif" w:hAnsi="Times New Roman;sans-serif"/>
          <w:b w:val="false"/>
          <w:color w:val="000000"/>
          <w:sz w:val="22"/>
        </w:rPr>
        <w:t xml:space="preserve">The Company’s most recent Annual Report (Form 10-K): from the investor relations section of the Company’s website at </w:t>
      </w:r>
      <w:r>
        <w:rPr>
          <w:rFonts w:ascii="Times New Roman;sans-serif" w:hAnsi="Times New Roman;sans-serif"/>
          <w:b w:val="false"/>
          <w:color w:val="000000"/>
          <w:sz w:val="22"/>
          <w:u w:val="single"/>
        </w:rPr>
        <w:t>http://www.mondelezinternational.com/investors</w:t>
      </w:r>
      <w:r>
        <w:rPr>
          <w:rFonts w:ascii="Times New Roman;sans-serif" w:hAnsi="Times New Roman;sans-serif"/>
          <w:b w:val="false"/>
          <w:color w:val="000000"/>
          <w:sz w:val="22"/>
        </w:rPr>
        <w:t>.</w:t>
      </w:r>
    </w:p>
    <w:p>
      <w:pPr>
        <w:pStyle w:val="TextBody"/>
        <w:spacing w:lineRule="auto" w:line="240" w:before="0" w:after="240"/>
        <w:ind w:left="0" w:right="0" w:hanging="360"/>
        <w:rPr/>
      </w:pPr>
      <w:r>
        <w:rPr>
          <w:rFonts w:ascii="Times New Roman;sans-serif" w:hAnsi="Times New Roman;sans-serif"/>
          <w:b w:val="false"/>
          <w:i/>
          <w:color w:val="000000"/>
          <w:sz w:val="22"/>
        </w:rPr>
        <w:t>2.</w:t>
      </w:r>
      <w:r>
        <w:rPr>
          <w:rFonts w:ascii="Times New Roman;sans-serif" w:hAnsi="Times New Roman;sans-serif"/>
          <w:b w:val="false"/>
          <w:color w:val="000000"/>
          <w:sz w:val="22"/>
        </w:rPr>
        <w:t xml:space="preserve">The Company’s most recent Plan prospectus: a copy of which can be found on the Company’s Intranet site located at: </w:t>
      </w:r>
      <w:r>
        <w:rPr>
          <w:rFonts w:ascii="Times New Roman;sans-serif" w:hAnsi="Times New Roman;sans-serif"/>
          <w:b w:val="false"/>
          <w:color w:val="000000"/>
          <w:sz w:val="22"/>
          <w:u w:val="single"/>
        </w:rPr>
        <w:t>https://intranet.mdlz.com/sites/globalhr/comp/Pages/Legal-Documents.aspx</w:t>
      </w:r>
      <w:r>
        <w:rPr>
          <w:rFonts w:ascii="Times New Roman;sans-serif" w:hAnsi="Times New Roman;sans-serif"/>
          <w:b w:val="false"/>
          <w:color w:val="000000"/>
          <w:sz w:val="22"/>
        </w:rPr>
        <w:t>.</w:t>
      </w:r>
    </w:p>
    <w:p>
      <w:pPr>
        <w:pStyle w:val="TextBody"/>
        <w:spacing w:lineRule="auto" w:line="240" w:before="0" w:after="240"/>
        <w:rPr/>
      </w:pPr>
      <w:r>
        <w:rPr>
          <w:rFonts w:ascii="Times New Roman;sans-serif" w:hAnsi="Times New Roman;sans-serif"/>
          <w:b w:val="false"/>
          <w:color w:val="000000"/>
          <w:sz w:val="22"/>
        </w:rPr>
        <w:t>The Participant acknowledges that he or she may have copies of the above documents sent to him or her, at no charge, on written request being mailed to Corporate Secretary, Mondelēz International, Inc., 905 West Fulton Market, Suite 200, Chicago, Illinois 60607, U.S.A.</w:t>
      </w:r>
      <w:r>
        <w:rPr>
          <w:color w:val="000000"/>
        </w:rPr>
        <w:t xml:space="preserve"> </w:t>
      </w:r>
      <w:r>
        <w:rPr>
          <w:rFonts w:ascii="Times New Roman;sans-serif" w:hAnsi="Times New Roman;sans-serif"/>
          <w:b w:val="false"/>
          <w:color w:val="000000"/>
          <w:sz w:val="22"/>
        </w:rPr>
        <w:t>The telephone number at the executive offices is +1 847-943-4000.</w:t>
      </w:r>
    </w:p>
    <w:p>
      <w:pPr>
        <w:pStyle w:val="TextBody"/>
        <w:spacing w:lineRule="auto" w:line="240" w:before="0" w:after="240"/>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The following provision supplements paragraph 8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By participating in the Plan and receiving the LTI Grant, the Participant understands and acknowledges that he or she is required to notify the Employer of the amount of any gain realized upon vesting of the LTI Grant.</w:t>
      </w:r>
    </w:p>
    <w:p>
      <w:pPr>
        <w:pStyle w:val="TextBody"/>
        <w:spacing w:lineRule="auto" w:line="240" w:before="0" w:after="240"/>
        <w:rPr/>
      </w:pPr>
      <w:r>
        <w:rPr>
          <w:rFonts w:ascii="Times New Roman;sans-serif" w:hAnsi="Times New Roman;sans-serif"/>
          <w:b/>
          <w:color w:val="000000"/>
          <w:sz w:val="22"/>
        </w:rPr>
        <w:t xml:space="preserve">Exchange Control Obligations. </w:t>
      </w:r>
      <w:r>
        <w:rPr>
          <w:rFonts w:ascii="Times New Roman;sans-serif" w:hAnsi="Times New Roman;sans-serif"/>
          <w:b w:val="false"/>
          <w:color w:val="000000"/>
          <w:sz w:val="22"/>
        </w:rPr>
        <w:t xml:space="preserve">The Participant is solely responsible for complying with applicable South African exchange control regulations. Since the exchange control regulations change frequently and without notice, the Participant should consult his or her legal advisor prior to the acquisition or sale of the shares of Common Stock under the Plan to ensure compliance with current regulations. As noted, it is the Participant’s responsibility to comply with South African exchange control laws, and neither the </w:t>
      </w:r>
      <w:r>
        <w:br w:type="page"/>
      </w:r>
    </w:p>
    <w:p>
      <w:pPr>
        <w:pStyle w:val="TextBody"/>
        <w:spacing w:before="0" w:after="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25780"/>
                <wp:effectExtent l="0" t="0" r="0" b="0"/>
                <wp:wrapNone/>
                <wp:docPr id="147" name="Frame14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Company nor the Employer will be liable for any fines or penalties resulting from failure to comply with applicable laws.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SOUTH KOREA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Foreign Asset/Account Reporting Information. </w:t>
      </w:r>
      <w:r>
        <w:rPr>
          <w:color w:val="000000"/>
        </w:rPr>
        <w:t xml:space="preserve"> </w:t>
      </w:r>
      <w:r>
        <w:rPr>
          <w:rFonts w:ascii="Times New Roman;sans-serif" w:hAnsi="Times New Roman;sans-serif"/>
          <w:b w:val="false"/>
          <w:color w:val="000000"/>
          <w:sz w:val="22"/>
        </w:rPr>
        <w:t>South Korean residents must declare all foreign financial accounts (</w:t>
      </w:r>
      <w:r>
        <w:rPr>
          <w:rFonts w:ascii="Times New Roman;sans-serif" w:hAnsi="Times New Roman;sans-serif"/>
          <w:b w:val="false"/>
          <w:i/>
          <w:color w:val="000000"/>
          <w:sz w:val="22"/>
        </w:rPr>
        <w:t>e.g.</w:t>
      </w:r>
      <w:r>
        <w:rPr>
          <w:rFonts w:ascii="Times New Roman;sans-serif" w:hAnsi="Times New Roman;sans-serif"/>
          <w:b w:val="false"/>
          <w:color w:val="000000"/>
          <w:sz w:val="22"/>
        </w:rPr>
        <w:t>, non-South Korean bank accounts, brokerage accounts, etc.) to the South Korean tax authority and file a report with respect to such accounts if the value of such accounts exceeds KRW 500 million (or an equivalent amount in foreign currency) on any month-end date during a calendar year.  The Participant should consult with his or her personal tax advisor to determine how to value the Participant’s foreign accounts for purposes of this reporting requirement and whether the Participant is required to file a report with respect to such accounts.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SPAIN</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Nature of Grant. </w:t>
      </w:r>
      <w:r>
        <w:rPr>
          <w:rFonts w:ascii="Times New Roman;sans-serif" w:hAnsi="Times New Roman;sans-serif"/>
          <w:b w:val="false"/>
          <w:color w:val="000000"/>
          <w:sz w:val="22"/>
        </w:rPr>
        <w:t>The following provision supplements paragraph 9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accepting the LTI Grant, the Participant consents to participation in the Plan and acknowledges that he or she has received a copy of the Plan.</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The Participant understands and agrees that, as a condition of the grant of the LTI Grant, except as provided for in paragraph 3 of the Agreement, the termination of the Participant’s employment for any reason (including for the reasons listed below) will automatically result in the loss of the LTI Grant that may have been granted to the Participant and that have not vested on the date of termination. </w:t>
      </w:r>
    </w:p>
    <w:p>
      <w:pPr>
        <w:pStyle w:val="TextBody"/>
        <w:spacing w:lineRule="auto" w:line="240" w:before="0" w:after="240"/>
        <w:rPr/>
      </w:pPr>
      <w:r>
        <w:rPr>
          <w:rFonts w:ascii="Times New Roman;sans-serif" w:hAnsi="Times New Roman;sans-serif"/>
          <w:b w:val="false"/>
          <w:color w:val="000000"/>
          <w:sz w:val="22"/>
        </w:rPr>
        <w:t>In particular, the Participant understands and agrees that any unvested LTI Grants as of Participant’s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subject to a “</w:t>
      </w:r>
      <w:r>
        <w:rPr>
          <w:rFonts w:ascii="Times New Roman;sans-serif" w:hAnsi="Times New Roman;sans-serif"/>
          <w:b w:val="false"/>
          <w:i/>
          <w:color w:val="000000"/>
          <w:sz w:val="22"/>
        </w:rPr>
        <w:t>despido improcedente</w:t>
      </w:r>
      <w:r>
        <w:rPr>
          <w:color w:val="000000"/>
        </w:rPr>
        <w:t>”</w:t>
      </w:r>
      <w:r>
        <w:rPr>
          <w:rFonts w:ascii="Times New Roman;sans-serif" w:hAnsi="Times New Roman;sans-serif"/>
          <w:b w:val="false"/>
          <w:color w:val="000000"/>
          <w:sz w:val="22"/>
        </w:rPr>
        <w:t xml:space="preserv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spacing w:lineRule="auto" w:line="240" w:before="0" w:after="240"/>
        <w:rPr/>
      </w:pPr>
      <w:r>
        <w:rPr>
          <w:rFonts w:ascii="Times New Roman;sans-serif" w:hAnsi="Times New Roman;sans-serif"/>
          <w:b w:val="false"/>
          <w:color w:val="000000"/>
          <w:sz w:val="22"/>
        </w:rPr>
        <w:t>Furthermore, the Participant understands that the Company has unilaterally, gratuitously and discretionally decided to make the LTI Grant under the Plan to individuals who may be Participants of the Mondelēz Group. The decision is a limited decision that is entered into upon the express assumption and condition that any LTI Grant will not economically or otherwise bind the Mondelēz Group on an ongoing basis other than to the extent set forth in the Agreement. Consequently, the Participant understands that the LTI Grant is made on the assumption and condition that the LTI Grant and the shares of Common Stock issued shall not become a part of any employment or contract (with the Mondelēz Group, including the Employer) and shall not be considered a mandatory benefit, salary for any purposes (including severance compensation) or any other right whatsoever. Furthermore, the Participant understands and freely accepts that there is no guarantee that any benefit whatsoever will arise from the LTI Grant, which is gratuitous and discretionary, since the future value of the underlying shares of Common Stock is unknown and unpredictable. In addition, the Participant understands that the LTI Grant would not be made to the Participant but for the assumptions and conditions referred to above; thus, the Participant acknowledges and freely accepts that should any or all of the assumptions be mistaken or should any of the conditions not be met for any reason, then the LTI Grant made to the Participant shall be null and void.</w:t>
      </w:r>
      <w:r>
        <w:rPr>
          <w:color w:val="000000"/>
        </w:rPr>
        <w:t xml:space="preserve"> </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525780"/>
                <wp:effectExtent l="0" t="0" r="0" b="0"/>
                <wp:wrapNone/>
                <wp:docPr id="148" name="Frame14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No “offer of securities to the public”,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2"/>
        </w:rPr>
        <w:t>Comisión Nacional del Mercado de Valores</w:t>
      </w:r>
      <w:r>
        <w:rPr>
          <w:rFonts w:ascii="Times New Roman;sans-serif" w:hAnsi="Times New Roman;sans-serif"/>
          <w:b w:val="false"/>
          <w:color w:val="000000"/>
          <w:sz w:val="22"/>
        </w:rPr>
        <w:t>, and does not constitute a public offering prospectus.</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If the Participant holds 10% or more of the Company’s share capital, the Participant must declare the acquisition, ownership and disposition of shares of Common Stock to the </w:t>
      </w:r>
      <w:r>
        <w:rPr>
          <w:rFonts w:ascii="Times New Roman;sans-serif" w:hAnsi="Times New Roman;sans-serif"/>
          <w:b w:val="false"/>
          <w:i/>
          <w:color w:val="000000"/>
          <w:sz w:val="22"/>
        </w:rPr>
        <w:t xml:space="preserve">Spanish Dirección General de Comercio e Inversiones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DGCI</w:t>
      </w:r>
      <w:r>
        <w:rPr>
          <w:color w:val="000000"/>
        </w:rPr>
        <w:t>”</w:t>
      </w:r>
      <w:r>
        <w:rPr>
          <w:rFonts w:ascii="Times New Roman;sans-serif" w:hAnsi="Times New Roman;sans-serif"/>
          <w:b w:val="false"/>
          <w:color w:val="000000"/>
          <w:sz w:val="22"/>
        </w:rPr>
        <w:t>) of the Ministry of Economy and Competitiveness.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addition, the Participant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Participant by the Company) depending on the value of such accounts and instruments and the amount of the transactions during the relevant year as of December 31 of the relevant year.</w:t>
      </w:r>
    </w:p>
    <w:p>
      <w:pPr>
        <w:pStyle w:val="TextBody"/>
        <w:spacing w:lineRule="auto" w:line="240" w:before="0" w:after="240"/>
        <w:rPr/>
      </w:pPr>
      <w:r>
        <w:rPr>
          <w:rFonts w:ascii="Times New Roman;sans-serif" w:hAnsi="Times New Roman;sans-serif"/>
          <w:b/>
          <w:color w:val="000000"/>
          <w:sz w:val="22"/>
        </w:rPr>
        <w:t>Foreign Asset/Accounting Reporting Information.</w:t>
      </w:r>
      <w:r>
        <w:rPr>
          <w:color w:val="000000"/>
        </w:rPr>
        <w:t xml:space="preserve"> </w:t>
      </w:r>
      <w:r>
        <w:rPr>
          <w:rFonts w:ascii="Times New Roman;sans-serif" w:hAnsi="Times New Roman;sans-serif"/>
          <w:b w:val="false"/>
          <w:color w:val="000000"/>
          <w:sz w:val="22"/>
        </w:rPr>
        <w:t>If the Participant holds rights or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or cash held in a bank or brokerage account) outside Spain with a value in excess of €50,000 per type of right or asset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cash, etc.) as of December 31 each year, the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w:t>
      </w:r>
      <w:r>
        <w:rPr>
          <w:color w:val="000000"/>
        </w:rPr>
        <w:t xml:space="preserve"> </w:t>
      </w:r>
      <w:r>
        <w:rPr>
          <w:rFonts w:ascii="Times New Roman;sans-serif" w:hAnsi="Times New Roman;sans-serif"/>
          <w:b w:val="false"/>
          <w:color w:val="000000"/>
          <w:sz w:val="22"/>
        </w:rPr>
        <w:t>or if ownership of the asset is transferred or relinquished during the year. If the value of such rights and/or assets does not exceed €50,000, a summarized form of declaration may be presented. The reporting must be completed by the March 31 each year. The Participant should consult his or her personal tax advisor for details regarding this requirement.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SWAZILAND</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SWEDEN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8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Without limiting the Company’s and the Employer’s authority to satisfy their withholding obligations for Tax-Related Items as set forth in paragraph 8 of the Agreement, by accepting the LTI Grants, the Employee authorizes the Company and/or the Employer to withhold shares of Common Stock or to sell shares of Common Stock otherwise deliverable to the Employee upon vesting to satisfy Tax-Related Items, regardless of whether the Company and/or the Employer have an obligation to withhold such Tax-Related Items.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SWITZERLAND</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Neither this document nor any other materials relating to the LTI Grant (i) constitutes a prospectus according to 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TAIWAN</w:t>
      </w:r>
      <w:r>
        <w:br w:type="page"/>
      </w: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525780"/>
                <wp:effectExtent l="0" t="0" r="0" b="0"/>
                <wp:wrapNone/>
                <wp:docPr id="149" name="Frame14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The Participant hereby acknowledges that he or she has read and understood the terms regarding collection, processing and transfer of Data contained in paragraph 10 of the Agreement and by participating in the Plan, the Participant agrees to such terms. In this regard, upon request of the Company or the Employer, the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the Participant’s country, either now or in the future. The Participant understands he or she will not be able to participate in the Plan if the Participant fails to execute any such consent or agreement.</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and the shares of Common Stock to be issued pursuant to the Plan are available only to Participants of the Mondelēz Group. The LTI Grant does not constitute a public offer of securities.</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Participant may acquire and remit foreign currency (including proceeds from the sale of shares of Common Stock) into and out of Taiwan up to US$5,000,000 per year. If the transaction amount is TWD$500,000 or more in a single transaction, the Participant must submit a foreign exchange transaction form and also provide supporting documentation to the satisfaction of the remitting bank. The Participant should consult his or her personal advisor to ensure compliance with applicable exchange control laws in Taiwan.</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THAILAND</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proceeds from the sale of shares of Common Stock are equal to or greater than US$1,000,000 in a single transaction, the Participant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Participant must provide details of the transaction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identification information and purposes of the transaction) to the receiving bank. If the Participant fails to comply with these obligations, the Participant may be subject to penalties assessed by the Bank of Thailand.</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Participant should consult his or her personal advisor prior to taking any action with respect to remittance of proceeds from the sale of shares of Common Stock into Thailand. The Participant is responsible for ensuring compliance with all exchange control laws in Thailand.</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TURKIYE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Under Turkish law, the Participant is not permitted to sell shares of Common Stock acquired under the Plan in Turkey. The shares of Common Stock are currently traded on the Nasdaq Global Select Market, which is located outside Turkey and the shares of Common Stock may be sold through this exchange.</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may be required to engage a Turkish financial intermediary to assist with the sale of shares of Common Stock acquired under the Plan. To the extent a Turkish financial intermediary is required in connection with the sale of any shares of Common Stock acquired under the Plan, the Participant is solely responsible for engaging such Turkish financial intermediary. The Participant should consult his or her personal legal advisor prior to the vesting of the LTI Grant or any sale of shares of Common Stock to ensure compliance with the current requirements.</w:t>
      </w:r>
      <w:r>
        <w:br w:type="page"/>
      </w: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25780"/>
                <wp:effectExtent l="0" t="0" r="0" b="0"/>
                <wp:wrapNone/>
                <wp:docPr id="150" name="Frame14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UKRAINE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the Ukraine shall be paid in cash in an amount equal to the cash equivalent value of the LTI Award Payout.</w:t>
      </w:r>
    </w:p>
    <w:p>
      <w:pPr>
        <w:pStyle w:val="TextBody"/>
        <w:spacing w:lineRule="auto" w:line="240" w:before="0" w:after="240"/>
        <w:rPr/>
      </w:pPr>
      <w:r>
        <w:rPr>
          <w:rFonts w:ascii="Times New Roman;sans-serif" w:hAnsi="Times New Roman;sans-serif"/>
          <w:b/>
          <w:i/>
          <w:color w:val="000000"/>
          <w:sz w:val="22"/>
        </w:rPr>
        <w:t>NOTIFICATIONS</w:t>
      </w:r>
      <w:r>
        <w:rPr>
          <w:color w:val="000000"/>
          <w:u w:val="single"/>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Participant is solely responsible for complying with applicable Ukraine exchange control regulations. Since the exchange control regulations change frequently and without notice, the Participant should consult his or her legal advisor prior to the acquisition or sale of shares of Common Stock under the Plan to ensure compliance with current regulations. As noted, it is the Participant’s responsibility to comply with the Ukraine exchange control laws, and the Mondelēz Group will not be liable for any fines or penalties resulting from the Participant ‘s failure to comply with applicable laws.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UNITED ARAB EMIRATES</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Participation in the Plan is being offered only to selected Participants and is in the nature of providing equity incentives to Participants in the United Arab Emirates. The Plan and the Agreement are intended for distribution only to such Participants and must not be delivered to, or relied on by, any other person. Prospective purchasers of the securities offered should conduct their own due diligence on the securities.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If the Participant does not understand the contents of the Plan and the Agreement, the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UNITED KINGDOM (“U.K.”)</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Retirement. </w:t>
      </w:r>
      <w:r>
        <w:rPr>
          <w:rFonts w:ascii="Times New Roman;sans-serif" w:hAnsi="Times New Roman;sans-serif"/>
          <w:b w:val="false"/>
          <w:color w:val="000000"/>
          <w:sz w:val="22"/>
        </w:rPr>
        <w:t>The following provision replaces paragraph 1(j) of the Agreement:</w:t>
      </w:r>
    </w:p>
    <w:p>
      <w:pPr>
        <w:pStyle w:val="TextBody"/>
        <w:spacing w:lineRule="auto" w:line="240" w:before="0" w:after="240"/>
        <w:rPr/>
      </w:pPr>
      <w:r>
        <w:rPr>
          <w:rFonts w:ascii="Times New Roman;sans-serif" w:hAnsi="Times New Roman;sans-serif"/>
          <w:b w:val="false"/>
          <w:color w:val="000000"/>
          <w:sz w:val="22"/>
          <w:u w:val="single"/>
        </w:rPr>
        <w:t>Retirement</w:t>
      </w:r>
      <w:r>
        <w:rPr>
          <w:rFonts w:ascii="Times New Roman;sans-serif" w:hAnsi="Times New Roman;sans-serif"/>
          <w:b w:val="false"/>
          <w:color w:val="000000"/>
          <w:sz w:val="22"/>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pStyle w:val="TextBody"/>
        <w:spacing w:lineRule="auto" w:line="240" w:before="0" w:after="240"/>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8 of the Agreement:</w:t>
      </w:r>
    </w:p>
    <w:p>
      <w:pPr>
        <w:pStyle w:val="TextBody"/>
        <w:spacing w:lineRule="auto" w:line="240" w:before="0" w:after="240"/>
        <w:rPr/>
      </w:pPr>
      <w:r>
        <w:rPr>
          <w:rFonts w:ascii="Times New Roman;sans-serif" w:hAnsi="Times New Roman;sans-serif"/>
          <w:b w:val="false"/>
          <w:color w:val="000000"/>
          <w:sz w:val="22"/>
        </w:rPr>
        <w:t>Without limitation to paragraph 8 of the Agreement, the Participant hereby agrees that he or she is liable for all Tax-Related Items and hereby covenants to pay all such Tax-Related Items, as and when requested by the Company or the Employer, as applicable, or by Her Majesty’s Revenue &amp; Customs (“</w:t>
      </w:r>
      <w:r>
        <w:rPr>
          <w:rFonts w:ascii="Times New Roman;sans-serif" w:hAnsi="Times New Roman;sans-serif"/>
          <w:b w:val="false"/>
          <w:color w:val="000000"/>
          <w:sz w:val="22"/>
          <w:u w:val="single"/>
        </w:rPr>
        <w:t>HMRC</w:t>
      </w:r>
      <w:r>
        <w:rPr>
          <w:color w:val="000000"/>
        </w:rPr>
        <w:t>”</w:t>
      </w:r>
      <w:r>
        <w:rPr>
          <w:rFonts w:ascii="Times New Roman;sans-serif" w:hAnsi="Times New Roman;sans-serif"/>
          <w:b w:val="false"/>
          <w:color w:val="000000"/>
          <w:sz w:val="22"/>
        </w:rPr>
        <w:t xml:space="preserve">) (or any other tax authority or any other relevant authority). The Participant also hereby agrees to </w:t>
      </w:r>
      <w:r>
        <w:br w:type="page"/>
      </w:r>
    </w:p>
    <w:p>
      <w:pPr>
        <w:pStyle w:val="TextBody"/>
        <w:spacing w:before="0" w:after="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25780"/>
                <wp:effectExtent l="0" t="0" r="0" b="0"/>
                <wp:wrapNone/>
                <wp:docPr id="151" name="Frame14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indemnify and keep indemnified the Company and the Employer, as applicable, against any Tax-Related Items that they are required to pay or withhold or have paid or will pay on the Participant’s behalf to HMRC (or any other tax authority or any other relevant authority).</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the Participant is a director or executive officer of the Company (within the meaning of Section 13(k) of the U.S. Securities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paragraph 8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addition, the Participant agrees that the Company and/or the Employer may calculate the Tax-Related Items to be withheld and accounted for by reference to the maximum applicable rates, without prejudice to any right the Participant may have to recover any overpayment from the relevant tax authorities.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UNITED STATES </w:t>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2"/>
        </w:rPr>
        <w:t>Data Privacy Terms</w:t>
      </w:r>
      <w:r>
        <w:rPr>
          <w:rFonts w:ascii="Times New Roman;sans-serif" w:hAnsi="Times New Roman;sans-serif"/>
          <w:b w:val="false"/>
          <w:color w:val="000000"/>
          <w:sz w:val="22"/>
        </w:rPr>
        <w:t>. This provision supplements paragraph 10 of the Agreement:</w:t>
      </w:r>
    </w:p>
    <w:p>
      <w:pPr>
        <w:pStyle w:val="TextBody"/>
        <w:spacing w:before="0" w:after="0"/>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Company does not sell the Participant's Personal Data or share it for cross-context behavioral advertising. If the Participant would like a copy of the Company’s privacy policy, please contact a local human resources representative.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Foreign Asset/Accounting Reporting Information</w:t>
      </w:r>
      <w:r>
        <w:rPr>
          <w:rFonts w:ascii="Times New Roman;sans-serif" w:hAnsi="Times New Roman;sans-serif"/>
          <w:b w:val="false"/>
          <w:color w:val="000000"/>
          <w:sz w:val="22"/>
        </w:rPr>
        <w:t>. If the Participant holds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Common Stock) or other financial assets in an account outside the United States and the aggregate amount of said assets is US$10,000 or more, the Participant is required to submit a report of Foreign Bank and Financial Account with the United States Internal Revenue Service by June 30 of the year following the year in which the assets in the Participant’s account meet the US$10,000 threshold.</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URUGUAY</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Data Privacy Consent</w:t>
      </w:r>
      <w:r>
        <w:rPr>
          <w:rFonts w:ascii="Times New Roman;sans-serif" w:hAnsi="Times New Roman;sans-serif"/>
          <w:b w:val="false"/>
          <w:color w:val="000000"/>
          <w:sz w:val="22"/>
        </w:rPr>
        <w:t>. The Participant understands that the Data will be collected by the Employer and will be transferred to the Company at 905 West Fulton Market, Suite 200, Chicago, Illinois 60607, U.S.A. and/or any financial institutions or brokers involved in the management and administration of the Plan. The Participant further understands that any of these entities may store the Data for purposes of administering the Participant’s participation in the Plan.</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VENEZUELA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Investment Representation.</w:t>
      </w:r>
      <w:r>
        <w:rPr>
          <w:color w:val="000000"/>
        </w:rPr>
        <w:t xml:space="preserve"> </w:t>
      </w:r>
      <w:r>
        <w:rPr>
          <w:rFonts w:ascii="Times New Roman;sans-serif" w:hAnsi="Times New Roman;sans-serif"/>
          <w:b w:val="false"/>
          <w:color w:val="000000"/>
          <w:sz w:val="22"/>
        </w:rPr>
        <w:t>As a condition of the LTI Grant, the Participant acknowledges and agrees that any shares of Common Stock the Participant may acquire upon the settlement of the LTI Grant are acquired as and intended to be an investment rather than for the resale of the shares of Common Stock and conversion of shares into foreign currency.</w:t>
      </w:r>
      <w:r>
        <w:br w:type="page"/>
      </w: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25780"/>
                <wp:effectExtent l="0" t="0" r="0" b="0"/>
                <wp:wrapNone/>
                <wp:docPr id="152" name="Frame14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restrictions may limit the ability to vest in the LTI Grant or remit funds into Venezuela following the receipt of the cash proceeds from the sale of shares of Common Stock acquired upon settlement of the LTI Grant under the Plan. The Company reserves the right to further restrict the settlement of the LTI Grant, or to amend or cancel the LTI Grant at any time, in order to comply with the applicable exchange control laws in Venezuela. The Participant is responsible for complying with exchange control laws in Venezuela and neither the Company nor the Employer will be liable for any fines or penalties resulting from the Participant’s failure to comply with applicable laws.</w:t>
      </w:r>
      <w:r>
        <w:rPr>
          <w:color w:val="000000"/>
        </w:rPr>
        <w:t xml:space="preserve"> </w:t>
      </w:r>
      <w:r>
        <w:rPr>
          <w:rFonts w:ascii="Times New Roman;sans-serif" w:hAnsi="Times New Roman;sans-serif"/>
          <w:b w:val="false"/>
          <w:color w:val="000000"/>
          <w:sz w:val="22"/>
        </w:rPr>
        <w:t>Because exchange control laws and regulations change frequently and without notice, the Participant should consult with his or her personal legal advisor before accepting the LTI Grant to ensure compliance with current regulations.</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LTI Grant granted under the Plan and the shares of Common Stock issued under the Plan are offered as a personal, private, exclusive transaction and are not subject to Venezuelan government securities regulations.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VIETNAM</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LTI Grant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Vietnam shall be paid in cash in an amount equal to the cash equivalent value of the LTI Award Payout.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w:t>
      </w:r>
      <w:r>
        <w:rPr>
          <w:rFonts w:ascii="Times New Roman;sans-serif" w:hAnsi="Times New Roman;sans-serif"/>
          <w:b w:val="false"/>
          <w:color w:val="000000"/>
          <w:sz w:val="24"/>
        </w:rPr>
        <w:t>xhibit 10.4</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25780"/>
                <wp:effectExtent l="0" t="0" r="0" b="0"/>
                <wp:wrapNone/>
                <wp:docPr id="153" name="Frame15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br/>
        <w:t>AMENDED AND RESTATED 2005 PERFORMANCE INCENTIVE PLAN</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as of February 3, 2017)</w:t>
      </w:r>
    </w:p>
    <w:p>
      <w:pPr>
        <w:pStyle w:val="TextBody"/>
        <w:spacing w:before="0" w:after="240"/>
        <w:jc w:val="center"/>
        <w:rPr/>
      </w:pPr>
      <w:r>
        <w:rPr/>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GLOBAL DEFERRED STOCK UNIT AGREEMENT</w:t>
      </w:r>
    </w:p>
    <w:p>
      <w:pPr>
        <w:pStyle w:val="TextBody"/>
        <w:spacing w:lineRule="auto" w:line="240" w:before="0" w:after="240"/>
        <w:ind w:left="0" w:right="0" w:firstLine="720"/>
        <w:rPr/>
      </w:pPr>
      <w:r>
        <w:rPr>
          <w:rFonts w:ascii="Times New Roman;sans-serif" w:hAnsi="Times New Roman;sans-serif"/>
          <w:b w:val="false"/>
          <w:color w:val="000000"/>
          <w:sz w:val="22"/>
        </w:rPr>
        <w:t>MONDELĒZ INTERNATIONAL, INC., a Virginia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employee (the “</w:t>
      </w:r>
      <w:r>
        <w:rPr>
          <w:rFonts w:ascii="Times New Roman;sans-serif" w:hAnsi="Times New Roman;sans-serif"/>
          <w:b w:val="false"/>
          <w:color w:val="000000"/>
          <w:sz w:val="22"/>
          <w:u w:val="single"/>
        </w:rPr>
        <w:t>Employee</w:t>
      </w:r>
      <w:r>
        <w:rPr>
          <w:color w:val="000000"/>
        </w:rPr>
        <w:t>”</w:t>
      </w:r>
      <w:r>
        <w:rPr>
          <w:rFonts w:ascii="Times New Roman;sans-serif" w:hAnsi="Times New Roman;sans-serif"/>
          <w:b w:val="false"/>
          <w:color w:val="000000"/>
          <w:sz w:val="22"/>
        </w:rPr>
        <w:t>) named in the award statement provided to the Employee (the “</w:t>
      </w:r>
      <w:r>
        <w:rPr>
          <w:rFonts w:ascii="Times New Roman;sans-serif" w:hAnsi="Times New Roman;sans-serif"/>
          <w:b w:val="false"/>
          <w:color w:val="000000"/>
          <w:sz w:val="22"/>
          <w:u w:val="single"/>
        </w:rPr>
        <w:t>Award Statement</w:t>
      </w:r>
      <w:r>
        <w:rPr>
          <w:color w:val="000000"/>
        </w:rPr>
        <w:t>”</w:t>
      </w:r>
      <w:r>
        <w:rPr>
          <w:rFonts w:ascii="Times New Roman;sans-serif" w:hAnsi="Times New Roman;sans-serif"/>
          <w:b w:val="false"/>
          <w:color w:val="000000"/>
          <w:sz w:val="22"/>
        </w:rPr>
        <w:t>) as of the date set forth in the Award Statement (the “</w:t>
      </w:r>
      <w:r>
        <w:rPr>
          <w:rFonts w:ascii="Times New Roman;sans-serif" w:hAnsi="Times New Roman;sans-serif"/>
          <w:b w:val="false"/>
          <w:color w:val="000000"/>
          <w:sz w:val="22"/>
          <w:u w:val="single"/>
        </w:rPr>
        <w:t>Grant Date</w:t>
      </w:r>
      <w:r>
        <w:rPr>
          <w:color w:val="000000"/>
        </w:rPr>
        <w:t>”</w:t>
      </w:r>
      <w:r>
        <w:rPr>
          <w:rFonts w:ascii="Times New Roman;sans-serif" w:hAnsi="Times New Roman;sans-serif"/>
          <w:b w:val="false"/>
          <w:color w:val="000000"/>
          <w:sz w:val="22"/>
        </w:rPr>
        <w:t>) pursuant to the provisions of the Mondelēz International, Inc. Amended and Restated 2005 Performance Incentive Plan, as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Deferred Stock Units (the “</w:t>
      </w:r>
      <w:r>
        <w:rPr>
          <w:rFonts w:ascii="Times New Roman;sans-serif" w:hAnsi="Times New Roman;sans-serif"/>
          <w:b w:val="false"/>
          <w:color w:val="000000"/>
          <w:sz w:val="22"/>
          <w:u w:val="single"/>
        </w:rPr>
        <w:t>Grant</w:t>
      </w:r>
      <w:r>
        <w:rPr>
          <w:color w:val="000000"/>
        </w:rPr>
        <w:t>”</w:t>
      </w:r>
      <w:r>
        <w:rPr>
          <w:rFonts w:ascii="Times New Roman;sans-serif" w:hAnsi="Times New Roman;sans-serif"/>
          <w:b w:val="false"/>
          <w:color w:val="000000"/>
          <w:sz w:val="22"/>
        </w:rPr>
        <w:t>) representing a right to receive a corresponding number of shares of Common Stock of the Company set forth in the Award Statement, upon and subject to the restrictions, terms and conditions set forth below (including the country-specific terms set forth in the attached Appendix A), in the Award Statement and in the Plan. Capitalized terms not otherwise defined in this Global Deferred Stock Unit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shall have the same meaning as defined under the Plan. All references to action of or approval by the Committee shall be deemed to include action of or approval by any other person(s) to whom the Committee has delegated authority to act.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Grant is subject to the following terms and conditions (including the country-specific terms set forth in Appendix A to this Agreement):</w:t>
      </w:r>
    </w:p>
    <w:p>
      <w:pPr>
        <w:pStyle w:val="TextBody"/>
        <w:spacing w:lineRule="auto" w:line="240"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The Employee must either execute and deliver an acceptance of the terms set forth in this Agreement or electronically accept the terms set forth in this Agreement, in the manner and within a period specified by the Committee. The Committee may, in its sole discretion, cancel the Deferred Stock Units if the Employee fails to accept this Agreement and related documents within the specified period or using the procedures for acceptance established by the Committee.</w:t>
      </w:r>
    </w:p>
    <w:p>
      <w:pPr>
        <w:pStyle w:val="TextBody"/>
        <w:spacing w:lineRule="auto" w:line="240" w:before="0" w:after="240"/>
        <w:ind w:left="0" w:right="0" w:firstLine="720"/>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Restrictions</w:t>
      </w:r>
      <w:r>
        <w:rPr>
          <w:rFonts w:ascii="Times New Roman;sans-serif" w:hAnsi="Times New Roman;sans-serif"/>
          <w:b w:val="false"/>
          <w:color w:val="000000"/>
          <w:sz w:val="22"/>
        </w:rPr>
        <w:t>. Except as expressly provided in this Agreement, the restrictions on the Deferred Stock Units shall lapse and the Deferred Stock Units shall vest on the Vesting Date shown in the Award Statement (the “</w:t>
      </w:r>
      <w:r>
        <w:rPr>
          <w:rFonts w:ascii="Times New Roman;sans-serif" w:hAnsi="Times New Roman;sans-serif"/>
          <w:b w:val="false"/>
          <w:color w:val="000000"/>
          <w:sz w:val="22"/>
          <w:u w:val="single"/>
        </w:rPr>
        <w:t>Vesting Date</w:t>
      </w:r>
      <w:r>
        <w:rPr>
          <w:color w:val="000000"/>
        </w:rPr>
        <w:t>”</w:t>
      </w:r>
      <w:r>
        <w:rPr>
          <w:rFonts w:ascii="Times New Roman;sans-serif" w:hAnsi="Times New Roman;sans-serif"/>
          <w:b w:val="false"/>
          <w:color w:val="000000"/>
          <w:sz w:val="22"/>
        </w:rPr>
        <w:t xml:space="preserve">), provided that the Employee remains an active employee of the Mondelēz Group during the entire period commencing on the Grant Date and ending on the Vesting Date. </w:t>
      </w:r>
    </w:p>
    <w:p>
      <w:pPr>
        <w:pStyle w:val="TextBody"/>
        <w:spacing w:lineRule="auto" w:line="240" w:before="0" w:after="240"/>
        <w:ind w:left="0" w:right="0" w:firstLine="720"/>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Termination of Employment Before Vesting Date</w:t>
      </w:r>
      <w:r>
        <w:rPr>
          <w:rFonts w:ascii="Times New Roman;sans-serif" w:hAnsi="Times New Roman;sans-serif"/>
          <w:b w:val="false"/>
          <w:color w:val="000000"/>
          <w:sz w:val="22"/>
        </w:rPr>
        <w:t>. Unless determined otherwise by the Committee or except as expressly provided in this Agreement, if the Employee terminated employment with the Mondelēz Group prior to the Vesting Date, the Employee shall forfeit all rights to the Deferred Stock Units and the shares of Common Stock underlying the Deferred Stock Units. If the Employee terminates employment with the Mondelēz Group prior to the Vesting Date due to:</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(a)    the Employee’s death or Disability (as defined below in paragraph 21), the restrictions on the Deferred Stock Units shall lapse and the Deferred Stock Units shall become fully vested on the date of the Employee’s death or termination due to Disability; or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(b)    the Employee’s Retirement (as defined below in paragraph 21), or as otherwise determined by the Committee, and provided that (i) the Deferred Stock Units are not otherwise accounted for, or included in, the Employee’s severance or retirement arrangement with the Mondelēz Group; (ii) the Employee timely executes a general release and waiver of claims in a form and manner determined by the Company in its sole discretion; and (iii) the Retirement date occurs on or after the 180th day following the Grant Date then:</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(1) in the event that the Employee's Retirement occurs because the Employee is age 65 or older with at least five (5) or more years of active continuous employment with the Mondelēz Group, the restrictions on the Deferred Stock Units shall lapse and the Deferred Stock Units shall become fully vested on the date of the Employee’s Retirement; </w:t>
      </w:r>
    </w:p>
    <w:p>
      <w:pPr>
        <w:pStyle w:val="TextBody"/>
        <w:spacing w:lineRule="auto" w:line="240"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(2) in the event that the Employee's Retirement occurs because the Employee is age 55 or older with at least ten (10) or more years of active continuous employment with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4" name="Frame1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Mondelēz Group, the Deferred Stock Units will vest on a pro-rata basis. The proration amount will be a fraction, the numerator of which is the number of months (excluding the month of the Grant Date and including partial months thereafter, rounded up to the next whole month) the Employee was actively employed by the Mondelēz Group during the vesting period and the denominator of which is the total number of months in the vesting period.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For clarity, in the event any of (i), (ii) or (iii) of this subsection 2(b) are not met then, unless determined otherwise by the Committee, the Employee shall forfeit all rights to the Deferred Stock Units and the shares of Common Stock underlying the Deferred Stock Units.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For purposes of this Agreement, the Employee’s employment shall be deemed to be terminated when he or she is no longer actively employed by the Mondelēz Group (regardless of the reason for such termination and whether or not later found to be invalid or in breach of employment laws in the jurisdiction where the Employee is employed or the terms of the Employee’s employment agreement, if any). The Employee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Employee is no longer actively employed for purposes of the Deferred Stock Units. Unless otherwise determined by the Committee, leaves of absence shall not constitute a termination of employment for purposes of this Agreement.</w:t>
      </w:r>
    </w:p>
    <w:p>
      <w:pPr>
        <w:pStyle w:val="TextBody"/>
        <w:spacing w:lineRule="auto" w:line="240" w:before="0" w:after="240"/>
        <w:ind w:left="0" w:right="0" w:firstLine="720"/>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Voting and Dividend Rights</w:t>
      </w:r>
      <w:r>
        <w:rPr>
          <w:rFonts w:ascii="Times New Roman;sans-serif" w:hAnsi="Times New Roman;sans-serif"/>
          <w:b w:val="false"/>
          <w:color w:val="000000"/>
          <w:sz w:val="22"/>
        </w:rPr>
        <w:t>. The Employee does not have the right to vote the Deferred Stock Units or receive dividends or dividend equivalents prior to the date, if any, such Deferred Stock Units vest and are paid to the Employee in the form of Common Stock pursuant to the terms hereof. However, the Employee shall receive cash payments (less applicable Tax-Related Items (as defined below)) in lieu of dividends otherwise payable with respect to shares of Common Stock equal in number to the unpaid Deferred Stock Units that have not been forfeited, as such dividends are paid.</w:t>
      </w:r>
    </w:p>
    <w:p>
      <w:pPr>
        <w:pStyle w:val="TextBody"/>
        <w:spacing w:lineRule="auto" w:line="240" w:before="0" w:after="240"/>
        <w:ind w:left="0" w:right="0" w:firstLine="720"/>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Transfer Restrictions</w:t>
      </w:r>
      <w:r>
        <w:rPr>
          <w:rFonts w:ascii="Times New Roman;sans-serif" w:hAnsi="Times New Roman;sans-serif"/>
          <w:b w:val="false"/>
          <w:color w:val="000000"/>
          <w:sz w:val="22"/>
        </w:rPr>
        <w:t>. This Grant and the Deferred Stock Units are non-transferable and may not be assigned, hypothecated or otherwise pledged and shall not be subject to execution, attachment or similar process. Upon any attempt to effect any such disposition, or upon the levy of any such process, the Grant shall immediately become null and void and the Deferred Stock Units shall be forfeited. These restrictions shall not apply, however, to any payments received pursuant to paragraph 7 below.</w:t>
      </w:r>
    </w:p>
    <w:p>
      <w:pPr>
        <w:pStyle w:val="TextBody"/>
        <w:spacing w:lineRule="auto" w:line="240" w:before="0" w:after="240"/>
        <w:ind w:left="0" w:right="0" w:firstLine="720"/>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Withholding Taxes</w:t>
      </w:r>
      <w:r>
        <w:rPr>
          <w:rFonts w:ascii="Times New Roman;sans-serif" w:hAnsi="Times New Roman;sans-serif"/>
          <w:b w:val="false"/>
          <w:color w:val="000000"/>
          <w:sz w:val="22"/>
        </w:rPr>
        <w:t>. The Employee acknowledges that regardless of any action taken by the Company or, if different, the Employee’s employer (the “</w:t>
      </w:r>
      <w:r>
        <w:rPr>
          <w:rFonts w:ascii="Times New Roman;sans-serif" w:hAnsi="Times New Roman;sans-serif"/>
          <w:b w:val="false"/>
          <w:color w:val="000000"/>
          <w:sz w:val="22"/>
          <w:u w:val="single"/>
        </w:rPr>
        <w:t>Employer</w:t>
      </w:r>
      <w:r>
        <w:rPr>
          <w:color w:val="000000"/>
        </w:rPr>
        <w:t>”</w:t>
      </w:r>
      <w:r>
        <w:rPr>
          <w:rFonts w:ascii="Times New Roman;sans-serif" w:hAnsi="Times New Roman;sans-serif"/>
          <w:b w:val="false"/>
          <w:color w:val="000000"/>
          <w:sz w:val="22"/>
        </w:rPr>
        <w:t>), the ultimate liability for all income tax, social insurance, payroll tax, fringe benefits tax, payment on account or other tax-related items related to the Employee’s participation in the Plan and legally applicable to the Employee or deemed by the Company or the Employer, in their discretion, to be an appropriate charge to the Employee even if legally applicable to the Company or the Employer (“</w:t>
      </w:r>
      <w:r>
        <w:rPr>
          <w:rFonts w:ascii="Times New Roman;sans-serif" w:hAnsi="Times New Roman;sans-serif"/>
          <w:b w:val="false"/>
          <w:color w:val="000000"/>
          <w:sz w:val="22"/>
          <w:u w:val="single"/>
        </w:rPr>
        <w:t>Tax-Related Items</w:t>
      </w:r>
      <w:r>
        <w:rPr>
          <w:color w:val="000000"/>
        </w:rPr>
        <w:t>”</w:t>
      </w:r>
      <w:r>
        <w:rPr>
          <w:rFonts w:ascii="Times New Roman;sans-serif" w:hAnsi="Times New Roman;sans-serif"/>
          <w:b w:val="false"/>
          <w:color w:val="000000"/>
          <w:sz w:val="22"/>
        </w:rPr>
        <w:t>) is and remains his or her responsibility and may exceed the amount, if any, actually withheld by the Company or the Employer. The Employee further acknowledges that the Company and/or the Employer (a) make no representations or undertakings regarding the treatment of any Tax-Related Items in connection with any aspect of the Deferred Stock Units, including the grant, vesting or settlement of the Deferred Stock Units, the receipt of any dividends or cash payments in lieu of dividends, or the subsequent sale of shares of Common Stock; and (b) do not commit to and are under no obligation to structure the terms of the grant of the Deferred Stock Units or any aspect of the Employee’s participation in the Plan to reduce or eliminate his or her liability for Tax-Related Items or achieve any particular tax result. Further, if the Employee becomes subject to any Tax-Related Items in more than one jurisdiction, the Employee acknowledges that the Company and/or the Employer (or former employer, as applicable) may be required to withhold or account for (including report) Tax-Related Items in more than one jurisdiction.</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The Employee acknowledges and agrees that the Company may refuse to issue or deliver shares of Common Stock upon vesting of the Deferred Stock Units if Employee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5" name="Frame1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equalization policies and procedures of the Mondelēz Group, or arrangements satisfactory to the Company for the payment thereof have been made.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this regard, the Employee authorizes the Company and/or the Employer, in their sole discretion and without any notice or further authorization by the Employee, to satisfy any applicable withholding obligations with regard to all Tax-Related Items legally due by the Employee (or otherwise due by the Employee as set forth in this paragraph 5) and any hypothetical taxes from the Employee’s wages or other cash compensation paid by the Company and/or the Employer or from proceeds of the sale of the shares of Common Stock issued upon vesting of the Deferred Stock Units, in which case, the Company may instruct the broker it has selected for this purpose (on the Employee’s behalf and at the Employee’s direction pursuant to this authorization without further consent) to sell any shares of Common Stock that the Employee acquires upon vesting of the Deferred Stock Units, except to the extent that such a sale would violate any U.S. federal securities law or other applicable law. Alternatively, or in addition, the Company may (i) deduct the number of Deferred Stock Units having an aggregate value equal to the amount of Tax-Related Items and any hypothetical taxes due from the total number of Deferred Stock Units awarded, vested, paid or otherwise becoming subject to current taxation; and/or (ii) satisfy the Tax-Related Items and any hypothetical taxes arising from the vesting of the Deferred Stock Units through any other method established by the Company. Notwithstanding the foregoing, if the Employee is subject to the short-swing profit rules of Section 16(b) of the Exchange Act, the Company will withhold in shares of Common Stock issuable at vesting of the Deferred Stock Units upon the relevant withholding event or the Committee may determine that a particular method be used to satisfy any required withholding. Finally, the Employee agrees to pay to the Company or the Employer any amount of Tax-Related Items and any hypothetical taxes that the Company or the Employer may be required to withhold or account for as a result of the Employee’s participation in the Plan that cannot be satisfied by the means previously described.</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2"/>
        </w:rPr>
        <w:t>The Company may withhold or account for Tax-Related Items and any hypothetical taxes by considering statutory withholding rates (in accordance with Section 14(d) of the Plan) or other withholding rates, including minimum rates or maximum rates applicable in the Employee’s jurisdiction(s), in which case the Employee may receive a refund of any over-withheld amount in cash and will have no entitlement to the equivalent shares of Common Stock or, if not refunded, the Employee may be able to seek a refund from the applicable tax authorities. In the event of under-withholding, the Employee may be required to pay any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underlying the Grant, notwithstanding that a number of shares of Common Stock are held back solely for the purpose of paying the Tax-Related Items and/or hypothetical taxes due as a result of any aspect of the Employee’s participation in the Plan.</w:t>
      </w:r>
    </w:p>
    <w:p>
      <w:pPr>
        <w:pStyle w:val="TextBody"/>
        <w:spacing w:lineRule="auto" w:line="240" w:before="0" w:after="240"/>
        <w:ind w:left="0" w:right="0" w:firstLine="720"/>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Death of Employee</w:t>
      </w:r>
      <w:r>
        <w:rPr>
          <w:rFonts w:ascii="Times New Roman;sans-serif" w:hAnsi="Times New Roman;sans-serif"/>
          <w:b w:val="false"/>
          <w:color w:val="000000"/>
          <w:sz w:val="22"/>
        </w:rPr>
        <w:t>. If any of the Deferred Stock Units shall vest upon the death of the Employee, any Common Stock received in payment of the vested Deferred Stock Units shall be registered in the name of and delivered to the estate of the Employee.</w:t>
      </w:r>
    </w:p>
    <w:p>
      <w:pPr>
        <w:pStyle w:val="TextBody"/>
        <w:spacing w:lineRule="auto" w:line="240" w:before="0" w:after="240"/>
        <w:ind w:left="0" w:right="0" w:firstLine="720"/>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Payment of Deferred Stock Units</w:t>
      </w:r>
      <w:r>
        <w:rPr>
          <w:rFonts w:ascii="Times New Roman;sans-serif" w:hAnsi="Times New Roman;sans-serif"/>
          <w:b w:val="false"/>
          <w:color w:val="000000"/>
          <w:sz w:val="22"/>
        </w:rPr>
        <w:t>. Each Deferred Stock Unit granted pursuant to this Grant represents an unfunded and unsecured promise of the Company to issue to the Employee, after the date the Deferred Stock Units vest pursuant to paragraph 1 or 2 and otherwise subject to the terms of this Agreement (including the country-specific terms set forth in Appendix A to this Agreement), the value of one share of the Common Stock. Except as otherwise expressly provided and subject to the terms of this Agreement (including Appendix A hereto and Section 9), such issuance shall be made to the Employee (or, in the event of his or her death to the Employee’s estate or beneficiary as provided above) in the form of Common Stock as soon as practicable, but not later than 30 days, following the vesting of the Deferred Stock Units pursuant to paragraph 1 or 2 (and with respect to the vesting of Deferred Stock Units pursuant to paragraph 1, in no event later than the last day of the calendar year in which such vesting occurred).</w:t>
      </w:r>
    </w:p>
    <w:p>
      <w:pPr>
        <w:pStyle w:val="TextBody"/>
        <w:spacing w:lineRule="auto" w:line="240" w:before="0" w:after="240"/>
        <w:ind w:left="0" w:right="0" w:firstLine="720"/>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Special Payment Provisions</w:t>
      </w:r>
      <w:r>
        <w:rPr>
          <w:rFonts w:ascii="Times New Roman;sans-serif" w:hAnsi="Times New Roman;sans-serif"/>
          <w:b w:val="false"/>
          <w:color w:val="000000"/>
          <w:sz w:val="22"/>
        </w:rPr>
        <w:t xml:space="preserve">. Notwithstanding anything to the contrary in the Agreement, if the Deferred Stock Units are considered nonqualified deferred compensation subject to Section 409A of the Code and are settled on or on a date that is by reference to the Employee’s “separation from service” and the Employee is a “specified employee” (each within the meaning of Section 409A of the Code and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6" name="Frame1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each determined by the Company it its sole discretion) on the date the Employee experiences a separation from service, then the Deferred Stock Units (or applicable portion thereof) shall be settled on the first business day of the seventh month following the Employee’s separation from service, or, if earlier, on the date of the Employee’s death, to the extent such delayed payment is required in order to avoid a prohibited distribution under Section 409A of the Code.</w:t>
      </w:r>
    </w:p>
    <w:p>
      <w:pPr>
        <w:pStyle w:val="TextBody"/>
        <w:spacing w:lineRule="auto" w:line="240" w:before="0" w:after="240"/>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Restrictions and Covenants</w:t>
      </w:r>
      <w:r>
        <w:rPr>
          <w:rFonts w:ascii="Times New Roman;sans-serif" w:hAnsi="Times New Roman;sans-serif"/>
          <w:b w:val="false"/>
          <w:color w:val="000000"/>
          <w:sz w:val="22"/>
        </w:rPr>
        <w:t>.</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(a)In addition to such other conditions as may be established by the Company or the Committee, in consideration for making a Grant under the terms of the Plan, the Employee agrees and covenants as follows for a period of twelve (12) months following the date of the Employee’s termination of employment from the Mondelēz Group:</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Employee, without the express written permission of the Company’s chief human resources officer, will not engage in any conduct in which the Employee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Employee has reason to know has been under development by the Mondelēz Group during the Employee’s employment with the Mondelēz Group). The Employee will not engage in any activity that may require or inevitably require the Employee’s use or disclosure of the Mondelēz Group’s confidential information, proprietary information and/or trade secrets;</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2.to protect the Mondelēz Group’s investment in its employees and to ensure the long-term success of the business, the Employee, without the express written permission of the Company’s chief human resources officer, will not directly or indirectly solicit, hire, recruit, attempt to hire or recruit, or induce the termination of employment of any employee of the Mondelēz Group; and</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3.to protect the Mondelēz Group’s investment in its development of goodwill and customers and to ensure the long-term success of the business, the Employee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pStyle w:val="TextBody"/>
        <w:spacing w:lineRule="auto" w:line="240" w:before="0" w:after="240"/>
        <w:rPr/>
      </w:pPr>
      <w:r>
        <w:rPr>
          <w:rFonts w:ascii="Times New Roman;sans-serif" w:hAnsi="Times New Roman;sans-serif"/>
          <w:b w:val="false"/>
          <w:color w:val="000000"/>
          <w:sz w:val="22"/>
        </w:rPr>
        <w:t>The provisions contained herein in paragraph 9 are not in lieu of, but are in addition to the continuing obligation of the Employee (which the Employee acknowledges by accepting any Grant under the Plan) to not use or disclose the Mondelēz Group’s trade secrets or Confidential Information known to the Employee until any particular trade secret or Confidential Information becomes generally known (through no fault of the Employee), whereupon the restriction on use and disclosure shall cease as to that item. For purposes of this agreement,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includes, but is not limited to, certain sales, marketing, strategy, financial, product, personnel, manufacturing, technical and other proprietary information and material which are the property of the Mondelēz Group. The Employee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7" name="Frame1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(b)A main purpose of the Plan is to strengthen the alignment of long-term interests between employees and the Mondelēz Group by providing an ownership interest in the Company, and to prevent former employees whose interests become adverse to the Company from maintaining that ownership interest. By acceptance of any Grant (including the Deferred Stock Units) under the Plan, the Employee acknowledges and agrees that if the Employee breaches any of the covenants set forth in paragraph 9(a): </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1.all unvested Grants (including any unvested Deferred Stock Units) shall be immediately forfeited;</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2.the Company may cancel, rescind, suspend, withhold or otherwise limit or restrict any unexpired, unpaid or deferred Grants (including the Deferred Stock Units) at any time if the Employee is not in compliance with all terms and conditions set forth in the Plan and this Agreement including, but not limited to, paragraph 9(a);</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3.the Employee shall repay to the Mondelēz Group the net proceeds of any Plan benefit that occurs at any time after the earlier of the following two dates: (i) the date twelve (12) months immediately preceding any such violation; or (ii) the date six (6) months prior to the Employee’s termination of employment with the Mondelēz Group. The Employee shall repay to the Mondelēz Group the net proceeds in such a manner and on such terms and conditions as may be required by the Mondelēz Group, and the Mondelēz Group shall be entitled to set-off against the amount of any such net proceeds any amount owed to the Employee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4.the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Employee acknowledges that such breach would cause the Mondelēz Group to suffer irreparable harm. The aforementioned equitable relief shall be in addition to, not in lieu of, legal remedies, monetary damages or other available forms of relief.</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(c)If any provision contained in this paragraph 9 shall for any reason, whether by application of existing law or law which may develop after the Employee’s acceptance of a Grant under the Plan be determined by a court of competent jurisdiction to be overly broad as to scope of activity, duration or territory, the Employee agrees to join the Mondelēz Group in requesting such court to construe such provision by limiting or reducing it so as to be enforceable to the extent compatible with then applicable law.</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(d)Notwithstanding the foregoing, no section of this Agreement is intended to or shall limit, prevent, impede or interfere with the Employee’s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Employee does not need prior authorization from the Mondelēz Group to make any such reports or disclosures and is not required to notify the Mondelēz Group that the Employee has made such reports or disclosures.</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(e)The Employee is hereby advised in writing to consult with an attorney before entering into the covenants outlined in this Section 9. The Employee acknowledges that prior to acceptance of this Agreement, the Employee has been advised by the Company of the Employee's right to seek independent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8" name="Frame1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advice from an attorney of the Employee's own selection regarding this Agreement, including the restraints imposed upon him or her pursuant to this Section 9. The Employee acknowledges that they have entered into this Agreement knowingly and voluntarily and with full knowledge and understanding of the provisions of this Agreement after being given the opportunity to consult with counsel. The Employee further represents that in entering into this Agreement, the Employee is not relying on any statements or representations made by any of the Company's directors, officers, employees or agents which are not expressly set forth herein, and that the Employee is relying only upon their own judgment and any advice provided by the Employee's attorney. The Employee acknowledges he or she has been provided at minimum 14 calendar days to review the provisions contained herein but may voluntarily waive this period and sign prior to the 14 calendar day period lapsing.</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(f)For purposes of this Section 9, the Company and any member of the Mondelēz Group shall be deemed to be third-party beneficiaries with the right to seek enforcement of any of the provisions of this Section 9. Further, for purposes of this Section 9, references to acting directly or indirectly include acting jointly with or through another person.</w:t>
      </w:r>
    </w:p>
    <w:p>
      <w:pPr>
        <w:pStyle w:val="TextBody"/>
        <w:spacing w:lineRule="auto" w:line="240" w:before="0" w:after="240"/>
        <w:ind w:left="0" w:right="0" w:firstLine="720"/>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Clawback Policy/ Forfeiture</w:t>
      </w:r>
      <w:r>
        <w:rPr>
          <w:rFonts w:ascii="Times New Roman;sans-serif" w:hAnsi="Times New Roman;sans-serif"/>
          <w:b w:val="false"/>
          <w:color w:val="000000"/>
          <w:sz w:val="22"/>
        </w:rPr>
        <w:t>. The Employee understands and agrees that in the Committee’s sole discretion, the Company may cancel all or part of the Deferred Stock Units or require repayment by the Employee to the Company of all or part of any cash payment or shares of Common Stock underlying any vested Deferred Stock Units pursuant to any recovery, recoupment, clawback and/or other forfeiture policy maintained by the Company, including a violation of paragraph 9 above, from time to time. In addition, any payments or benefits the Employee may receive hereunder shall be subject to repayment or forfeiture as may be required to comply with the requirements under the U.S. 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pStyle w:val="TextBody"/>
        <w:spacing w:lineRule="auto" w:line="240" w:before="0" w:after="240"/>
        <w:ind w:left="0" w:right="0" w:firstLine="720"/>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Original Issue or Transfer Taxes</w:t>
      </w:r>
      <w:r>
        <w:rPr>
          <w:rFonts w:ascii="Times New Roman;sans-serif" w:hAnsi="Times New Roman;sans-serif"/>
          <w:b w:val="false"/>
          <w:color w:val="000000"/>
          <w:sz w:val="22"/>
        </w:rPr>
        <w:t>. The Company shall pay all original issue or transfer taxes and all fees and expenses incident to the delivery of the shares of Common Stock underlying the vested Deferred Stock Units, except as otherwise provided in paragraph 5.</w:t>
      </w:r>
    </w:p>
    <w:p>
      <w:pPr>
        <w:pStyle w:val="TextBody"/>
        <w:spacing w:lineRule="auto" w:line="240" w:before="0" w:after="240"/>
        <w:ind w:left="0" w:right="0" w:firstLine="720"/>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Grant Confers No Rights to Continued Employment</w:t>
      </w:r>
      <w:r>
        <w:rPr>
          <w:rFonts w:ascii="Times New Roman;sans-serif" w:hAnsi="Times New Roman;sans-serif"/>
          <w:b w:val="false"/>
          <w:color w:val="000000"/>
          <w:sz w:val="22"/>
        </w:rPr>
        <w:t>. Nothing contained in the Plan or this Agreement (including the country-specific terms set forth in Appendix A to this Agreement) shall give any Employee the right to be retained in the employment of any member of the Mondelēz Group, affect the right of any Employer to terminate any Employee, or be interpreted as forming or amending an employment or service contract with any member of the Mondelēz Group. The adoption and maintenance of the Plan shall not constitute an inducement to, or condition of, the employment of the Employee.</w:t>
      </w:r>
    </w:p>
    <w:p>
      <w:pPr>
        <w:pStyle w:val="TextBody"/>
        <w:spacing w:lineRule="auto" w:line="240" w:before="0" w:after="240"/>
        <w:ind w:left="0" w:right="0" w:firstLine="720"/>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Nature of the Grant</w:t>
      </w:r>
      <w:r>
        <w:rPr>
          <w:rFonts w:ascii="Times New Roman;sans-serif" w:hAnsi="Times New Roman;sans-serif"/>
          <w:b w:val="false"/>
          <w:color w:val="000000"/>
          <w:sz w:val="22"/>
        </w:rPr>
        <w:t>. In accepting the Deferred Stock Units, the Employee acknowledges, understands, and agrees that:</w:t>
      </w:r>
    </w:p>
    <w:p>
      <w:pPr>
        <w:pStyle w:val="TextBody"/>
        <w:spacing w:lineRule="auto" w:line="240" w:before="0" w:after="240"/>
        <w:ind w:left="0" w:right="0" w:firstLine="1440"/>
        <w:rPr/>
      </w:pPr>
      <w:r>
        <w:rPr>
          <w:rFonts w:ascii="Times New Roman;sans-serif" w:hAnsi="Times New Roman;sans-serif"/>
          <w:b w:val="false"/>
          <w:color w:val="000000"/>
          <w:sz w:val="22"/>
        </w:rPr>
        <w:t>(a)</w:t>
      </w:r>
      <w:r>
        <w:rPr>
          <w:rFonts w:ascii="Times New Roman;sans-serif" w:hAnsi="Times New Roman;sans-serif"/>
          <w:b w:val="false"/>
          <w:color w:val="000000"/>
          <w:sz w:val="22"/>
        </w:rPr>
        <w:t>the Plan is established voluntarily by the Company, it is discretionary in nature and it may be modified, amended, suspended or terminated by the Company at any time, to the extent permitted by the Plan;</w:t>
      </w:r>
    </w:p>
    <w:p>
      <w:pPr>
        <w:pStyle w:val="TextBody"/>
        <w:spacing w:lineRule="auto" w:line="240" w:before="0" w:after="240"/>
        <w:ind w:left="0" w:right="0" w:firstLine="1440"/>
        <w:rPr/>
      </w:pPr>
      <w:r>
        <w:rPr>
          <w:rFonts w:ascii="Times New Roman;sans-serif" w:hAnsi="Times New Roman;sans-serif"/>
          <w:b w:val="false"/>
          <w:color w:val="000000"/>
          <w:sz w:val="22"/>
        </w:rPr>
        <w:t>(b)</w:t>
      </w:r>
      <w:r>
        <w:rPr>
          <w:rFonts w:ascii="Times New Roman;sans-serif" w:hAnsi="Times New Roman;sans-serif"/>
          <w:b w:val="false"/>
          <w:color w:val="000000"/>
          <w:sz w:val="22"/>
        </w:rPr>
        <w:t>the Grant is exceptional, voluntary and occasional and does not create any contractual or other right to receive future Grants, or benefits in lieu of Deferred Stock Units, even if Deferred Stock Units have been granted in the past;</w:t>
      </w:r>
    </w:p>
    <w:p>
      <w:pPr>
        <w:pStyle w:val="TextBody"/>
        <w:spacing w:lineRule="auto" w:line="240" w:before="0" w:after="240"/>
        <w:ind w:left="0" w:right="0" w:firstLine="1440"/>
        <w:rPr/>
      </w:pPr>
      <w:r>
        <w:rPr>
          <w:rFonts w:ascii="Times New Roman;sans-serif" w:hAnsi="Times New Roman;sans-serif"/>
          <w:b w:val="false"/>
          <w:color w:val="000000"/>
          <w:sz w:val="22"/>
        </w:rPr>
        <w:t>(c)</w:t>
      </w:r>
      <w:r>
        <w:rPr>
          <w:rFonts w:ascii="Times New Roman;sans-serif" w:hAnsi="Times New Roman;sans-serif"/>
          <w:b w:val="false"/>
          <w:color w:val="000000"/>
          <w:sz w:val="22"/>
        </w:rPr>
        <w:t>all decisions with respect to future Grants, if any, will be at the sole discretion of the Committee;</w:t>
      </w:r>
    </w:p>
    <w:p>
      <w:pPr>
        <w:pStyle w:val="TextBody"/>
        <w:spacing w:lineRule="auto" w:line="240" w:before="0" w:after="240"/>
        <w:ind w:left="0" w:right="0" w:firstLine="1440"/>
        <w:rPr/>
      </w:pPr>
      <w:r>
        <w:rPr>
          <w:rFonts w:ascii="Times New Roman;sans-serif" w:hAnsi="Times New Roman;sans-serif"/>
          <w:b w:val="false"/>
          <w:color w:val="000000"/>
          <w:sz w:val="22"/>
        </w:rPr>
        <w:t>(d)</w:t>
      </w:r>
      <w:r>
        <w:rPr>
          <w:rFonts w:ascii="Times New Roman;sans-serif" w:hAnsi="Times New Roman;sans-serif"/>
          <w:b w:val="false"/>
          <w:color w:val="000000"/>
          <w:sz w:val="22"/>
        </w:rPr>
        <w:t>the Employee’s participation in the Plan is voluntary;</w:t>
      </w:r>
    </w:p>
    <w:p>
      <w:pPr>
        <w:pStyle w:val="TextBody"/>
        <w:spacing w:lineRule="auto" w:line="240" w:before="0" w:after="240"/>
        <w:ind w:left="0" w:right="0" w:firstLine="1440"/>
        <w:rPr/>
      </w:pPr>
      <w:r>
        <w:rPr>
          <w:rFonts w:ascii="Times New Roman;sans-serif" w:hAnsi="Times New Roman;sans-serif"/>
          <w:b w:val="false"/>
          <w:color w:val="000000"/>
          <w:sz w:val="22"/>
        </w:rPr>
        <w:t>(e)</w:t>
      </w:r>
      <w:r>
        <w:rPr>
          <w:rFonts w:ascii="Times New Roman;sans-serif" w:hAnsi="Times New Roman;sans-serif"/>
          <w:b w:val="false"/>
          <w:color w:val="000000"/>
          <w:sz w:val="22"/>
        </w:rPr>
        <w:t>the Deferred Stock Units and the shares of Common Stock subject to the Deferred Stock Units, and the income and value of same, are not intended to replace any pension rights or compensation;</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9" name="Frame1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(f)</w:t>
      </w:r>
      <w:r>
        <w:rPr>
          <w:rFonts w:ascii="Times New Roman;sans-serif" w:hAnsi="Times New Roman;sans-serif"/>
          <w:b w:val="false"/>
          <w:color w:val="000000"/>
          <w:sz w:val="22"/>
        </w:rPr>
        <w:t>the Grant and the shares of Common Stock subject to the Deferred Stock Units,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pStyle w:val="TextBody"/>
        <w:spacing w:lineRule="auto" w:line="240" w:before="0" w:after="240"/>
        <w:ind w:left="0" w:right="0" w:firstLine="1440"/>
        <w:rPr/>
      </w:pPr>
      <w:r>
        <w:rPr>
          <w:rFonts w:ascii="Times New Roman;sans-serif" w:hAnsi="Times New Roman;sans-serif"/>
          <w:b w:val="false"/>
          <w:color w:val="000000"/>
          <w:sz w:val="22"/>
        </w:rPr>
        <w:t>(g)</w:t>
      </w:r>
      <w:r>
        <w:rPr>
          <w:rFonts w:ascii="Times New Roman;sans-serif" w:hAnsi="Times New Roman;sans-serif"/>
          <w:b w:val="false"/>
          <w:color w:val="000000"/>
          <w:sz w:val="22"/>
        </w:rPr>
        <w:t>the future value of the underlying shares of Common Stock is unknown, indeterminable and cannot be predicted;</w:t>
      </w:r>
    </w:p>
    <w:p>
      <w:pPr>
        <w:pStyle w:val="TextBody"/>
        <w:spacing w:lineRule="auto" w:line="240" w:before="0" w:after="240"/>
        <w:ind w:left="0" w:right="0" w:firstLine="1440"/>
        <w:rPr/>
      </w:pPr>
      <w:r>
        <w:rPr>
          <w:rFonts w:ascii="Times New Roman;sans-serif" w:hAnsi="Times New Roman;sans-serif"/>
          <w:b w:val="false"/>
          <w:color w:val="000000"/>
          <w:sz w:val="22"/>
        </w:rPr>
        <w:t>(h)</w:t>
      </w:r>
      <w:r>
        <w:rPr>
          <w:rFonts w:ascii="Times New Roman;sans-serif" w:hAnsi="Times New Roman;sans-serif"/>
          <w:b w:val="false"/>
          <w:color w:val="000000"/>
          <w:sz w:val="22"/>
        </w:rPr>
        <w:t>unless otherwise agreed with the Company, the Deferred Stock Units and the shares of Common Stock underlying the Deferred Stock Units, and the income and value of same, are not granted as consideration for, or in connection with, the service the Employee may provide as a director of any entity of the Mondelēz Group;</w:t>
      </w:r>
    </w:p>
    <w:p>
      <w:pPr>
        <w:pStyle w:val="TextBody"/>
        <w:spacing w:lineRule="auto" w:line="240" w:before="0" w:after="240"/>
        <w:ind w:left="0" w:right="0" w:firstLine="1440"/>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the Employee understands and agrees that the Employee should consult with the Employee’s own personal tax, legal and financial advisors regarding the Employee’s participation in the Plan before taking any action related to the Plan and that the Company is not providing any tax, legal or financial advice, nor is the Company making any recommendations regarding the Employee’s participation in the Plan or Employee’s acquisition or sale of the underlying shares of Common Stock; </w:t>
      </w:r>
    </w:p>
    <w:p>
      <w:pPr>
        <w:pStyle w:val="TextBody"/>
        <w:spacing w:lineRule="auto" w:line="240" w:before="0" w:after="240"/>
        <w:ind w:left="0" w:right="0" w:firstLine="1440"/>
        <w:rPr/>
      </w:pPr>
      <w:r>
        <w:rPr>
          <w:rFonts w:ascii="Times New Roman;sans-serif" w:hAnsi="Times New Roman;sans-serif"/>
          <w:b w:val="false"/>
          <w:color w:val="000000"/>
          <w:sz w:val="22"/>
        </w:rPr>
        <w:t>(j)</w:t>
      </w:r>
      <w:r>
        <w:rPr>
          <w:rFonts w:ascii="Times New Roman;sans-serif" w:hAnsi="Times New Roman;sans-serif"/>
          <w:b w:val="false"/>
          <w:color w:val="000000"/>
          <w:sz w:val="22"/>
        </w:rPr>
        <w:t>unless otherwise provided in the Plan or by the Company in its discretion, the Grant of Deferred Stock Units and the benefits evidenced by this Agreement do not create any entitlement to have the Deferred Stock Units or any such benefits transferred to, or assumed by, another company, nor to be exchanged, cashed out or substituted for, in connection with any corporate transaction affecting the Company’s Common Stock;</w:t>
      </w:r>
    </w:p>
    <w:p>
      <w:pPr>
        <w:pStyle w:val="TextBody"/>
        <w:spacing w:lineRule="auto" w:line="240" w:before="0" w:after="240"/>
        <w:ind w:left="0" w:right="0" w:firstLine="1440"/>
        <w:rPr/>
      </w:pPr>
      <w:r>
        <w:rPr>
          <w:rFonts w:ascii="Times New Roman;sans-serif" w:hAnsi="Times New Roman;sans-serif"/>
          <w:b w:val="false"/>
          <w:color w:val="000000"/>
          <w:sz w:val="22"/>
        </w:rPr>
        <w:t>(k)</w:t>
      </w:r>
      <w:r>
        <w:rPr>
          <w:rFonts w:ascii="Times New Roman;sans-serif" w:hAnsi="Times New Roman;sans-serif"/>
          <w:b w:val="false"/>
          <w:color w:val="000000"/>
          <w:sz w:val="22"/>
        </w:rPr>
        <w:t>the Deferred Stock Units and the shares of Common Stock subject to the Deferred Stock Units, and the income and value of same, are not part of normal or expected compensation or salary for any purpose;</w:t>
      </w:r>
    </w:p>
    <w:p>
      <w:pPr>
        <w:pStyle w:val="TextBody"/>
        <w:spacing w:lineRule="auto" w:line="240" w:before="0" w:after="240"/>
        <w:ind w:left="0" w:right="0" w:firstLine="1440"/>
        <w:rPr/>
      </w:pPr>
      <w:r>
        <w:rPr>
          <w:rFonts w:ascii="Times New Roman;sans-serif" w:hAnsi="Times New Roman;sans-serif"/>
          <w:b w:val="false"/>
          <w:color w:val="000000"/>
          <w:sz w:val="22"/>
        </w:rPr>
        <w:t>(l)</w:t>
      </w:r>
      <w:r>
        <w:rPr>
          <w:rFonts w:ascii="Times New Roman;sans-serif" w:hAnsi="Times New Roman;sans-serif"/>
          <w:b w:val="false"/>
          <w:color w:val="000000"/>
          <w:sz w:val="22"/>
        </w:rPr>
        <w:t>neither the Company, the Employer nor any member of the Mondelēz Group shall be liable for any foreign exchange rate fluctuation between the Employee’s local currency and the United States Dollar that may affect the value of the Deferred Stock Units or any shares of Common Stock delivered to the Employee upon vesting of the Deferred Stock Units or of any proceeds resulting from the Employee’s sale of such shares; and</w:t>
      </w:r>
    </w:p>
    <w:p>
      <w:pPr>
        <w:pStyle w:val="TextBody"/>
        <w:spacing w:lineRule="auto" w:line="240" w:before="0" w:after="240"/>
        <w:ind w:left="0" w:right="0" w:firstLine="1440"/>
        <w:rPr/>
      </w:pPr>
      <w:r>
        <w:rPr>
          <w:rFonts w:ascii="Times New Roman;sans-serif" w:hAnsi="Times New Roman;sans-serif"/>
          <w:b w:val="false"/>
          <w:color w:val="000000"/>
          <w:sz w:val="22"/>
        </w:rPr>
        <w:t>(m)</w:t>
      </w:r>
      <w:r>
        <w:rPr>
          <w:rFonts w:ascii="Times New Roman;sans-serif" w:hAnsi="Times New Roman;sans-serif"/>
          <w:b w:val="false"/>
          <w:color w:val="000000"/>
          <w:sz w:val="22"/>
        </w:rPr>
        <w:t xml:space="preserve">no claim or entitlement to compensation or damages shall arise from forfeiture of the Deferred Stock Units </w:t>
      </w:r>
      <w:r>
        <w:rPr>
          <w:rFonts w:ascii="Times New Roman;sans-serif" w:hAnsi="Times New Roman;sans-serif"/>
          <w:b w:val="false"/>
          <w:color w:val="000000"/>
          <w:sz w:val="22"/>
          <w:highlight w:val="white"/>
        </w:rPr>
        <w:t xml:space="preserve">or the recoupment of any </w:t>
      </w:r>
      <w:r>
        <w:rPr>
          <w:rFonts w:ascii="Times New Roman;sans-serif" w:hAnsi="Times New Roman;sans-serif"/>
          <w:b w:val="false"/>
          <w:color w:val="000000"/>
          <w:sz w:val="22"/>
        </w:rPr>
        <w:t>shares of Common Stock</w:t>
      </w:r>
      <w:r>
        <w:rPr>
          <w:color w:val="000000"/>
          <w:highlight w:val="white"/>
        </w:rPr>
        <w:t xml:space="preserve"> </w:t>
      </w:r>
      <w:r>
        <w:rPr>
          <w:rFonts w:ascii="Times New Roman;sans-serif" w:hAnsi="Times New Roman;sans-serif"/>
          <w:b w:val="false"/>
          <w:color w:val="000000"/>
          <w:sz w:val="22"/>
          <w:highlight w:val="white"/>
        </w:rPr>
        <w:t xml:space="preserve">acquired under the Plan </w:t>
      </w:r>
      <w:r>
        <w:rPr>
          <w:rFonts w:ascii="Times New Roman;sans-serif" w:hAnsi="Times New Roman;sans-serif"/>
          <w:b w:val="false"/>
          <w:color w:val="000000"/>
          <w:sz w:val="22"/>
        </w:rPr>
        <w:t xml:space="preserve">resulting from (a) the termination of the Employee’s employment or other service relationship by the Company or the Employer (for any reason whatsoever, whether or not later found to be invalid or in breach of employment laws in the jurisdiction where the Employee is employed or the terms of his or her employment agreement, if any); </w:t>
      </w:r>
      <w:r>
        <w:rPr>
          <w:rFonts w:ascii="Times New Roman;sans-serif" w:hAnsi="Times New Roman;sans-serif"/>
          <w:b w:val="false"/>
          <w:color w:val="000000"/>
          <w:sz w:val="22"/>
          <w:highlight w:val="white"/>
        </w:rPr>
        <w:t>and/or (b) the application of any recoupment policy or any recovery or clawback policy otherwise required by law</w:t>
      </w:r>
      <w:r>
        <w:rPr>
          <w:rFonts w:ascii="Times New Roman;sans-serif" w:hAnsi="Times New Roman;sans-serif"/>
          <w:b w:val="false"/>
          <w:color w:val="000000"/>
          <w:sz w:val="22"/>
        </w:rPr>
        <w:t>.</w:t>
      </w:r>
    </w:p>
    <w:p>
      <w:pPr>
        <w:pStyle w:val="TextBody"/>
        <w:spacing w:lineRule="auto" w:line="240" w:before="0" w:after="240"/>
        <w:ind w:left="0" w:right="0" w:firstLine="720"/>
        <w:rPr/>
      </w:pPr>
      <w:r>
        <w:rPr>
          <w:rFonts w:ascii="Times New Roman;sans-serif" w:hAnsi="Times New Roman;sans-serif"/>
          <w:b w:val="false"/>
          <w:color w:val="000000"/>
          <w:sz w:val="22"/>
        </w:rPr>
        <w:t>14.    </w:t>
      </w:r>
      <w:r>
        <w:rPr>
          <w:rFonts w:ascii="Times New Roman;sans-serif" w:hAnsi="Times New Roman;sans-serif"/>
          <w:b/>
          <w:i/>
          <w:color w:val="000000"/>
          <w:sz w:val="22"/>
          <w:u w:val="single"/>
        </w:rPr>
        <w:t>Data Privacy</w:t>
      </w:r>
      <w:r>
        <w:rPr>
          <w:rFonts w:ascii="Times New Roman;sans-serif" w:hAnsi="Times New Roman;sans-serif"/>
          <w:b/>
          <w:i/>
          <w:color w:val="000000"/>
          <w:sz w:val="22"/>
        </w:rPr>
        <w:t>. The Employee hereby explicitly and unambiguously consents to the collection, use and transfer, in electronic or other form, of his or her personal data as described in this Agreement and any other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by and among the Mondelēz Group for the exclusive purpose of implementing, administering and managing Employee’s participation in the Plan.</w:t>
      </w:r>
    </w:p>
    <w:p>
      <w:pPr>
        <w:pStyle w:val="TextBody"/>
        <w:spacing w:lineRule="auto" w:line="240" w:before="0" w:after="240"/>
        <w:ind w:left="0" w:right="0" w:firstLine="720"/>
        <w:rPr>
          <w:rFonts w:ascii="Times New Roman;sans-serif" w:hAnsi="Times New Roman;sans-serif"/>
          <w:b/>
          <w:i/>
          <w:color w:val="000000"/>
          <w:sz w:val="22"/>
        </w:rPr>
      </w:pPr>
      <w:r>
        <w:rPr>
          <w:rFonts w:ascii="Times New Roman;sans-serif" w:hAnsi="Times New Roman;sans-serif"/>
          <w:b/>
          <w:i/>
          <w:color w:val="000000"/>
          <w:sz w:val="22"/>
        </w:rPr>
        <w:t>The Employee understands that the Mondelēz Group may hold certain personal information about him or her, including, but not limited to, the Employee’s name, home address, email address and telephone number, date of birth, social security, passport or insurance number or other identification number (e.g., resident registration number), salary, nationality, job title, any shares of stock or directorships held in the Company, and details of the Deferred Stock Units or any other entitlement to shares of Common Stock or other equivalent benefits awarded, canceled, purchased, exercised, vested, unvested or outstanding in the Employee’s favor, for the exclusive purpose of implementing, administering and managing the Plan.</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0" name="Frame1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i/>
          <w:color w:val="000000"/>
          <w:sz w:val="22"/>
        </w:rPr>
        <w:t>The Employee understands that Data will be transferred to E*TRADE Financial Corporate Services Inc. and its affiliates (“E*TRADE”),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KPMG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Employee’s country. If the Employee resides outside the United States, the Employee understands that he or she may request a list with the names and addresses of any potential recipients of the Data by contacting the Employee’s local human resources representative. The Employee authorizes the Company, E*TRADE,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If the Employee resides outside the United States, the Employee understands that he or she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the Employee is providing the consents herein on a purely voluntary basis. If the Employee does not consent, or if the Employee later seeks to revoke his or her consent, the Employee’s employment status or service with the Employer will not be affected; the only consequence of refusing or withdrawing the Employee’s consent is that the Company would not be able to grant the Employee Deferred Stock Units or other equity awards or administer or maintain such grants. The Employee also understands that the Company has no obligation to substitute other forms of Grants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the Employee’s local human resources representative</w:t>
      </w:r>
      <w:r>
        <w:rPr>
          <w:rFonts w:ascii="Times New Roman;sans-serif" w:hAnsi="Times New Roman;sans-serif"/>
          <w:b w:val="false"/>
          <w:color w:val="000000"/>
          <w:sz w:val="22"/>
        </w:rPr>
        <w:t>.</w:t>
      </w:r>
    </w:p>
    <w:p>
      <w:pPr>
        <w:pStyle w:val="TextBody"/>
        <w:spacing w:lineRule="auto" w:line="240" w:before="0" w:after="240"/>
        <w:ind w:left="0" w:right="0" w:firstLine="720"/>
        <w:rPr>
          <w:rFonts w:ascii="Times New Roman;sans-serif" w:hAnsi="Times New Roman;sans-serif"/>
          <w:b/>
          <w:i/>
          <w:color w:val="000000"/>
          <w:sz w:val="22"/>
        </w:rPr>
      </w:pPr>
      <w:r>
        <w:rPr>
          <w:rFonts w:ascii="Times New Roman;sans-serif" w:hAnsi="Times New Roman;sans-serif"/>
          <w:b/>
          <w:i/>
          <w:color w:val="000000"/>
          <w:sz w:val="22"/>
        </w:rPr>
        <w:t xml:space="preserve">Further, upon request of the Company or the Employer, the Employee agrees to provide an executed data privacy form (or any other agreements or consents) that the Company and/or the Employer may deem necessary to obtain from the Employee for the purpose of administering the Employee’s participation in the Plan in compliance with the data privacy laws in the Employee’s country, either now or in the future. The Employee understands and agrees that he or she will not be able to participate in the Plan if the Employee’s fails to provide any such consent or agreement as requested by the Company and/or the Employer. </w:t>
      </w:r>
    </w:p>
    <w:p>
      <w:pPr>
        <w:pStyle w:val="TextBody"/>
        <w:spacing w:lineRule="auto" w:line="240" w:before="0" w:after="240"/>
        <w:ind w:left="0" w:right="0" w:firstLine="720"/>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Employee related to current or future participation in the Plan may also be delivered through electronic means as described in paragraph 16 below.</w:t>
      </w:r>
    </w:p>
    <w:p>
      <w:pPr>
        <w:pStyle w:val="TextBody"/>
        <w:spacing w:lineRule="auto" w:line="240" w:before="0" w:after="240"/>
        <w:ind w:left="0" w:right="0" w:firstLine="720"/>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Employee hereby consents to receive such documents by electronic delivery and agrees to participate in the Plan through any on-line or electronic system established and maintained by the Company or a third party designated by the Company.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1" name="Frame1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The Employee acknowledges that he or she is sufficiently proficient in English, or, alternatively, the Employee acknowledges that he or she will seek appropriate assistance, to understand the terms and conditions in the Agreement. Furthermore, if the Employee has received this Agreement or any other document related to the Plan translated into a language other than English and if the meaning of the translated version is different from the English version, the English version will control.</w:t>
      </w:r>
    </w:p>
    <w:p>
      <w:pPr>
        <w:pStyle w:val="TextBody"/>
        <w:spacing w:lineRule="auto" w:line="240" w:before="0" w:after="240"/>
        <w:ind w:left="0" w:right="0" w:firstLine="720"/>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xml:space="preserve">. The terms and provisions of the Plan (a copy of which will be made available online or furnished to the Employee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the Employee is no longer actively employed. Any interpretation, determination or other action made or taken by the Committee regarding the Plan or this Agreement shall be final, binding and conclusive. </w:t>
      </w:r>
    </w:p>
    <w:p>
      <w:pPr>
        <w:pStyle w:val="TextBody"/>
        <w:spacing w:lineRule="auto" w:line="240" w:before="0" w:after="240"/>
        <w:ind w:left="0" w:right="0" w:firstLine="720"/>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pStyle w:val="TextBody"/>
        <w:spacing w:lineRule="auto" w:line="240" w:before="0" w:after="240"/>
        <w:ind w:left="0" w:right="0" w:firstLine="720"/>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Entire Agreement; Governing Law</w:t>
      </w:r>
      <w:r>
        <w:rPr>
          <w:rFonts w:ascii="Times New Roman;sans-serif" w:hAnsi="Times New Roman;sans-serif"/>
          <w:b w:val="false"/>
          <w:color w:val="000000"/>
          <w:sz w:val="22"/>
        </w:rPr>
        <w:t xml:space="preserve">. The Award Statement, the Plan and this Agreement constitute the entire agreement of the parties with respect to the subject matter hereof and supersede in their entirety all prior undertakings and agreements of the Company and the Employee with respect to the subject matter hereof, and may not be modified adversely to the Employee’s interest except as provided in the Award Statement, the Plan or this Agreement or by means of a writing signed by the Company and the Employee.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Employee is deemed to submit to the exclusive jurisdiction of the Commonwealth of Virginia, U.S.A., and agrees that such litigation shall be conducted in the courts of Henrico County, Virginia, or the federal courts for the United States for the Eastern District of Virginia. This Agreement is intended to be exempt from, or otherwise comply with, Section 409A of the Code and shall be interpreted, operated and administered in a manner consistent with such intent. The Company reserves the right, to amend or modify this Agreement at any time, without the consent of the Employee or any other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Grant made hereunder, and Mondelēz Group shall not under any circumstances have any liability to any employee or his estate or any other party for any taxes, penalties or interest due on amounts paid or payable under this Agreement, including taxes, penalties or interest imposed under Section 409A of the Code. For purposes of Section 409A of the Code, each payment and each series of payments under this Agreement, if any, shall be treated as a separate payment. </w:t>
      </w:r>
    </w:p>
    <w:p>
      <w:pPr>
        <w:pStyle w:val="TextBody"/>
        <w:spacing w:lineRule="auto" w:line="240" w:before="0" w:after="240"/>
        <w:ind w:left="0" w:right="0" w:firstLine="720"/>
        <w:rPr/>
      </w:pPr>
      <w:r>
        <w:rPr>
          <w:rFonts w:ascii="Times New Roman;sans-serif" w:hAnsi="Times New Roman;sans-serif"/>
          <w:b w:val="false"/>
          <w:color w:val="000000"/>
          <w:sz w:val="22"/>
        </w:rPr>
        <w:t>21.    </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 xml:space="preserve">.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2" name="Frame1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Mondelēz Group, in each case subject to any Board or Committee action specifically addressing any such adjustments, cash payments, or continued employment treatment.</w:t>
      </w:r>
    </w:p>
    <w:p>
      <w:pPr>
        <w:pStyle w:val="TextBody"/>
        <w:spacing w:lineRule="auto" w:line="240" w:before="0" w:after="240"/>
        <w:ind w:left="0" w:right="0" w:firstLine="720"/>
        <w:rPr/>
      </w:pPr>
      <w:r>
        <w:rPr>
          <w:rFonts w:ascii="Times New Roman;sans-serif" w:hAnsi="Times New Roman;sans-serif"/>
          <w:b w:val="false"/>
          <w:color w:val="000000"/>
          <w:sz w:val="22"/>
        </w:rPr>
        <w:t>For the purposes of this Agreement, (a)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 and (b)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 xml:space="preserve">means, unless otherwise determined by the Committee in its sole discretion, the termination of employment on or after either (i) the date the Employee is age 55 or older with at least ten (10) or more years of active continuous employment with the Mondelēz Group or (ii) the date the Employee is age 65 or older with at least five (5) or more years of active continuous employment with the Mondelēz Group. </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if the Company receives an opinion of counsel that there has been a legal judgment and/or legal development in the Employee’s jurisdiction that likely would result in the favorable Retirement treatment (as set forth above) that applies to the Deferred Stock Units being deemed unlawful and/or discriminatory, then the Company will not apply the favorable Retirement treatment at the time of termination and the Deferred Stock Units will be treated as they would under the rules that apply if the Employee’s employment is terminated for reasons other than Retirement, death or Disability.</w:t>
      </w:r>
    </w:p>
    <w:p>
      <w:pPr>
        <w:pStyle w:val="TextBody"/>
        <w:spacing w:lineRule="auto" w:line="240" w:before="0" w:after="240"/>
        <w:ind w:left="0" w:right="0" w:firstLine="720"/>
        <w:rPr/>
      </w:pPr>
      <w:r>
        <w:rPr>
          <w:rFonts w:ascii="Times New Roman;sans-serif" w:hAnsi="Times New Roman;sans-serif"/>
          <w:b w:val="false"/>
          <w:color w:val="000000"/>
          <w:sz w:val="22"/>
        </w:rPr>
        <w:t>22.    </w:t>
      </w:r>
      <w:r>
        <w:rPr>
          <w:rFonts w:ascii="Times New Roman;sans-serif" w:hAnsi="Times New Roman;sans-serif"/>
          <w:b w:val="false"/>
          <w:color w:val="000000"/>
          <w:sz w:val="22"/>
          <w:u w:val="single"/>
        </w:rPr>
        <w:t>Compliance With Law</w:t>
      </w:r>
      <w:r>
        <w:rPr>
          <w:rFonts w:ascii="Times New Roman;sans-serif" w:hAnsi="Times New Roman;sans-serif"/>
          <w:b w:val="false"/>
          <w:color w:val="000000"/>
          <w:sz w:val="22"/>
        </w:rPr>
        <w:t>. Notwithstanding any other provision of the Plan or this Agreement, unless there is an available exemption from any registration, qualification or other legal requirement applicable to the shares of Common Stock, the Company shall not be required to deliver any Common Stock issuable upon settlement of the Deferred Stock Units prior to the completion of any registration or qualification of the shares of Common Stock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Employee understands that the Company is under no obligation to register or qualify the shares of Common Stock with the Commission or any state, provincial or foreign securities commission or to seek approval or clearance from any governmental authority for the issuance or sale of the shares of Common Stock. Further, the Employee agrees that the Company shall have unilateral authority to amend the Plan and this Agreement without the Employee’s consent to the extent necessary to comply with securities or other laws applicable to the issuance of shares of Common Stock.    </w:t>
      </w:r>
    </w:p>
    <w:p>
      <w:pPr>
        <w:pStyle w:val="TextBody"/>
        <w:spacing w:lineRule="auto" w:line="240" w:before="0" w:after="240"/>
        <w:ind w:left="0" w:right="0" w:firstLine="720"/>
        <w:rPr/>
      </w:pPr>
      <w:r>
        <w:rPr>
          <w:rFonts w:ascii="Times New Roman;sans-serif" w:hAnsi="Times New Roman;sans-serif"/>
          <w:b w:val="false"/>
          <w:color w:val="000000"/>
          <w:sz w:val="22"/>
        </w:rPr>
        <w:t>23.    </w:t>
      </w:r>
      <w:r>
        <w:rPr>
          <w:rFonts w:ascii="Times New Roman;sans-serif" w:hAnsi="Times New Roman;sans-serif"/>
          <w:b w:val="false"/>
          <w:color w:val="000000"/>
          <w:sz w:val="22"/>
          <w:u w:val="single"/>
        </w:rPr>
        <w:t>Agreement Severable</w:t>
      </w:r>
      <w:r>
        <w:rPr>
          <w:rFonts w:ascii="Times New Roman;sans-serif" w:hAnsi="Times New Roman;sans-serif"/>
          <w:b w:val="false"/>
          <w:color w:val="000000"/>
          <w:sz w:val="22"/>
        </w:rPr>
        <w:t>. In the event that any provision in this Agreement will be held invalid or unenforceable, such provision will be severable from, and such invalidity or unenforceability will not be construed to have any effect on, the remaining provisions of this Agreement.</w:t>
      </w:r>
    </w:p>
    <w:p>
      <w:pPr>
        <w:pStyle w:val="TextBody"/>
        <w:spacing w:lineRule="auto" w:line="240" w:before="0" w:after="240"/>
        <w:ind w:left="0" w:right="0" w:firstLine="720"/>
        <w:rPr/>
      </w:pPr>
      <w:r>
        <w:rPr>
          <w:rFonts w:ascii="Times New Roman;sans-serif" w:hAnsi="Times New Roman;sans-serif"/>
          <w:b w:val="false"/>
          <w:color w:val="000000"/>
          <w:sz w:val="22"/>
        </w:rPr>
        <w:t>24.    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Headings of paragraphs and sections used in this Agreement are for convenience only and are not part of this Agreement, and must not be used in construing it.</w:t>
      </w:r>
    </w:p>
    <w:p>
      <w:pPr>
        <w:pStyle w:val="TextBody"/>
        <w:spacing w:lineRule="auto" w:line="240" w:before="0" w:after="240"/>
        <w:ind w:left="0" w:right="0" w:firstLine="720"/>
        <w:rPr/>
      </w:pPr>
      <w:r>
        <w:rPr>
          <w:rFonts w:ascii="Times New Roman;sans-serif" w:hAnsi="Times New Roman;sans-serif"/>
          <w:b w:val="false"/>
          <w:color w:val="000000"/>
          <w:sz w:val="22"/>
        </w:rPr>
        <w:t>25.    </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Employee’s participation in the Plan, on the Deferred Stock Units and on any shares of Common Stock acquired under the Plan, to the extent the Company determines it is necessary or advisable for legal or administrative reasons and to require the Employee to sign any additional agreements or undertakings that may be necessary to accomplish the foregoing.</w:t>
      </w:r>
    </w:p>
    <w:p>
      <w:pPr>
        <w:pStyle w:val="TextBody"/>
        <w:spacing w:lineRule="auto" w:line="240" w:before="0" w:after="240"/>
        <w:ind w:left="0" w:right="0" w:firstLine="720"/>
        <w:rPr/>
      </w:pPr>
      <w:r>
        <w:rPr>
          <w:rFonts w:ascii="Times New Roman;sans-serif" w:hAnsi="Times New Roman;sans-serif"/>
          <w:b w:val="false"/>
          <w:color w:val="000000"/>
          <w:sz w:val="22"/>
        </w:rPr>
        <w:t>26.    </w:t>
      </w:r>
      <w:r>
        <w:rPr>
          <w:rFonts w:ascii="Times New Roman;sans-serif" w:hAnsi="Times New Roman;sans-serif"/>
          <w:b w:val="false"/>
          <w:color w:val="000000"/>
          <w:sz w:val="22"/>
          <w:u w:val="single"/>
        </w:rPr>
        <w:t>Insider Trading/Market Abuse Laws</w:t>
      </w:r>
      <w:r>
        <w:rPr>
          <w:rFonts w:ascii="Times New Roman;sans-serif" w:hAnsi="Times New Roman;sans-serif"/>
          <w:b w:val="false"/>
          <w:color w:val="000000"/>
          <w:sz w:val="22"/>
        </w:rPr>
        <w:t>. The Employee may be subject to insider trading and/or market abuse laws, which may affect the Employee’s ability to accept, acquire, sell or otherwise dispose of shares of Common Stock, rights to such shares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Deferred Stock Units) or rights linked to the value of shares of Common Stock under the Plan during such times as the Employee is considered to have “material nonpublic information” or “insider information” regarding the Company (as defined by the laws or regulations in the relevant jurisdiction). Local insider trading laws and regulations may prohibit the cancellation or amendment of orders the Employee places before the Employee possessed inside information. Furthermore, the Employee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3" name="Frame1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Company’s insider trading policy, and the requirements of applicable laws may or may not be consistent with the terms of the Company’s insider trading policy. The Employee acknowledges that it is his or her responsibility to comply with any applicable restrictions, and that the Employee should speak to his or her personal advisor on this matter.</w:t>
      </w:r>
    </w:p>
    <w:p>
      <w:pPr>
        <w:pStyle w:val="TextBody"/>
        <w:spacing w:lineRule="auto" w:line="240" w:before="0" w:after="240"/>
        <w:ind w:left="0" w:right="0" w:firstLine="720"/>
        <w:rPr/>
      </w:pPr>
      <w:r>
        <w:rPr>
          <w:rFonts w:ascii="Times New Roman;sans-serif" w:hAnsi="Times New Roman;sans-serif"/>
          <w:b w:val="false"/>
          <w:color w:val="000000"/>
          <w:sz w:val="22"/>
        </w:rPr>
        <w:t>27.    </w:t>
      </w:r>
      <w:r>
        <w:rPr>
          <w:rFonts w:ascii="Times New Roman;sans-serif" w:hAnsi="Times New Roman;sans-serif"/>
          <w:b w:val="false"/>
          <w:color w:val="000000"/>
          <w:sz w:val="22"/>
          <w:u w:val="single"/>
        </w:rPr>
        <w:t>Exchange Control, Tax and Foreign Asset/Account Reporting Requirements</w:t>
      </w:r>
      <w:r>
        <w:rPr>
          <w:rFonts w:ascii="Times New Roman;sans-serif" w:hAnsi="Times New Roman;sans-serif"/>
          <w:b w:val="false"/>
          <w:color w:val="000000"/>
          <w:sz w:val="22"/>
        </w:rPr>
        <w:t>. The Employee acknowledges that there may be exchange control, tax, foreign asset and/or account reporting requirements which may affect the Employee’s ability to acquire or hold shares of Common Stock acquired under the Plan or cash received from participating in the Plan (including from any dividends paid on shares of Common Stock acquired under the Plan) in a brokerage, bank account or legal entity outside the Employee’s country. The Employee may be required to report such accounts, balances, assets and/or the related transactions to the tax or other authorities in his or her country. The Employee also may be required to repatriate sale proceeds or other funds received as a result of the Employee’s participation in the Plan to his or her country through a designated bank or broker within a certain time after receipt. In addition, the Employee agrees to take any and all actions required by the Company, any other entity in the Mondelēz Group or the local laws, rules and regulations in the Employee’s country of residence (and country of employment, if different) that may be required to comply with such laws, rules and regulations. The Employee acknowledges that it is the Employee’s responsibility to be compliant with such regulations, and the Employee should consult his or her personal legal advisor for any details.</w:t>
      </w:r>
    </w:p>
    <w:p>
      <w:pPr>
        <w:pStyle w:val="TextBody"/>
        <w:spacing w:lineRule="auto" w:line="240" w:before="0" w:after="240"/>
        <w:ind w:left="0" w:right="0" w:firstLine="720"/>
        <w:rPr/>
      </w:pPr>
      <w:r>
        <w:rPr>
          <w:rFonts w:ascii="Times New Roman;sans-serif" w:hAnsi="Times New Roman;sans-serif"/>
          <w:b w:val="false"/>
          <w:color w:val="000000"/>
          <w:sz w:val="22"/>
        </w:rPr>
        <w:t>28.    </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Notwithstanding any provisions in this Agreement, the Deferred Stock Units shall be subject to any terms set forth in the Appendix to this Agreement for the Employee’s country. Moreover, if the Employee relocates to one of the countries included in the Appendix, the terms for such country will apply to the Employee, to the extent the Company determines that the application of such terms is necessary or advisable for legal or administrative reasons. The Appendix constitutes part of this Agreement.</w:t>
      </w:r>
    </w:p>
    <w:p>
      <w:pPr>
        <w:pStyle w:val="TextBody"/>
        <w:spacing w:lineRule="auto" w:line="240" w:before="0" w:after="240"/>
        <w:ind w:left="0" w:right="0" w:firstLine="720"/>
        <w:rPr/>
      </w:pPr>
      <w:r>
        <w:rPr>
          <w:rFonts w:ascii="Times New Roman;sans-serif" w:hAnsi="Times New Roman;sans-serif"/>
          <w:b w:val="false"/>
          <w:color w:val="000000"/>
          <w:sz w:val="22"/>
        </w:rPr>
        <w:t>29.    </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The Employee acknowledges that a waiver by the Company of a breach of any provision of this Agreement shall not operate or be construed as a waiver of any other provision of this Agreement or of any subsequent breach by the Employee or any other participant of the Plan.</w:t>
      </w:r>
    </w:p>
    <w:p>
      <w:pPr>
        <w:pStyle w:val="TextBody"/>
        <w:spacing w:lineRule="auto" w:line="240" w:before="0" w:after="240"/>
        <w:ind w:left="0" w:right="0" w:firstLine="720"/>
        <w:rPr/>
      </w:pPr>
      <w:r>
        <w:rPr>
          <w:rFonts w:ascii="Times New Roman;sans-serif" w:hAnsi="Times New Roman;sans-serif"/>
          <w:b w:val="false"/>
          <w:color w:val="000000"/>
          <w:sz w:val="22"/>
        </w:rPr>
        <w:t>30.    </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The Employee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Grant is made, only in such a manner as to conform to such laws, rules and regulations. To the extent permitted by applicable law, the Award Statement, the Plan and this Agreement shall be deemed amended to the extent necessary to conform to such laws, rules and regulations.</w:t>
      </w:r>
    </w:p>
    <w:p>
      <w:pPr>
        <w:pStyle w:val="TextBody"/>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4" name="Frame1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w:t>
      </w:r>
    </w:p>
    <w:p>
      <w:pPr>
        <w:pStyle w:val="TextBody"/>
        <w:spacing w:before="0" w:after="0"/>
        <w:jc w:val="center"/>
        <w:rPr/>
      </w:pPr>
      <w:r>
        <w:rPr/>
      </w:r>
    </w:p>
    <w:p>
      <w:pPr>
        <w:pStyle w:val="TextBody"/>
        <w:spacing w:lineRule="auto" w:line="240" w:before="0" w:after="0"/>
        <w:ind w:left="0" w:right="0" w:firstLine="720"/>
        <w:rPr>
          <w:rFonts w:ascii="Times New Roman;sans-serif" w:hAnsi="Times New Roman;sans-serif"/>
          <w:b/>
          <w:color w:val="000000"/>
          <w:sz w:val="22"/>
        </w:rPr>
      </w:pPr>
      <w:r>
        <w:rPr>
          <w:rFonts w:ascii="Times New Roman;sans-serif" w:hAnsi="Times New Roman;sans-serif"/>
          <w:b/>
          <w:color w:val="000000"/>
          <w:sz w:val="22"/>
        </w:rPr>
        <w:t>The Employee acknowledges that the Employee has reviewed the Plan, the Award Statement and this Agreement (including any appendices hereto) in their entirety and fully understands their respective provisions. The Employee agrees to accept as binding, conclusive and final all decisions or interpretations of the Committee upon any questions arising under the Plan, the Award Statement or this Agreement.</w:t>
      </w:r>
    </w:p>
    <w:p>
      <w:pPr>
        <w:pStyle w:val="TextBody"/>
        <w:spacing w:before="0" w:after="0"/>
        <w:ind w:left="0" w:right="0" w:firstLine="720"/>
        <w:rPr/>
      </w:pPr>
      <w:r>
        <w:rPr/>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Agreement has been executed as of the Grant Date.</w:t>
      </w:r>
    </w:p>
    <w:p>
      <w:pPr>
        <w:pStyle w:val="TextBody"/>
        <w:spacing w:before="0" w:after="240"/>
        <w:ind w:left="0" w:right="0" w:firstLine="720"/>
        <w:rPr/>
      </w:pPr>
      <w:r>
        <w:rPr/>
      </w:r>
    </w:p>
    <w:p>
      <w:pPr>
        <w:pStyle w:val="TextBody"/>
        <w:spacing w:lineRule="auto"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MONDELĒZ INTERNATIONAL, INC.</w:t>
      </w:r>
    </w:p>
    <w:p>
      <w:pPr>
        <w:pStyle w:val="TextBody"/>
        <w:spacing w:before="0" w:after="0"/>
        <w:jc w:val="both"/>
        <w:rPr/>
      </w:pPr>
      <w:r>
        <w:rPr/>
      </w:r>
    </w:p>
    <w:p>
      <w:pPr>
        <w:pStyle w:val="TextBody"/>
        <w:spacing w:before="0" w:after="240"/>
        <w:rPr/>
      </w:pPr>
      <w:r>
        <w:rPr/>
        <w:drawing>
          <wp:inline distT="0" distB="63500" distL="0" distR="0">
            <wp:extent cx="2457450" cy="609600"/>
            <wp:effectExtent l="0" t="0" r="0" b="0"/>
            <wp:docPr id="16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4" descr=""/>
                    <pic:cNvPicPr>
                      <a:picLocks noChangeAspect="1" noChangeArrowheads="1"/>
                    </pic:cNvPicPr>
                  </pic:nvPicPr>
                  <pic:blipFill>
                    <a:blip r:embed="rId6"/>
                    <a:stretch>
                      <a:fillRect/>
                    </a:stretch>
                  </pic:blipFill>
                  <pic:spPr bwMode="auto">
                    <a:xfrm>
                      <a:off x="0" y="0"/>
                      <a:ext cx="2457450" cy="609600"/>
                    </a:xfrm>
                    <a:prstGeom prst="rect">
                      <a:avLst/>
                    </a:prstGeom>
                  </pic:spPr>
                </pic:pic>
              </a:graphicData>
            </a:graphic>
          </wp:inline>
        </w:drawing>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Ellen M. Smith</w:t>
        <w:br/>
        <w:t>SVP &amp; Chief Counsel, Chief Compliance Officer &amp; Corporate Secretary</w:t>
      </w:r>
    </w:p>
    <w:p>
      <w:pPr>
        <w:pStyle w:val="TextBody"/>
        <w:spacing w:before="0" w:after="240"/>
        <w:rPr/>
      </w:pPr>
      <w:r>
        <w:rPr/>
      </w:r>
    </w:p>
    <w:p>
      <w:pPr>
        <w:pStyle w:val="TextBody"/>
        <w:spacing w:before="0" w:after="0"/>
        <w:jc w:val="both"/>
        <w:rPr/>
      </w:pPr>
      <w:r>
        <w:rPr/>
      </w:r>
    </w:p>
    <w:p>
      <w:pPr>
        <w:pStyle w:val="TextBody"/>
        <w:spacing w:before="0" w:after="0"/>
        <w:rPr/>
      </w:pPr>
      <w:r>
        <w:rPr/>
      </w:r>
    </w:p>
    <w:p>
      <w:pPr>
        <w:pStyle w:val="TextBody"/>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MONDELĒZ INTERNATIONAL, INC. </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2005 PERFORMANCE INCENTIVE PLAN</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as of February 3, 2017)</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ADDITIONAL TERMS AND CONDITIONS OF THE</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GLOBAL DEFERRED STOCK UNIT AGREEMENT</w:t>
      </w:r>
    </w:p>
    <w:p>
      <w:pPr>
        <w:pStyle w:val="TextBody"/>
        <w:spacing w:lineRule="auto" w:line="240" w:before="0" w:after="240"/>
        <w:rPr/>
      </w:pPr>
      <w:r>
        <w:rPr>
          <w:rFonts w:ascii="Times New Roman;sans-serif" w:hAnsi="Times New Roman;sans-serif"/>
          <w:b w:val="false"/>
          <w:color w:val="000000"/>
          <w:sz w:val="22"/>
        </w:rPr>
        <w:t>This Appendix A includes additional terms and conditions that govern the Deferred Stock Units granted to the Employee under the Plan if he or she resides and/or works in one of the countries listed herein. If the Employee is a citizen or resident (or is considered as such for local law purposes) of a country other than the country in which the Employee is currently residing and/or working, or if the Employee transfers to another country after receiving the Deferred Stock Units, the Company shall, in its discretion, determine to what extent the terms and conditions contained herein shall be applicable to the Employee. Certain capitalized terms used but not defined in this Appendix A have the meanings set forth in the Plan and/or the Global Deferred Stock Unit Agreement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This Appendix A also includes information regarding securities, exchange control and certain other issues of which the Employee should be aware with respect to participation in the Plan. The information is based on the securities, exchange control and other laws in effect in the respective countries as of January 2023. Such laws are often complex and change frequently. As a result, the Employee should not rely on the information in this Appendix A as the only source of information relating to the consequences of his or her participation in the Plan because the information may be out of date at the time the Employee vests in the Deferred Stock Units or sells shares of Common Stock acquired under the Plan.</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addition, the information contained herein is general in nature and may not apply to the Employee’s particular situation, and the Company is not in a position to assure the Employee of a particular result. Accordingly, the Employee should seek appropriate professional advice as to how the relevant laws in his or her country may apply to the Employee’s situation.</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Finally, if the Employee is a citizen or resident of a country other than the one in which he or she is currently working, transfers employment after the Grant Date, or is considered a resident of another country for local law purposes, the information contained herein may not be applicable to the Employee in the same manner.</w:t>
      </w:r>
    </w:p>
    <w:p>
      <w:pPr>
        <w:pStyle w:val="TextBody"/>
        <w:spacing w:lineRule="auto" w:line="240" w:before="0" w:after="0"/>
        <w:rPr>
          <w:rFonts w:ascii="Times New Roman;sans-serif" w:hAnsi="Times New Roman;sans-serif"/>
          <w:b/>
          <w:color w:val="000000"/>
          <w:sz w:val="22"/>
          <w:highlight w:val="white"/>
          <w:u w:val="single"/>
        </w:rPr>
      </w:pPr>
      <w:r>
        <w:rPr>
          <w:rFonts w:ascii="Times New Roman;sans-serif" w:hAnsi="Times New Roman;sans-serif"/>
          <w:b/>
          <w:color w:val="000000"/>
          <w:sz w:val="22"/>
          <w:highlight w:val="white"/>
          <w:u w:val="single"/>
        </w:rPr>
        <w:t xml:space="preserve">EUROPEAN UNION / EUROPEAN ECONOMIC AREA, SWITZERLAND AND THE UNITED KINGDOM </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before="0" w:after="0"/>
        <w:rPr/>
      </w:pPr>
      <w:r>
        <w:rPr/>
      </w:r>
    </w:p>
    <w:p>
      <w:pPr>
        <w:pStyle w:val="TextBody"/>
        <w:spacing w:lineRule="auto" w:line="240" w:before="0" w:after="240"/>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14 of the Agreement:</w:t>
      </w:r>
    </w:p>
    <w:p>
      <w:pPr>
        <w:pStyle w:val="TextBody"/>
        <w:spacing w:lineRule="auto" w:line="240" w:before="7"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Employee is based in the European Union (“EU”), the European Economic Area, Switzerland or the United Kingdom, the Employee should note that Mondelēz International, Inc., with registered address at 905 West Fulton Market, Suite 200, Chicago, Illinois 60607, U.S.A. is the controller responsible for the processing of the Employee's Personal Data (as defined below) in connection with the Agreement and the Plan. </w:t>
      </w:r>
    </w:p>
    <w:p>
      <w:pPr>
        <w:pStyle w:val="TextBody"/>
        <w:spacing w:lineRule="auto" w:line="240" w:before="0" w:after="240"/>
        <w:rPr/>
      </w:pPr>
      <w:r>
        <w:rPr>
          <w:rFonts w:ascii="Times New Roman;sans-serif" w:hAnsi="Times New Roman;sans-serif"/>
          <w:b w:val="false"/>
          <w:color w:val="000000"/>
          <w:sz w:val="22"/>
          <w:u w:val="single"/>
        </w:rPr>
        <w:t>Data Collection and Usage</w:t>
      </w:r>
      <w:r>
        <w:rPr>
          <w:rFonts w:ascii="Times New Roman;sans-serif" w:hAnsi="Times New Roman;sans-serif"/>
          <w:b w:val="false"/>
          <w:color w:val="000000"/>
          <w:sz w:val="22"/>
        </w:rPr>
        <w:t xml:space="preserve">. Pursuant to applicable data protection laws, the Employee is hereby notified that the Company collects, processes and uses the following types of personal data about the Employee: name, home address and telephone number, email address, date of birth, social insurance, passport number or other identification number, salary, nationality, job title, any shares of stock or directorships held in any entity in the Mondelēz Group, details of all Deferred Stock Units or any other entitlement to shares awarded, canceled, settled, vested, unvested or outstanding in the Employee’s favor, which the Company receives from the Employee or the Employer (“Personal Data”) for the exclusive legitimate purpose of granting Deferred Stock Units and implementing, administering and managing the Employee’s participation in the Plan.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u w:val="single"/>
        </w:rPr>
        <w:t>Purposes and Legal Bases of Processing</w:t>
      </w:r>
      <w:r>
        <w:rPr>
          <w:rFonts w:ascii="Times New Roman;sans-serif" w:hAnsi="Times New Roman;sans-serif"/>
          <w:b w:val="false"/>
          <w:color w:val="000000"/>
          <w:sz w:val="22"/>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Employee understands that providing the Company with Personal Data is necessary for the performance of the Agreement and that the Employee's refusal to provide Personal Data would make it impossible for the Company to perform its contractual obligations and may affect the Employee's ability to participate in the Plan.</w:t>
      </w:r>
    </w:p>
    <w:p>
      <w:pPr>
        <w:pStyle w:val="TextBody"/>
        <w:spacing w:lineRule="auto" w:line="240" w:before="0" w:after="240"/>
        <w:rPr/>
      </w:pPr>
      <w:r>
        <w:rPr>
          <w:rFonts w:ascii="Times New Roman;sans-serif" w:hAnsi="Times New Roman;sans-serif"/>
          <w:b w:val="false"/>
          <w:color w:val="000000"/>
          <w:sz w:val="22"/>
          <w:u w:val="single"/>
        </w:rPr>
        <w:t>International Data Transfers</w:t>
      </w:r>
      <w:r>
        <w:rPr>
          <w:rFonts w:ascii="Times New Roman;sans-serif" w:hAnsi="Times New Roman;sans-serif"/>
          <w:b w:val="false"/>
          <w:color w:val="000000"/>
          <w:sz w:val="22"/>
        </w:rPr>
        <w:t>. The Company is located in the United States which means that it will be necessary for Personal Data to be transferred to, and processed in, the United States. The Employee understands and acknowledges that the United States is not subject to an unlimited adequacy finding by the European Commission and that the Employee’s Personal Data may not have an equivalent level of protection as compared to the Employee’s country of residence. To provide appropriate safeguards for the protection of the Employee’s Personal Data, the Personal Data is transferred to the Company based on data transfer and processing agreements implementing the EU Standard Contractual Clauses. Further, the Employee understands that the Company transfers his or her Personal Data, or parts thereof to third parties based on agreements implementing the EU Standard Contractual Clauses. These third parties include E*TRADE Financial Corporate Services Inc. (“E*TRADE”), an independent service provider based in the United States which assists the Company with the implementation, administration and management of the Plan. E*TRADE has opened or will open an account for the Employee to receive and trade shares of Common Stock acquired under the Plan. The Employee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Employee may be asked to agree on separate terms and data processing practices with E*TRADE, PricewaterhouseCoopers LLP or KPMG LLP with such agreement being a condition to the Employee’s ability to participate in the Plan.</w:t>
      </w:r>
    </w:p>
    <w:p>
      <w:pPr>
        <w:pStyle w:val="TextBody"/>
        <w:spacing w:lineRule="auto" w:line="240" w:before="0" w:after="240"/>
        <w:rPr/>
      </w:pPr>
      <w:r>
        <w:rPr>
          <w:rFonts w:ascii="Times New Roman;sans-serif" w:hAnsi="Times New Roman;sans-serif"/>
          <w:b w:val="false"/>
          <w:color w:val="000000"/>
          <w:sz w:val="22"/>
        </w:rPr>
        <w:t xml:space="preserve">The Employee may request a copy of the safeguards used to protect his or her Personal Data or the names and addresses of any potential recipients of Personal Data by contacting the Company at: </w:t>
      </w:r>
      <w:r>
        <w:rPr>
          <w:rFonts w:ascii="Times New Roman;sans-serif" w:hAnsi="Times New Roman;sans-serif"/>
          <w:b w:val="false"/>
          <w:color w:val="000000"/>
          <w:sz w:val="22"/>
          <w:u w:val="single"/>
        </w:rPr>
        <w:t>DataProtectionOfficeMEU@mdlz.com</w:t>
      </w:r>
      <w:r>
        <w:rPr>
          <w:rFonts w:ascii="Times New Roman;sans-serif" w:hAnsi="Times New Roman;sans-serif"/>
          <w:b w:val="false"/>
          <w:color w:val="000000"/>
          <w:sz w:val="22"/>
        </w:rPr>
        <w:t>.</w:t>
      </w:r>
    </w:p>
    <w:p>
      <w:pPr>
        <w:pStyle w:val="TextBody"/>
        <w:spacing w:lineRule="auto" w:line="240" w:before="0" w:after="240"/>
        <w:rPr/>
      </w:pPr>
      <w:r>
        <w:rPr>
          <w:rFonts w:ascii="Times New Roman;sans-serif" w:hAnsi="Times New Roman;sans-serif"/>
          <w:b w:val="false"/>
          <w:color w:val="000000"/>
          <w:sz w:val="22"/>
          <w:u w:val="single"/>
        </w:rPr>
        <w:t>Data Retention</w:t>
      </w:r>
      <w:r>
        <w:rPr>
          <w:rFonts w:ascii="Times New Roman;sans-serif" w:hAnsi="Times New Roman;sans-serif"/>
          <w:b w:val="false"/>
          <w:color w:val="000000"/>
          <w:sz w:val="22"/>
        </w:rPr>
        <w:t xml:space="preserve">. The Company will use the Personal Data only as long as necessary to implement, administer and manage the Employee’s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 </w:t>
      </w:r>
    </w:p>
    <w:p>
      <w:pPr>
        <w:pStyle w:val="TextBody"/>
        <w:spacing w:lineRule="auto" w:line="240" w:before="0" w:after="240"/>
        <w:rPr/>
      </w:pPr>
      <w:r>
        <w:rPr>
          <w:rFonts w:ascii="Times New Roman;sans-serif" w:hAnsi="Times New Roman;sans-serif"/>
          <w:b w:val="false"/>
          <w:color w:val="000000"/>
          <w:sz w:val="22"/>
          <w:u w:val="single"/>
        </w:rPr>
        <w:t>Data Subject Rights</w:t>
      </w:r>
      <w:r>
        <w:rPr>
          <w:rFonts w:ascii="Times New Roman;sans-serif" w:hAnsi="Times New Roman;sans-serif"/>
          <w:b w:val="false"/>
          <w:color w:val="000000"/>
          <w:sz w:val="22"/>
        </w:rPr>
        <w:t xml:space="preserve">. To the extent provided by law, the Employee has the right to (i) inquire whether and what kind of Personal Data the Company holds about the Employee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Employee feels its processing is inappropriate, (v) object, in certain circumstances, to the processing of Personal Data for legitimate interests, (vi) request portability of Personal Data that the Employee has actively or passively provided to the Company, where the processing of such Personal Data is based on consent or a contractual agreement with the Employee and is carried out by automated means, or (vii) lodge a complaint with the competent local data protection authority. To receive additional information regarding the Employee’s rights, raise any other questions regarding the practices described in the Agreement or to exercise his or her rights, the Employee should contact the Company at: </w:t>
      </w:r>
      <w:r>
        <w:rPr>
          <w:rFonts w:ascii="Times New Roman;sans-serif" w:hAnsi="Times New Roman;sans-serif"/>
          <w:b w:val="false"/>
          <w:color w:val="000000"/>
          <w:sz w:val="22"/>
          <w:u w:val="single"/>
        </w:rPr>
        <w:t>DataProtectionOfficeMEU@mdlz.com</w:t>
      </w:r>
      <w:r>
        <w:rPr>
          <w:rFonts w:ascii="Times New Roman;sans-serif" w:hAnsi="Times New Roman;sans-serif"/>
          <w:b w:val="false"/>
          <w:color w:val="000000"/>
          <w:sz w:val="22"/>
        </w:rPr>
        <w:t xml:space="preserve">. </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ALGERIA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Algeria shall be paid in cash in an amount equal to the value of the shares of Common Stock on the Vesting Date.</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ARGENTINA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Restrictions and Covenants. </w:t>
      </w:r>
      <w:r>
        <w:rPr>
          <w:rFonts w:ascii="Times New Roman;sans-serif" w:hAnsi="Times New Roman;sans-serif"/>
          <w:b w:val="false"/>
          <w:color w:val="000000"/>
          <w:sz w:val="22"/>
        </w:rPr>
        <w:t>Notwithstanding anything to the contrary in the Agreement, paragraph 9 of the Agreement will not apply to Argentinian Employees.</w:t>
      </w:r>
    </w:p>
    <w:p>
      <w:pPr>
        <w:pStyle w:val="TextBody"/>
        <w:spacing w:lineRule="auto" w:line="240" w:before="0" w:after="240"/>
        <w:rPr/>
      </w:pPr>
      <w:r>
        <w:rPr>
          <w:rFonts w:ascii="Times New Roman;sans-serif" w:hAnsi="Times New Roman;sans-serif"/>
          <w:b/>
          <w:color w:val="000000"/>
          <w:sz w:val="22"/>
        </w:rPr>
        <w:t>Labor Law Policy and Acknowledgement</w:t>
      </w:r>
      <w:r>
        <w:rPr>
          <w:rFonts w:ascii="Times New Roman;sans-serif" w:hAnsi="Times New Roman;sans-serif"/>
          <w:b w:val="false"/>
          <w:color w:val="000000"/>
          <w:sz w:val="22"/>
        </w:rPr>
        <w:t>. The following provision supplements paragraph 13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and agrees that the Grant is made by the Company (not the Employer) in its sole discretion and that the value of the Deferred Stock Units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If, notwithstanding the foregoing, any benefits under the Plan are considered for any purpose under Argentine labor law, the Employee acknowledges and agrees that such benefits shall not accrue more frequently than on each vesting date.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Type of Offering</w:t>
      </w:r>
      <w:r>
        <w:rPr>
          <w:rFonts w:ascii="Times New Roman;sans-serif" w:hAnsi="Times New Roman;sans-serif"/>
          <w:b w:val="false"/>
          <w:color w:val="000000"/>
          <w:sz w:val="22"/>
        </w:rPr>
        <w:t>. Neither the Units nor the underlying shares of Common Stock are publicly offered or listed on any stock exchange in Argentina.</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Employee is solely responsible for complying with the exchange control rules that may apply in connection with his or her participation in the Plan and/or the transfer of proceeds acquired under the Plan into Argentina. Prior to vesting in the Deferred Stock Units or transferring proceeds into Argentina, the Employee should consult his or her local bank and exchange control advisor to confirm the exchange control rules and required documentation.</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must report holdings of any equity interest in a foreign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on his or her annual tax return each year.</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AUSTRALIA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Nature of Plan</w:t>
      </w:r>
      <w:r>
        <w:rPr>
          <w:rFonts w:ascii="Times New Roman;sans-serif" w:hAnsi="Times New Roman;sans-serif"/>
          <w:b w:val="false"/>
          <w:color w:val="000000"/>
          <w:sz w:val="22"/>
        </w:rPr>
        <w:t xml:space="preserve">. The Employee’s right to participate in the Plan and receive the grant of Deferred Stock Units under the Plan is being made under Division 1A of Part 7.12 of the </w:t>
      </w:r>
      <w:r>
        <w:rPr>
          <w:rFonts w:ascii="Times New Roman;sans-serif" w:hAnsi="Times New Roman;sans-serif"/>
          <w:b w:val="false"/>
          <w:i/>
          <w:color w:val="000000"/>
          <w:sz w:val="22"/>
        </w:rPr>
        <w:t>Corporations Act 2001 (Cth)</w:t>
      </w:r>
      <w:r>
        <w:rPr>
          <w:rFonts w:ascii="Times New Roman;sans-serif" w:hAnsi="Times New Roman;sans-serif"/>
          <w:b w:val="false"/>
          <w:color w:val="000000"/>
          <w:sz w:val="22"/>
        </w:rPr>
        <w:t>. If the Employee offers shares of Common Stock for sale to a person or entity resident in Australia, the Employee’s offer may be subject to disclosure requirements under Australian law. The Employee should obtain legal advice on applicable disclosure obligations prior to making any such offer.</w:t>
      </w:r>
    </w:p>
    <w:p>
      <w:pPr>
        <w:pStyle w:val="TextBody"/>
        <w:spacing w:lineRule="auto" w:line="240"/>
        <w:jc w:val="both"/>
        <w:rPr/>
      </w:pPr>
      <w:r>
        <w:rPr>
          <w:rFonts w:ascii="Times New Roman;sans-serif" w:hAnsi="Times New Roman;sans-serif"/>
          <w:b/>
          <w:color w:val="000000"/>
          <w:sz w:val="22"/>
          <w:highlight w:val="white"/>
        </w:rPr>
        <w:t xml:space="preserve">Securities Law Disclosure. </w:t>
      </w:r>
      <w:r>
        <w:rPr>
          <w:rFonts w:ascii="Times New Roman;sans-serif" w:hAnsi="Times New Roman;sans-serif"/>
          <w:b w:val="false"/>
          <w:color w:val="000000"/>
          <w:sz w:val="22"/>
          <w:highlight w:val="white"/>
        </w:rPr>
        <w:t xml:space="preserve">This offer is being made under Division 1A, Part 7.12 of the Corporations Act 2001 (Cth). Please note that if the Employee offers </w:t>
      </w:r>
      <w:r>
        <w:rPr>
          <w:rFonts w:ascii="Times New Roman;sans-serif" w:hAnsi="Times New Roman;sans-serif"/>
          <w:b w:val="false"/>
          <w:color w:val="000000"/>
          <w:sz w:val="22"/>
        </w:rPr>
        <w:t>shares of Common Stock</w:t>
      </w:r>
      <w:r>
        <w:rPr>
          <w:color w:val="000000"/>
          <w:highlight w:val="white"/>
        </w:rPr>
        <w:t xml:space="preserve"> </w:t>
      </w:r>
      <w:r>
        <w:rPr>
          <w:rFonts w:ascii="Times New Roman;sans-serif" w:hAnsi="Times New Roman;sans-serif"/>
          <w:b w:val="false"/>
          <w:color w:val="000000"/>
          <w:sz w:val="22"/>
          <w:highlight w:val="white"/>
        </w:rPr>
        <w:t>for sale to a person or entity resident in Australia, the offer may be subject to disclosure requirements under Australian law. The Employee should obtain legal advice on the Employee’s disclosure obligations prior to making any such offer.</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40" w:before="0" w:after="240"/>
        <w:rPr/>
      </w:pPr>
      <w:r>
        <w:rPr>
          <w:rFonts w:ascii="Times New Roman;sans-serif" w:hAnsi="Times New Roman;sans-serif"/>
          <w:b/>
          <w:color w:val="000000"/>
          <w:sz w:val="22"/>
        </w:rPr>
        <w:t xml:space="preserve">No payment constituting breach of law in Australia. </w:t>
      </w:r>
      <w:r>
        <w:rPr>
          <w:rFonts w:ascii="Times New Roman;sans-serif" w:hAnsi="Times New Roman;sans-serif"/>
          <w:b w:val="false"/>
          <w:color w:val="000000"/>
          <w:sz w:val="22"/>
        </w:rPr>
        <w:t>Notwithstanding anything else in the Plan or the Agreement, the Employee will not 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reporting is required for cash transactions exceeding AUD10,000 and for international fund transfers. If an Australian bank is assisting with the transaction, the bank will file the report on the Employee’s behalf, otherwise the Employee will be responsible for complying with any exchange control reporting requirements.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AUSTRIA</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Employee holds shares of Common Stock acquired under the Plan or cash (including proceeds from the sale of shares of Common Stock) outside Austria, the Employee may be subject to reporting obligations to the Austrian National Bank.</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Employee holds securities (including shares of Common Stock acquired under the Plan) or cash (including proceeds from the sale of shares of Common Stock) outside of Austria, he or she may be subject to reporting obligations to the Austrian National Bank. If the value of the shares of Common Stock meets or exceeds a certain threshold, the Employee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of Austria meet or exceed a certain threshold, monthly reporting obligations apply as explained in the next paragraph.</w:t>
      </w:r>
    </w:p>
    <w:p>
      <w:pPr>
        <w:pStyle w:val="TextBody"/>
        <w:spacing w:lineRule="auto" w:line="240" w:before="0" w:after="240"/>
        <w:rPr/>
      </w:pPr>
      <w:r>
        <w:rPr>
          <w:rFonts w:ascii="Times New Roman;sans-serif" w:hAnsi="Times New Roman;sans-serif"/>
          <w:b w:val="false"/>
          <w:color w:val="000000"/>
          <w:sz w:val="22"/>
        </w:rPr>
        <w:t>If the Employee sells shares of Common Stock, or receives any cash dividends, the Employee may have exchange control obligations if the Employee holds the cash proceeds outside Austria. If the transaction volume of all the Employee’s accounts abroad meets or exceeds a certain threshold, the Employee must report to the Austrian National Bank the movements and balances of all accounts on a monthly basis, as of the last day of the month, on or before the 15th day of the following month, on the prescribed form (</w:t>
      </w:r>
      <w:r>
        <w:rPr>
          <w:rFonts w:ascii="Times New Roman;sans-serif" w:hAnsi="Times New Roman;sans-serif"/>
          <w:b w:val="false"/>
          <w:i/>
          <w:color w:val="000000"/>
          <w:sz w:val="22"/>
        </w:rPr>
        <w:t>Meldungen SI-Forderungen und/oder SI-Verpflichtungen</w:t>
      </w:r>
      <w:r>
        <w:rPr>
          <w:rFonts w:ascii="Times New Roman;sans-serif" w:hAnsi="Times New Roman;sans-serif"/>
          <w:b w:val="false"/>
          <w:color w:val="000000"/>
          <w:sz w:val="22"/>
        </w:rPr>
        <w: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BAHRAIN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The Agreement does not constitute advertising or an offering of securities in Bahrain, nor does it constitute an allotment of securities in Bahrain. Any shares of Common Stock issued pursuant to the Deferred Stock Units under the Plan shall be deposited into a brokerage account in the United States. In no event will shares of Common Stock be issued or delivered in Bahrain. The issuance of shares of Common Stock pursuant to the Deferred Stock Units described herein has not and will not be registered in Bahrain and hence, the shares of Common Stock described herein may not be admitted or used for offering, placement or public circulation in Bahrain. Accordingly, the Employee may not make any public advertising or announcements regarding the Deferred Stock Units or shares of Common Stock in Bahrain, promote these shares of Common Stock to legal entities or individuals in Bahrain, or sell shares of Common Stock directly to other legal entities or individuals in Bahrain. The Employee acknowledges and agrees that he or she is permitted to sell shares of Common Stock acquired under the Plan through the designated broker appointed under the Plan, if any, provided that the sale of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such shares takes place outside of Bahrain through the facilities of a stock exchange on which the shares of Common Stock are listed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the Nasdaq Global Select Market).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BELGIUM</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Employee is required to report any securities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shares of Common Stock acquired 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Employee should consult a personal tax advisor with respect to the applicable reporting obligations. </w:t>
      </w:r>
    </w:p>
    <w:p>
      <w:pPr>
        <w:pStyle w:val="TextBody"/>
        <w:spacing w:lineRule="auto" w:line="240" w:before="0" w:after="240"/>
        <w:rPr/>
      </w:pPr>
      <w:r>
        <w:rPr>
          <w:rFonts w:ascii="Times New Roman;sans-serif" w:hAnsi="Times New Roman;sans-serif"/>
          <w:b/>
          <w:color w:val="000000"/>
          <w:sz w:val="22"/>
        </w:rPr>
        <w:t>Annual Securities Accounts Tax</w:t>
      </w:r>
      <w:r>
        <w:rPr>
          <w:rFonts w:ascii="Times New Roman;sans-serif" w:hAnsi="Times New Roman;sans-serif"/>
          <w:b w:val="false"/>
          <w:color w:val="000000"/>
          <w:sz w:val="22"/>
        </w:rPr>
        <w:t>. If the value of securities held in a Belgian or foreign securities account exceeds EUR 1 million, a new “annual securities accounts tax” applies. Belgian residents should consult with their personal tax advisor regarding the new tax.</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BRAZIL</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xml:space="preserve">. By accepting the Deferred Stock Units, the Employee acknowledges that he or she agrees to comply with applicable Brazilian laws and pay any and all applicable Tax-Related Items associated with the vesting of the Deferred Stock Units, the receipt of any dividends and the sale of shares of Common Stock acquired under the Plan. </w:t>
      </w:r>
    </w:p>
    <w:p>
      <w:pPr>
        <w:pStyle w:val="TextBody"/>
        <w:spacing w:lineRule="auto" w:line="240" w:before="0" w:after="240"/>
        <w:rPr/>
      </w:pPr>
      <w:r>
        <w:rPr>
          <w:rFonts w:ascii="Times New Roman;sans-serif" w:hAnsi="Times New Roman;sans-serif"/>
          <w:b/>
          <w:color w:val="000000"/>
          <w:sz w:val="22"/>
        </w:rPr>
        <w:t>Labor Law Acknowledgment</w:t>
      </w:r>
      <w:r>
        <w:rPr>
          <w:rFonts w:ascii="Times New Roman;sans-serif" w:hAnsi="Times New Roman;sans-serif"/>
          <w:b w:val="false"/>
          <w:color w:val="000000"/>
          <w:sz w:val="22"/>
        </w:rPr>
        <w:t>. By accepting the Deferred Stock Units, the Employee understands, acknowledges and agrees that, for all legal purposes (i) the Employee is making an investment decision and (ii) the value of the underlying shares of Common Stock are not fixed and may increase or decrease in value over the vesting period without compensation to the Employee.</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Individuals who are resident or domiciled in Brazil are generally required to submit an annual declaration of assets and rights held outside Brazil to the Central Bank of Brazil if the aggregate value of such assets and rights is greater than US$1,000,000. If such amount is equal to or greater than US$100,000,000, the referenced declaration must be submitted quarterly, in the month following the end of each quarter. Assets and rights to be included in this annual declaration include shares of Common Stock acquired under the Plan.</w:t>
      </w:r>
    </w:p>
    <w:p>
      <w:pPr>
        <w:pStyle w:val="TextBody"/>
        <w:spacing w:lineRule="auto" w:line="240" w:before="0" w:after="240"/>
        <w:rPr/>
      </w:pPr>
      <w:r>
        <w:rPr>
          <w:rFonts w:ascii="Times New Roman;sans-serif" w:hAnsi="Times New Roman;sans-serif"/>
          <w:b/>
          <w:color w:val="000000"/>
          <w:sz w:val="22"/>
        </w:rPr>
        <w:t>Tax on Financial Transaction (IOF)</w:t>
      </w:r>
      <w:r>
        <w:rPr>
          <w:rFonts w:ascii="Times New Roman;sans-serif" w:hAnsi="Times New Roman;sans-serif"/>
          <w:b w:val="false"/>
          <w:color w:val="000000"/>
          <w:sz w:val="22"/>
        </w:rPr>
        <w:t>. Repatriation of funds (</w:t>
      </w:r>
      <w:r>
        <w:rPr>
          <w:rFonts w:ascii="Times New Roman;sans-serif" w:hAnsi="Times New Roman;sans-serif"/>
          <w:b w:val="false"/>
          <w:i/>
          <w:color w:val="000000"/>
          <w:sz w:val="22"/>
        </w:rPr>
        <w:t>e.g.</w:t>
      </w:r>
      <w:r>
        <w:rPr>
          <w:rFonts w:ascii="Times New Roman;sans-serif" w:hAnsi="Times New Roman;sans-serif"/>
          <w:b w:val="false"/>
          <w:color w:val="000000"/>
          <w:sz w:val="22"/>
        </w:rPr>
        <w:t>, sale proceeds from the sale of shares of Common Stock and/or dividends) into Brazil and the conversion of USD into BRL associated with such fund transfers may be subject to the Tax on Financial Transactions. It is the Employee’s responsibility to comply with any applicable Tax on Financial Transactions arising from his or her participation in the Plan. The Employee should consult with his or her personal tax advisor for additional details.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BULGARIA</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will be required to file statistical forms with the Bulgarian national bank annually regarding his or her receivables in bank accounts abroad as well as securities held abroad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shares of Common Stock acquired under the Plan) if the total sum of all such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receivables and securities equals or exceeds BGN50,000 as of the previous calendar year end. The reports are due by March 31.</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Employee should contact his or her bank in Bulgaria for additional information regarding these requirements.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CANADA</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Form of Settlement.</w:t>
      </w:r>
      <w:r>
        <w:rPr>
          <w:color w:val="000000"/>
        </w:rPr>
        <w:t xml:space="preserve"> </w:t>
      </w:r>
      <w:r>
        <w:rPr>
          <w:rFonts w:ascii="Times New Roman;sans-serif" w:hAnsi="Times New Roman;sans-serif"/>
          <w:b w:val="false"/>
          <w:color w:val="000000"/>
          <w:sz w:val="22"/>
        </w:rPr>
        <w:t>Deferred Stock Units granted to employees resident in Canada shall be paid in shares of Common Stock only.</w:t>
      </w:r>
    </w:p>
    <w:p>
      <w:pPr>
        <w:pStyle w:val="TextBody"/>
        <w:spacing w:lineRule="auto" w:line="240" w:before="0" w:after="240"/>
        <w:rPr/>
      </w:pPr>
      <w:r>
        <w:rPr>
          <w:rFonts w:ascii="Times New Roman;sans-serif" w:hAnsi="Times New Roman;sans-serif"/>
          <w:b/>
          <w:color w:val="000000"/>
          <w:sz w:val="22"/>
        </w:rPr>
        <w:t>Termination of Employment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following provision supplements paragraph 2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Except as expressly required by applicable legislation, the Employee’s employment with the Mondelēz Group shall be deemed to be terminated and vesting of the Deferred Stock Units will terminate effective as of the date that is the earliest of: (1) the date the Employee’s employment with the Mondelēz Group is terminated, or (2) the date the Employee receives notice of termination of employment from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Employee’s employment or service agreement, if any. The Committee shall have the exclusive discretion to determine when the Employee is no longer actively employed or providing services and the termination date for purposes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applicable employment standards legislation explicitly requires continued entitlement to vesting during a statutory notice period, the Employee’s right to vest in the Deferred Stock Units under the Plan, if any, will terminate effective as of the last day of the Employee’s minimum statutory notice period. The Employee will not earn or be entitled to pro-rated vesting for that portion of time before the date on which the Employee’s right to vest terminates or if the vesting date falls after the end of the Employee’s statutory notice period, nor will the Employee be entitled to any compensation for lost vesting.</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The following provisions apply for Employees resident in Quebec:</w:t>
      </w:r>
    </w:p>
    <w:p>
      <w:pPr>
        <w:pStyle w:val="TextBody"/>
        <w:spacing w:lineRule="auto" w:line="240" w:before="0" w:after="240"/>
        <w:rPr/>
      </w:pPr>
      <w:r>
        <w:rPr>
          <w:rFonts w:ascii="Times New Roman;sans-serif" w:hAnsi="Times New Roman;sans-serif"/>
          <w:b/>
          <w:color w:val="000000"/>
          <w:sz w:val="22"/>
        </w:rPr>
        <w:t>Data Privacy</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The following provision supplements paragraph 14 of the Agreement: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Employee hereby authorizes the Company and the Company’s representatives to discuss with and obtain all relevant information from all personnel, professional or not, involved in the administration and operation of the Plan. The Employee further authorizes the Mondelēz Group and the administrator of the Plan to disclose and discuss the Plan with their advisors. The Employee acknowledges and agrees that the Employee’s personal information, including sensitive personal information, may be transferred or disclosed outside of the Province of Quebec, including to the United States. The Employee further authorizes the Mondelēz Group to record such information and to keep such information in his or her employee file. The Employee also acknowledges and authorizes the Company and any subsidiary or affiliate or other parties involved in the administration of the Plan to use technology for profiling purposes and to make automated decisions that may have an impact on the Employee or the administration of the Plan.</w:t>
      </w:r>
    </w:p>
    <w:p>
      <w:pPr>
        <w:pStyle w:val="TextBody"/>
        <w:spacing w:lineRule="auto" w:line="240" w:before="0" w:after="240"/>
        <w:rPr/>
      </w:pPr>
      <w:r>
        <w:rPr>
          <w:rFonts w:ascii="Times New Roman;sans-serif" w:hAnsi="Times New Roman;sans-serif"/>
          <w:b/>
          <w:color w:val="000000"/>
          <w:sz w:val="22"/>
        </w:rPr>
        <w:t>Language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A French translation of the Plan and the Agreement can be made available to the Employee as soon as reasonably practicable upon the Employee’s request. The Employee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val="false"/>
          <w:i/>
          <w:color w:val="000000"/>
          <w:sz w:val="22"/>
        </w:rPr>
        <w:t>Une traduction française du Plan et du présent Contrat pourra êtremise à la disposition de Employé(e) dès que raisonnablement possible à la demande de l'Employé. Le</w:t>
      </w:r>
      <w:r>
        <w:rPr>
          <w:color w:val="000000"/>
        </w:rPr>
        <w:t xml:space="preserve"> </w:t>
      </w:r>
      <w:r>
        <w:rPr>
          <w:rFonts w:ascii="Times New Roman;sans-serif" w:hAnsi="Times New Roman;sans-serif"/>
          <w:b w:val="false"/>
          <w:i/>
          <w:color w:val="000000"/>
          <w:sz w:val="22"/>
        </w:rPr>
        <w:t>Employé(e)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Employee is permitted to sell shares of Common Stock acquired under the Plan through the designated broker appointed under the Plan, if any, provided that the sale of such shares takes place outside Canada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the Nasdaq Global Select Market). </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Employee is required to report any specified foreign property annually on Form T1135 (Foreign Income Verification Statement) if the total cost of the Employee’s specified foreign property exceeds C$100,000 at any time during the year. The form must be filed by April 30th of the following year. Specified foreign property includes shares of Common Stock acquired under the Plan and may include the Deferred Stock Units. The Deferred Stock Units must be reported--generally at a nil cost--if the $100,000 cost threshold is exceeded because of other specified foreign property the Employee holds. If shares of Common Stock are acquired, their cost generally is the adjusted cost base (“</w:t>
      </w:r>
      <w:r>
        <w:rPr>
          <w:rFonts w:ascii="Times New Roman;sans-serif" w:hAnsi="Times New Roman;sans-serif"/>
          <w:b w:val="false"/>
          <w:color w:val="000000"/>
          <w:sz w:val="22"/>
          <w:u w:val="single"/>
        </w:rPr>
        <w:t>ACB</w:t>
      </w:r>
      <w:r>
        <w:rPr>
          <w:color w:val="000000"/>
        </w:rPr>
        <w:t xml:space="preserve">” </w:t>
      </w:r>
      <w:r>
        <w:rPr>
          <w:rFonts w:ascii="Times New Roman;sans-serif" w:hAnsi="Times New Roman;sans-serif"/>
          <w:b w:val="false"/>
          <w:color w:val="000000"/>
          <w:sz w:val="22"/>
        </w:rPr>
        <w:t>) of the shares of Common Stock. The ACB would normally equal the fair market value of the shares of Common Stock at vesting for Deferred Stock Units, but if the Employee owns other shares of Company Common Stock, this ACB may have to be averaged with the ACB of the other shares of Common Stock owned by the Employee. It is the Employee’s responsibility to comply with applicable reporting obligations.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CHILE</w:t>
      </w:r>
    </w:p>
    <w:p>
      <w:pPr>
        <w:pStyle w:val="TextBody"/>
        <w:spacing w:lineRule="auto" w:line="240" w:before="10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offer of Deferred Stock Units constitutes a private offering of securities in Chile effective as of the Grant Date. The offer of Deferred Stock Units is made subject to general ruling N° 336 of the Chilean Commission for the Financial Market (“</w:t>
      </w:r>
      <w:r>
        <w:rPr>
          <w:rFonts w:ascii="Times New Roman;sans-serif" w:hAnsi="Times New Roman;sans-serif"/>
          <w:b w:val="false"/>
          <w:color w:val="000000"/>
          <w:sz w:val="22"/>
          <w:u w:val="single"/>
        </w:rPr>
        <w:t>CMF</w:t>
      </w:r>
      <w:r>
        <w:rPr>
          <w:color w:val="000000"/>
        </w:rPr>
        <w:t>”</w:t>
      </w:r>
      <w:r>
        <w:rPr>
          <w:rFonts w:ascii="Times New Roman;sans-serif" w:hAnsi="Times New Roman;sans-serif"/>
          <w:b w:val="false"/>
          <w:color w:val="000000"/>
          <w:sz w:val="22"/>
        </w:rPr>
        <w:t>). The offer refers to securities not registered at the securities registry or at the foreign securities registry of the CMF, and, therefore, such securities are not subject to oversight of the CMF. Given that the Deferred Stock Units are not registered in Chile, the Company is not required to provide public information about the Deferred Stock Units or the shares of Common Stock in Chile. Unless the Deferred Stock Units and/or the shares of Common Stock are registered with the CMF, a public offering of such securities cannot be made in Chile.</w:t>
      </w:r>
    </w:p>
    <w:p>
      <w:pPr>
        <w:pStyle w:val="TextBody"/>
        <w:spacing w:lineRule="auto" w:line="240" w:before="0" w:after="240"/>
        <w:rPr/>
      </w:pPr>
      <w:r>
        <w:rPr>
          <w:rFonts w:ascii="Times New Roman;sans-serif" w:hAnsi="Times New Roman;sans-serif"/>
          <w:b w:val="false"/>
          <w:i/>
          <w:color w:val="000000"/>
          <w:sz w:val="22"/>
        </w:rPr>
        <w:t>Esta oferta de Unidades de Acciones Diferidas constituye una oferta privada de valores en Chile y se inicia en la Fecha de la Concesión. Esta oferta de Unidades de Acciones Diferidas se acoge a las disposiciones de la Norma de Carácter General N° 336 de la Comisión para el Mercado Financiero de Chile (“</w:t>
      </w:r>
      <w:r>
        <w:rPr>
          <w:rFonts w:ascii="Times New Roman;sans-serif" w:hAnsi="Times New Roman;sans-serif"/>
          <w:b w:val="false"/>
          <w:i/>
          <w:color w:val="000000"/>
          <w:sz w:val="22"/>
          <w:u w:val="single"/>
        </w:rPr>
        <w:t>CMF</w:t>
      </w:r>
      <w:r>
        <w:rPr>
          <w:color w:val="000000"/>
        </w:rPr>
        <w:t>”</w:t>
      </w:r>
      <w:r>
        <w:rPr>
          <w:rFonts w:ascii="Times New Roman;sans-serif" w:hAnsi="Times New Roman;sans-serif"/>
          <w:b w:val="false"/>
          <w:i/>
          <w:color w:val="000000"/>
          <w:sz w:val="22"/>
        </w:rPr>
        <w:t xml:space="preserve">). Esta oferta versa sobre valores no inscritos en el Registro de Valores o en el Registro de Valores Extranjeros que lleva la CMF, por lo que tales valores no están sujetos a la fiscalización de ésta. Por tratarse las Unidades de Acciones Diferidas de valores no registrados en Chile, no existe obligación por parte de la Compañía de entregar en Chile información pública respecto de las Unidades de Acciones Diferidas o sus Acciones. Estos valores no podrán ser objeto de oferta pública en Chile mientras no sean inscritos en el Registro de Valores correspondiente. </w:t>
      </w:r>
    </w:p>
    <w:p>
      <w:pPr>
        <w:pStyle w:val="TextBody"/>
        <w:spacing w:lineRule="auto" w:line="240" w:before="10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Employee is not required to repatriate any funds he or she receives with respect to the Deferred Stock Units and/or the shares of Common Stock (</w:t>
      </w:r>
      <w:r>
        <w:rPr>
          <w:rFonts w:ascii="Times New Roman;sans-serif" w:hAnsi="Times New Roman;sans-serif"/>
          <w:b w:val="false"/>
          <w:i/>
          <w:color w:val="000000"/>
          <w:sz w:val="22"/>
        </w:rPr>
        <w:t>e.g.</w:t>
      </w:r>
      <w:r>
        <w:rPr>
          <w:rFonts w:ascii="Times New Roman;sans-serif" w:hAnsi="Times New Roman;sans-serif"/>
          <w:b w:val="false"/>
          <w:color w:val="000000"/>
          <w:sz w:val="22"/>
        </w:rPr>
        <w:t>, proceeds from the sale of shares of Common Stock or dividends received) to Chile. However, if the Employee decides to repatriate such funds, he or she must do so through the Formal Exchange Market (</w:t>
      </w:r>
      <w:r>
        <w:rPr>
          <w:rFonts w:ascii="Times New Roman;sans-serif" w:hAnsi="Times New Roman;sans-serif"/>
          <w:b w:val="false"/>
          <w:i/>
          <w:color w:val="000000"/>
          <w:sz w:val="22"/>
        </w:rPr>
        <w:t>i.e.</w:t>
      </w:r>
      <w:r>
        <w:rPr>
          <w:rFonts w:ascii="Times New Roman;sans-serif" w:hAnsi="Times New Roman;sans-serif"/>
          <w:b w:val="false"/>
          <w:color w:val="000000"/>
          <w:sz w:val="22"/>
        </w:rPr>
        <w:t>, a commercial bank or registered foreign exchange office) if the amount of the funds repatriated exceeds US$10,000. Further, if the value of the aggregate investments held by the Employee outside of Chile exceeds US$5,000,000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shares of Common Stock and cash proceeds acquired under the Plan), the Employee must report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100" w:after="240"/>
        <w:rPr>
          <w:rFonts w:ascii="Times New Roman;sans-serif" w:hAnsi="Times New Roman;sans-serif"/>
          <w:b w:val="false"/>
          <w:color w:val="000000"/>
          <w:sz w:val="22"/>
        </w:rPr>
      </w:pPr>
      <w:r>
        <w:rPr>
          <w:rFonts w:ascii="Times New Roman;sans-serif" w:hAnsi="Times New Roman;sans-serif"/>
          <w:b w:val="false"/>
          <w:color w:val="000000"/>
          <w:sz w:val="22"/>
        </w:rPr>
        <w:t>investments annually to the Central Bank using Annex 3.1 of Chapter XII of the Foreign Exchange Regulations.</w:t>
      </w:r>
    </w:p>
    <w:p>
      <w:pPr>
        <w:pStyle w:val="TextBody"/>
        <w:spacing w:lineRule="auto" w:line="240" w:before="100" w:after="240"/>
        <w:rPr/>
      </w:pPr>
      <w:r>
        <w:rPr>
          <w:rFonts w:ascii="Times New Roman;sans-serif" w:hAnsi="Times New Roman;sans-serif"/>
          <w:b w:val="false"/>
          <w:color w:val="000000"/>
          <w:sz w:val="22"/>
        </w:rPr>
        <w:t xml:space="preserve">Exchange control requirements are subject to change. </w:t>
      </w:r>
      <w:r>
        <w:rPr>
          <w:rFonts w:ascii="Times New Roman;sans-serif" w:hAnsi="Times New Roman;sans-serif"/>
          <w:b w:val="false"/>
          <w:i/>
          <w:color w:val="000000"/>
          <w:sz w:val="22"/>
        </w:rPr>
        <w:t>The Employee should consult with his or her personal legal advisor regarding any exchange control obligations that may apply in connection with the Deferred Stock Units.</w:t>
      </w:r>
    </w:p>
    <w:p>
      <w:pPr>
        <w:pStyle w:val="TextBody"/>
        <w:spacing w:lineRule="auto" w:line="240" w:before="100" w:after="240"/>
        <w:rPr/>
      </w:pPr>
      <w:r>
        <w:rPr>
          <w:rFonts w:ascii="Times New Roman;sans-serif" w:hAnsi="Times New Roman;sans-serif"/>
          <w:b/>
          <w:color w:val="000000"/>
          <w:sz w:val="22"/>
        </w:rPr>
        <w:t>Foreign Asset / Account Reporting Information</w:t>
      </w:r>
      <w:r>
        <w:rPr>
          <w:rFonts w:ascii="Times New Roman;sans-serif" w:hAnsi="Times New Roman;sans-serif"/>
          <w:b w:val="false"/>
          <w:color w:val="000000"/>
          <w:sz w:val="22"/>
        </w:rPr>
        <w:t>. If the Employee holds shares of Common Stock acquired under the Plan outside Chile, the Employee will be required to inform the Chilean Internal Revenue Service (the “</w:t>
      </w:r>
      <w:r>
        <w:rPr>
          <w:rFonts w:ascii="Times New Roman;sans-serif" w:hAnsi="Times New Roman;sans-serif"/>
          <w:b w:val="false"/>
          <w:color w:val="000000"/>
          <w:sz w:val="22"/>
          <w:u w:val="single"/>
        </w:rPr>
        <w:t>CIRS</w:t>
      </w:r>
      <w:r>
        <w:rPr>
          <w:color w:val="000000"/>
        </w:rPr>
        <w:t>”</w:t>
      </w:r>
      <w:r>
        <w:rPr>
          <w:rFonts w:ascii="Times New Roman;sans-serif" w:hAnsi="Times New Roman;sans-serif"/>
          <w:b w:val="false"/>
          <w:color w:val="000000"/>
          <w:sz w:val="22"/>
        </w:rPr>
        <w:t xml:space="preserve">) of the details of the Employee’s investment in the shares of Common Stock. Further, if the Employee wishes to receive a tax credit against the Employee’s Chilean income taxes for any taxes paid abroad, the Employee must report the payment of taxes abroad to the CIRS. In either case, the Employee must file Tax Form 1929 by July 1 each year, which should be submitted electronically through the CIRS website: </w:t>
      </w:r>
      <w:r>
        <w:rPr>
          <w:rFonts w:ascii="Times New Roman;sans-serif" w:hAnsi="Times New Roman;sans-serif"/>
          <w:b w:val="false"/>
          <w:color w:val="000000"/>
          <w:sz w:val="22"/>
          <w:highlight w:val="white"/>
        </w:rPr>
        <w:t>www.sii.cl.</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CHINA</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The following provisions apply to Employees who are exclusively citizens of the People’s Republic of China and who reside in mainland China, and Employees who are otherwise subject to exchange control restrictions applicable to employee stock plans in China, as determined by the Company in its sole discretion.</w:t>
      </w:r>
    </w:p>
    <w:p>
      <w:pPr>
        <w:pStyle w:val="TextBody"/>
        <w:spacing w:lineRule="auto" w:line="240" w:before="0" w:after="240"/>
        <w:rPr/>
      </w:pPr>
      <w:r>
        <w:rPr>
          <w:rFonts w:ascii="Times New Roman;sans-serif" w:hAnsi="Times New Roman;sans-serif"/>
          <w:b/>
          <w:color w:val="000000"/>
          <w:sz w:val="22"/>
        </w:rPr>
        <w:t>Settlement of Deferred Stock Units and Sale of Shares.</w:t>
      </w:r>
      <w:r>
        <w:rPr>
          <w:color w:val="000000"/>
        </w:rPr>
        <w:t xml:space="preserve"> </w:t>
      </w:r>
      <w:r>
        <w:rPr>
          <w:rFonts w:ascii="Times New Roman;sans-serif" w:hAnsi="Times New Roman;sans-serif"/>
          <w:b w:val="false"/>
          <w:color w:val="000000"/>
          <w:sz w:val="22"/>
        </w:rPr>
        <w:t>Due to legal restrictions in China, upon the vesting of Deferred Stock Units, the 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Thus, as a condition of the grant of the Deferred Stock Units, the Employee agrees to the immediate sale of any shares of Common Stock issued to Employee upon vesting and settlement of the Deferred Stock Units.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The Employee acknowledges that the Company’s designated broker is under no obligation to arrange for the sale of shares of Common Stock at any particular price. Upon any such sale of the shares, the proceeds, less any Tax-Related Items and broker’s fees or commissions, will be remitted to the Employee in accordance with any applicable exchange control laws and regulations.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the event that the Employee is not required to sell shares of Common Stock immediately upon vesting, any shares of Common Stock issued to the Employee must be maintained in an account with E*TRADE Financial Corporate Services Inc. (“E*TRADE”) or such other broker as may be designated by the Company until the shares of Common Stock are sold through that broker. If the Company changes its designated broker, the Employee acknowledges and agrees that the Company may transfer any shares of Common Stock issued under the Plan to the new designated broker if necessary for legal or administrative reasons. The Employee agrees to sign any documentation necessary to facilitate the transfer. In addition, the Employee acknowledges and agrees that he or she must sell any shares of Common Stock issued upon vesting as soon as practicable following the termination of the Employee’s employment or other service relationship with the Mondelēz Group and in no event later than six (6) months following the termination of the Employee’s employment or other service relationship with the Mondelēz Group, or within any other such time frame the Company determines to be necessary or advisable to comply with local requirements.</w:t>
      </w:r>
    </w:p>
    <w:p>
      <w:pPr>
        <w:pStyle w:val="TextBody"/>
        <w:spacing w:lineRule="auto" w:line="240" w:before="0" w:after="240"/>
        <w:rPr/>
      </w:pPr>
      <w:r>
        <w:rPr>
          <w:rFonts w:ascii="Times New Roman;sans-serif" w:hAnsi="Times New Roman;sans-serif"/>
          <w:b/>
          <w:color w:val="000000"/>
          <w:sz w:val="22"/>
        </w:rPr>
        <w:t>Exchange Control Restrictions.</w:t>
      </w:r>
      <w:r>
        <w:rPr>
          <w:color w:val="000000"/>
        </w:rPr>
        <w:t xml:space="preserve"> </w:t>
      </w:r>
      <w:r>
        <w:rPr>
          <w:rFonts w:ascii="Times New Roman;sans-serif" w:hAnsi="Times New Roman;sans-serif"/>
          <w:b w:val="false"/>
          <w:color w:val="000000"/>
          <w:sz w:val="22"/>
        </w:rPr>
        <w:t xml:space="preserve">The Employee understands and agrees that, due to exchange control laws in China, he or she will be required to immediately repatriate to China any proceeds from the sale of shares of Common Stock acquired from the Deferred Stock Units and any dividends and/or dividend equivalents paid to the Employee in cash. The Employee further understands that, under local law, such repatriation of the cash proceeds will be effected through a special exchange control account established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by a member of the Mondelēz Group and the Employee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Employee acknowledges that he or she will be required to set up a U.S. dollar bank account in China so that the proceeds may be delivered to this account. If the proceeds are converted to local currency, the Employee acknowledges that the Mondelēz Group is under no obligation to secure any currency conversion rate and may face delays in converting the proceeds to local currency due to exchange control restrictions in China. The Employee agrees to bear any currency fluctuation risk between the date the shares of Common Stock acquired from the Deferred Stock Units are sold or any dividends are paid and the time that (i) the Tax-Related Items are converted to local currency and remitted to the tax authorities and (ii) net proceeds are converted to local currency and distributed to the Employee. The Employee acknowledges that the Mondelēz Group will not be held liable for any delay in delivering the proceeds to the Employee. The Employee agrees to sign any agreements, forms and/or consents that may be requested by the Company or the Company’s designated broker to effectuate any of the remittances, transfers, conversions or other processes affecting the proceeds.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Employee further agrees to comply with any other requirements that may be imposed by the Company in the future in order to facilitate compliance with exchange control requirements in China. For Deferred Stock Units, these additional requirements may include, but are not limited to, a requirement to maintain any shares of Common Stock acquired from the Deferred Stock Units in an account with a Company-designated broker and/or to sell any shares of Common Stock that the Employee receives immediately upon vesting of the Deferred Stock Units (as explained above) or upon termination of the Employee’s service with the Mondelēz Group.</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Chinese residents may be required to report to the SAFE all details of their foreign financial assets and liabilities, as well as details of any economic transactions conducted with non-Chinese residents, including the Company.</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COLOMBIA</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acknowledgments contained in paragraph 13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that pursuant to Article 128 of the Colombian Labor Code, the Plan and related benefits do not constitute a component of the Employee’s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shares of Common Stock are not and will not be registered in the Colombian registry of publicly traded securities (</w:t>
      </w:r>
      <w:r>
        <w:rPr>
          <w:rFonts w:ascii="Times New Roman;sans-serif" w:hAnsi="Times New Roman;sans-serif"/>
          <w:b w:val="false"/>
          <w:i/>
          <w:color w:val="000000"/>
          <w:sz w:val="22"/>
        </w:rPr>
        <w:t>Registro Nacional de Valores y Emisores</w:t>
      </w:r>
      <w:r>
        <w:rPr>
          <w:rFonts w:ascii="Times New Roman;sans-serif" w:hAnsi="Times New Roman;sans-serif"/>
          <w:b w:val="false"/>
          <w:color w:val="000000"/>
          <w:sz w:val="22"/>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Colombian residents must register shares of Common Stock acquired under the Plan, regardless of value, with the Central Bank of Colombia (</w:t>
      </w:r>
      <w:r>
        <w:rPr>
          <w:rFonts w:ascii="Times New Roman;sans-serif" w:hAnsi="Times New Roman;sans-serif"/>
          <w:b w:val="false"/>
          <w:i/>
          <w:color w:val="000000"/>
          <w:sz w:val="22"/>
        </w:rPr>
        <w:t>Banco de la República</w:t>
      </w:r>
      <w:r>
        <w:rPr>
          <w:rFonts w:ascii="Times New Roman;sans-serif" w:hAnsi="Times New Roman;sans-serif"/>
          <w:b w:val="false"/>
          <w:color w:val="000000"/>
          <w:sz w:val="22"/>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Times New Roman;sans-serif" w:hAnsi="Times New Roman;sans-serif"/>
          <w:b w:val="false"/>
          <w:i/>
          <w:color w:val="000000"/>
          <w:sz w:val="22"/>
        </w:rPr>
        <w:t>declaración de cambio</w:t>
      </w:r>
      <w:r>
        <w:rPr>
          <w:rFonts w:ascii="Times New Roman;sans-serif" w:hAnsi="Times New Roman;sans-serif"/>
          <w:b w:val="false"/>
          <w:color w:val="000000"/>
          <w:sz w:val="22"/>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Employee is responsible for complying with applicable exchange control requirements in Colombia and the Employee should consult his or her legal advisor prior to the acquisition or sale of the shares of Common Stock under the Plan to ensure compliance with current regulations.</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must file an annual informative return with the Colombian Tax Office detailing any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held abroad. If the individual value of any of these assets exceeds a certain threshold, the Employee must describe each asset and indicate the jurisdiction in which it is located, its nature and its value.</w:t>
      </w:r>
    </w:p>
    <w:p>
      <w:pPr>
        <w:pStyle w:val="TextBody"/>
        <w:spacing w:lineRule="auto" w:line="240" w:before="0" w:after="240"/>
        <w:rPr/>
      </w:pPr>
      <w:r>
        <w:rPr>
          <w:rFonts w:ascii="Times New Roman;sans-serif" w:hAnsi="Times New Roman;sans-serif"/>
          <w:b/>
          <w:color w:val="000000"/>
          <w:sz w:val="22"/>
          <w:u w:val="single"/>
        </w:rPr>
        <w:t>COSTA RICA</w:t>
      </w:r>
      <w:r>
        <w:rPr>
          <w:color w:val="000000"/>
        </w:rPr>
        <w:t xml:space="preserve">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CROATIA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Croatian residents may be required to report any foreign investments (including shares of Common Stock acquired under the Plan) to the Croatian National Bank for statistical purposes and obtain prior approval from the Croatian National Bank for bank accounts opened abroad. However, because exchange control regulations may change without notice, the Employee should consult his or her legal advisor to ensure compliance with current regulations.</w:t>
      </w:r>
      <w:r>
        <w:rPr>
          <w:color w:val="000000"/>
        </w:rPr>
        <w:t xml:space="preserve"> </w:t>
      </w:r>
      <w:r>
        <w:rPr>
          <w:rFonts w:ascii="Times New Roman;sans-serif" w:hAnsi="Times New Roman;sans-serif"/>
          <w:b w:val="false"/>
          <w:color w:val="000000"/>
          <w:sz w:val="22"/>
        </w:rPr>
        <w:t>It is the Employee's responsibility to comply with Croatian exchange control laws.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CZECH REPUBLIC</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Miscellaneous. </w:t>
      </w:r>
      <w:r>
        <w:rPr>
          <w:rFonts w:ascii="Times New Roman;sans-serif" w:hAnsi="Times New Roman;sans-serif"/>
          <w:b w:val="false"/>
          <w:color w:val="000000"/>
          <w:sz w:val="22"/>
        </w:rPr>
        <w:t>The following provision replaces paragraph 21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pStyle w:val="TextBody"/>
        <w:spacing w:lineRule="auto" w:line="240" w:before="0" w:after="240"/>
        <w:rPr/>
      </w:pPr>
      <w:r>
        <w:rPr>
          <w:rFonts w:ascii="Times New Roman;sans-serif" w:hAnsi="Times New Roman;sans-serif"/>
          <w:b w:val="false"/>
          <w:color w:val="000000"/>
          <w:sz w:val="22"/>
        </w:rPr>
        <w:t>For purposes of this Agreement, (a)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procedures established by the Company for purposes of the Plan, and (b)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Czech residents may be required to fulfill certain notification duties in relation to the Deferred Stock Units and the opening and maintenance of a foreign account, including reporting foreign financial assets with a value of CZK 200,000,000 or more. The Employee should consult their personal legal advisor to ensure compliance with the applicable requirements.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DENMARK</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 xml:space="preserve">TERMS AND CONDITIONS </w:t>
      </w:r>
    </w:p>
    <w:p>
      <w:pPr>
        <w:pStyle w:val="TextBody"/>
        <w:spacing w:lineRule="auto" w:line="240" w:before="0" w:after="240"/>
        <w:rPr/>
      </w:pPr>
      <w:r>
        <w:rPr>
          <w:rFonts w:ascii="Times New Roman;sans-serif" w:hAnsi="Times New Roman;sans-serif"/>
          <w:b/>
          <w:color w:val="000000"/>
          <w:sz w:val="22"/>
        </w:rPr>
        <w:t>Stock Option Act</w:t>
      </w:r>
      <w:r>
        <w:rPr>
          <w:rFonts w:ascii="Times New Roman;sans-serif" w:hAnsi="Times New Roman;sans-serif"/>
          <w:b w:val="false"/>
          <w:color w:val="000000"/>
          <w:sz w:val="22"/>
        </w:rPr>
        <w:t>. The Employee acknowledges that he or she has received an Employer Statement in Danish, which sets forth the additional terms of the Deferred Stock Units to the extent that the Danish Stock Option Act applies.</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is required to report any accounts holding shares of Common Stock or cash established outside Denmark to the Danish Tax Administration as part of his or her tax return under the section related to foreign affairs and income.</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ECUADOR</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In addition, Ecuadorian resident individuals are required to report on an annual basis, all monetary assets held in foreign financial entities in excess of US$100,000. The Employee should consult his or her legal or tax advisor to ensure compliance with all applicable reporting obligations.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EGYPT</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If the Employee transfers funds into Egypt in connection with the Deferred Stock Units, the Employee is required to transfer the funds through a registered bank in Egypt.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FINLAND</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There are no specific reporting requirements with respect to foreign assets/accounts. However, please note that the Employee must check their pre-completed tax return to confirm that the ownership of shares of Common Stock and other securities (foreign or domestic) is correctly reported. If the Employee finds any errors or omissions, the Employee must make the necessary corrections electronically or by sending specific paper forms to the local tax authorities.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FRANCE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Deferred Stock Units Not French-Qualified.</w:t>
      </w:r>
      <w:r>
        <w:rPr>
          <w:color w:val="000000"/>
        </w:rPr>
        <w:t xml:space="preserve"> </w:t>
      </w:r>
      <w:r>
        <w:rPr>
          <w:rFonts w:ascii="Times New Roman;sans-serif" w:hAnsi="Times New Roman;sans-serif"/>
          <w:b w:val="false"/>
          <w:color w:val="000000"/>
          <w:sz w:val="22"/>
        </w:rPr>
        <w:t>The Deferred Stock Units granted under this Agreement are not intended to qualify for specific tax and social security treatment pursuant to Sections L. 225-197-1 to L. 225-197-6 of the French Commercial Code, as amended.</w:t>
      </w:r>
    </w:p>
    <w:p>
      <w:pPr>
        <w:pStyle w:val="TextBody"/>
        <w:spacing w:lineRule="auto" w:line="240" w:before="0" w:after="240"/>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accepting the Grant, the Employee confirms having read and understood the Plan and Agreement, including all terms and conditions included therein, which were provided in the English language. The Employee accepts the terms of those documents accordingly.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val="false"/>
          <w:i/>
          <w:color w:val="000000"/>
          <w:sz w:val="22"/>
        </w:rPr>
        <w:t>En acceptant cette attribution, le Employé confirme avoir lu et compris le Plan et le Contrat y relatifs, incluant tous leurs termes et conditions, qui ont été transmis en langue anglaise. Le Employé accepte les dispositions de ces documents en connaissance de cause</w:t>
      </w:r>
      <w:r>
        <w:rPr>
          <w:rFonts w:ascii="Times New Roman;sans-serif" w:hAnsi="Times New Roman;sans-serif"/>
          <w:b w:val="false"/>
          <w:color w:val="000000"/>
          <w:sz w:val="22"/>
        </w:rPr>
        <w:t>.</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Employee holds shares of Common Stock outside France or maintains a foreign 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GERMANY</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Miscellaneous. </w:t>
      </w:r>
      <w:r>
        <w:rPr>
          <w:rFonts w:ascii="Times New Roman;sans-serif" w:hAnsi="Times New Roman;sans-serif"/>
          <w:b w:val="false"/>
          <w:color w:val="000000"/>
          <w:sz w:val="22"/>
        </w:rPr>
        <w:t>The following provision replaces paragraph 21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pStyle w:val="TextBody"/>
        <w:spacing w:lineRule="auto" w:line="240" w:before="0" w:after="240"/>
        <w:rPr/>
      </w:pPr>
      <w:r>
        <w:rPr>
          <w:rFonts w:ascii="Times New Roman;sans-serif" w:hAnsi="Times New Roman;sans-serif"/>
          <w:b w:val="false"/>
          <w:color w:val="000000"/>
          <w:sz w:val="22"/>
        </w:rPr>
        <w:t>For purposes of this Agreement, (a)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procedures established by the Company for purposes of the Plan, and (b)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 xml:space="preserve">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 </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Cross-border payments made or received in excess of €12,500 may need to be reported monthly by accessing the electronic General Statistics Reporting Portal (“</w:t>
      </w:r>
      <w:r>
        <w:rPr>
          <w:rFonts w:ascii="Times New Roman;sans-serif" w:hAnsi="Times New Roman;sans-serif"/>
          <w:b w:val="false"/>
          <w:i/>
          <w:color w:val="000000"/>
          <w:sz w:val="22"/>
        </w:rPr>
        <w:t>Allgemeine Meldeportal Statistik</w:t>
      </w:r>
      <w:r>
        <w:rPr>
          <w:color w:val="000000"/>
        </w:rPr>
        <w:t>”</w:t>
      </w:r>
      <w:r>
        <w:rPr>
          <w:rFonts w:ascii="Times New Roman;sans-serif" w:hAnsi="Times New Roman;sans-serif"/>
          <w:b w:val="false"/>
          <w:color w:val="000000"/>
          <w:sz w:val="22"/>
        </w:rPr>
        <w:t>) via the Bundesbank’s website (</w:t>
      </w:r>
      <w:r>
        <w:rPr>
          <w:rFonts w:ascii="Times New Roman;sans-serif" w:hAnsi="Times New Roman;sans-serif"/>
          <w:b w:val="false"/>
          <w:color w:val="000000"/>
          <w:sz w:val="22"/>
          <w:u w:val="single"/>
        </w:rPr>
        <w:t>www.bundesbank.de</w:t>
      </w:r>
      <w:r>
        <w:rPr>
          <w:rFonts w:ascii="Times New Roman;sans-serif" w:hAnsi="Times New Roman;sans-serif"/>
          <w:b w:val="false"/>
          <w:color w:val="000000"/>
          <w:sz w:val="22"/>
        </w:rPr>
        <w:t xml:space="preserve">), or by such other method and within such other timing as permitted or required by Bundesbank. In addition, the Employee may be required to report the acquisition of securities if the value of the securities acquired exceeds €12,500 to the Bundesbank via email or telephone. </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German residents holding Common Stock must notify their local tax office if the acquisition of Common Stock under the Plan leads to a so-called qualified participation at any point during the calendar year. A qualified participation is attained only in the unlikely event (i) the Employee owns at least 1% of the Company and the value of the Common Stock acquired exceeds €150,000, or (ii) the Employee holds Common Stock exceeding 10% of the total capital of the Company.</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GHANA</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GREECE</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GUATEMALA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participating in the Plan, the Employee acknowledges that they have reviewed paragraph 17 of the Agreement and are sufficiently proficient in English, or, alternatively, that Employee will seek appropriate assistance, to understand the terms and conditions in the Agreement.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HONDURAS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HONG KONG</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i/>
          <w:color w:val="000000"/>
          <w:sz w:val="22"/>
        </w:rPr>
        <w:t>Warning: The contents of this document have not been reviewed by any regulatory authority in Hong Kong. The Employee is advised to exercise caution in relation to the offer. If the Employee is in any doubt about any of the contents of the Agreement, including this Appendix, or the Plan, the Employee should obtain independent professional advice. The Deferred Stock Units and any shares of Common Stock issued pursuant to the Grant do not constitute a public offering of securities under Hong Kong law and are available only to Employees of the</w:t>
      </w:r>
      <w:r>
        <w:rPr>
          <w:color w:val="000000"/>
        </w:rPr>
        <w:t xml:space="preserve"> </w:t>
      </w:r>
      <w:r>
        <w:rPr>
          <w:rFonts w:ascii="Times New Roman;sans-serif" w:hAnsi="Times New Roman;sans-serif"/>
          <w:b w:val="false"/>
          <w:i/>
          <w:color w:val="000000"/>
          <w:sz w:val="22"/>
        </w:rPr>
        <w:t xml:space="preserve">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Deferred Stock Units and any related documentation are intended only for the personal use of each eligible employee of the Mondelēz Group and may not be distributed to any other person. </w:t>
      </w:r>
    </w:p>
    <w:p>
      <w:pPr>
        <w:pStyle w:val="TextBody"/>
        <w:spacing w:lineRule="auto" w:line="240" w:before="0" w:after="240"/>
        <w:rPr/>
      </w:pPr>
      <w:r>
        <w:rPr>
          <w:rFonts w:ascii="Times New Roman;sans-serif" w:hAnsi="Times New Roman;sans-serif"/>
          <w:b/>
          <w:color w:val="000000"/>
          <w:sz w:val="22"/>
        </w:rPr>
        <w:t>Sale of Shares.</w:t>
      </w:r>
      <w:r>
        <w:rPr>
          <w:color w:val="000000"/>
        </w:rPr>
        <w:t xml:space="preserve"> </w:t>
      </w:r>
      <w:r>
        <w:rPr>
          <w:rFonts w:ascii="Times New Roman;sans-serif" w:hAnsi="Times New Roman;sans-serif"/>
          <w:b w:val="false"/>
          <w:color w:val="000000"/>
          <w:sz w:val="22"/>
        </w:rPr>
        <w:t xml:space="preserve">Shares of Common Stock received under the Plan are accepted as a personal investment. In the event the Deferred Stock Units vest and shares of Common Stock are issued to the Employee within six months of the Grant Date, the Employee agrees that he or she will not dispose of the shares of Common Stock acquired prior to the six-month anniversary of the Grant Date. </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HUNGARY</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INDIA</w:t>
      </w:r>
    </w:p>
    <w:p>
      <w:pPr>
        <w:pStyle w:val="TextBody"/>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jc w:val="both"/>
        <w:rPr/>
      </w:pPr>
      <w:r>
        <w:rPr>
          <w:rFonts w:ascii="Times New Roman;sans-serif" w:hAnsi="Times New Roman;sans-serif"/>
          <w:b/>
          <w:color w:val="000000"/>
          <w:sz w:val="22"/>
        </w:rPr>
        <w:t>Payment after Vesting.</w:t>
      </w:r>
      <w:r>
        <w:rPr>
          <w:color w:val="000000"/>
        </w:rPr>
        <w:t xml:space="preserve"> </w:t>
      </w:r>
      <w:r>
        <w:rPr>
          <w:rFonts w:ascii="Times New Roman;sans-serif" w:hAnsi="Times New Roman;sans-serif"/>
          <w:b w:val="false"/>
          <w:color w:val="000000"/>
          <w:sz w:val="22"/>
        </w:rPr>
        <w:t>The following provision supplements Section 7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Due to regulatory requirements in India, the Company reserves the right to require that the Employee sell all shares of Common Stock delivered to the Employee, either immediately upon receipt of such shares or upon the Employee’s termination of employment from the Mondelēz Group. In this regard, the Employee agrees that the Company is authorized to instruct its designated broker to assist with any such mandatory sale of shares of Common Stock (on the Employee’s behalf pursuant to this authorization), and the Employee expressly authorizes the designated broker to complete the sale of such shares. The Employee also agrees to sign any agreements, forms and/or consents that may be reasonably requested by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Company (or the designated broker) to effectuate the sale of the shares of Common Stock and shall otherwise cooperate with the Company with respect to such matters, provided that the Employee shall not be permitted to exercise any influence over how, when or whether the sales occur. The Employee acknowledges that the designated broker is under no obligation to arrange for the sale of the shares of Common Stock at any particular price. Due to fluctuations in the shares of Common Stock price and/or applicable exchange rates between the date the shares of Common Stock are delivered to the Employee and (if later) the date on which the shares of Common Stock are sold, the amount of proceeds ultimately distributed to the v may be more or less than the market value of the shares of Common Stock on the relevant vesting date or the date on which such shares are delivered to the Employee. Upon the sale of the shares of Common Stock, the cash proceeds from the sale of shares (less any applicable Tax-Related Items) will be delivered to the Employee in accordance with applicable laws and regulations, as determined by the Company in its sole discretion.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Indian residents are required to repatriate the cash proceeds received upon the sale of shares of Common Stock and convert such proceeds into local currency within specified timeframes as required under applicable regulations. Indian residents also are required to retain the foreign inward remittance certificate as evidence of repatriation.</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As exchange control regulations can change frequently and without notice, the Employee should consult his or her personal tax or legal advisor before selling shares of Common Stock to ensure compliance with current regulations.</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is required to declare foreign bank accounts and any foreign financial assets (including shares of Common Stock held outside India) in his or her annual tax return. It is the Employee’s responsibility to comply with this reporting obligation and the Employee should consult with his or her personal tax advisor in this regard.</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INDONESIA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Language Consent and Notification</w:t>
      </w:r>
      <w:r>
        <w:rPr>
          <w:rFonts w:ascii="Times New Roman;sans-serif" w:hAnsi="Times New Roman;sans-serif"/>
          <w:b w:val="false"/>
          <w:color w:val="000000"/>
          <w:sz w:val="22"/>
        </w:rPr>
        <w:t xml:space="preserve">. A translation of the documents relating to this Grant into Bahasa Indonesia can be provided to the Employee upon request to </w:t>
      </w:r>
      <w:r>
        <w:rPr>
          <w:rFonts w:ascii="Times New Roman;sans-serif" w:hAnsi="Times New Roman;sans-serif"/>
          <w:b w:val="false"/>
          <w:color w:val="000000"/>
          <w:sz w:val="22"/>
          <w:highlight w:val="white"/>
        </w:rPr>
        <w:t>Daning Novianti, My Rewards Advisor ID,</w:t>
      </w:r>
      <w:r>
        <w:rPr>
          <w:color w:val="000000"/>
          <w:highlight w:val="white"/>
        </w:rPr>
        <w:t xml:space="preserve"> </w:t>
      </w:r>
      <w:r>
        <w:rPr>
          <w:rFonts w:ascii="Times New Roman;sans-serif" w:hAnsi="Times New Roman;sans-serif"/>
          <w:b w:val="false"/>
          <w:color w:val="000000"/>
          <w:sz w:val="22"/>
          <w:highlight w:val="white"/>
        </w:rPr>
        <w:t xml:space="preserve">at </w:t>
      </w:r>
      <w:r>
        <w:rPr>
          <w:rFonts w:ascii="Times New Roman;sans-serif" w:hAnsi="Times New Roman;sans-serif"/>
          <w:b w:val="false"/>
          <w:color w:val="000000"/>
          <w:sz w:val="22"/>
          <w:highlight w:val="white"/>
          <w:u w:val="single"/>
        </w:rPr>
        <w:t>Daning.Novianti@mdlz.com</w:t>
      </w:r>
      <w:r>
        <w:rPr>
          <w:rFonts w:ascii="Times New Roman;sans-serif" w:hAnsi="Times New Roman;sans-serif"/>
          <w:b w:val="false"/>
          <w:color w:val="000000"/>
          <w:sz w:val="22"/>
        </w:rPr>
        <w:t>. By accepting the Grant, the Employee (i) confirms having read and understood the documents relating to this Grant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pStyle w:val="TextBody"/>
        <w:spacing w:lineRule="auto" w:line="240" w:before="0" w:after="240"/>
        <w:rPr/>
      </w:pPr>
      <w:r>
        <w:rPr>
          <w:rFonts w:ascii="Times New Roman;sans-serif" w:hAnsi="Times New Roman;sans-serif"/>
          <w:b/>
          <w:i/>
          <w:color w:val="000000"/>
          <w:sz w:val="22"/>
        </w:rPr>
        <w:t>Language Consent and Notification</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 xml:space="preserve">Terjemahan dari dokumen-dokumen terkait dengan pemberian ini ke Bahasa Indonesia dapat disediakan untuk anda berdasarkan permintaan kepada </w:t>
      </w:r>
      <w:r>
        <w:rPr>
          <w:rFonts w:ascii="Times New Roman;sans-serif" w:hAnsi="Times New Roman;sans-serif"/>
          <w:b w:val="false"/>
          <w:color w:val="000000"/>
          <w:sz w:val="22"/>
          <w:highlight w:val="white"/>
        </w:rPr>
        <w:t>Daning Novianti, My Rewards Advisor ID,</w:t>
      </w:r>
      <w:r>
        <w:rPr>
          <w:color w:val="000000"/>
          <w:highlight w:val="white"/>
        </w:rPr>
        <w:t xml:space="preserve"> </w:t>
      </w:r>
      <w:r>
        <w:rPr>
          <w:rFonts w:ascii="Times New Roman;sans-serif" w:hAnsi="Times New Roman;sans-serif"/>
          <w:b w:val="false"/>
          <w:color w:val="000000"/>
          <w:sz w:val="22"/>
          <w:highlight w:val="white"/>
        </w:rPr>
        <w:t xml:space="preserve">di </w:t>
      </w:r>
      <w:r>
        <w:rPr>
          <w:rFonts w:ascii="Times New Roman;sans-serif" w:hAnsi="Times New Roman;sans-serif"/>
          <w:b w:val="false"/>
          <w:color w:val="000000"/>
          <w:sz w:val="22"/>
          <w:highlight w:val="white"/>
          <w:u w:val="single"/>
        </w:rPr>
        <w:t>Daning.Novianti@mdlz.com</w:t>
      </w:r>
      <w:r>
        <w:rPr>
          <w:rFonts w:ascii="Times New Roman;sans-serif" w:hAnsi="Times New Roman;sans-serif"/>
          <w:b w:val="false"/>
          <w:color w:val="000000"/>
          <w:sz w:val="22"/>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 xml:space="preserve">Indonesian residents must provide the Indonesian central bank, Bank of Indonesia, with information on 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addition, if the Employee remits funds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Employee must complete a “Transfer Report Form.” The Transfer Report Form will be provided to the Employee by the bank through which the transaction is made.</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Indonesian residents have the obligation to report worldwide assets (including foreign accounts and shares of Common Stock acquired under the Plan) in their annual individual income tax return.</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IRELAND</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Miscellaneous. </w:t>
      </w:r>
      <w:r>
        <w:rPr>
          <w:rFonts w:ascii="Times New Roman;sans-serif" w:hAnsi="Times New Roman;sans-serif"/>
          <w:b w:val="false"/>
          <w:color w:val="000000"/>
          <w:sz w:val="22"/>
        </w:rPr>
        <w:t>The following provision replaces paragraph 21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pStyle w:val="TextBody"/>
        <w:spacing w:lineRule="auto" w:line="240" w:before="0" w:after="240"/>
        <w:rPr/>
      </w:pPr>
      <w:r>
        <w:rPr>
          <w:rFonts w:ascii="Times New Roman;sans-serif" w:hAnsi="Times New Roman;sans-serif"/>
          <w:b w:val="false"/>
          <w:color w:val="000000"/>
          <w:sz w:val="22"/>
        </w:rPr>
        <w:t>For purposes of this Agreement, (a)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procedures established by the Company for purposes of the Plan, and (b)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Director Notification Requirement.</w:t>
      </w:r>
      <w:r>
        <w:rPr>
          <w:color w:val="000000"/>
        </w:rPr>
        <w:t xml:space="preserve"> </w:t>
      </w:r>
      <w:r>
        <w:rPr>
          <w:rFonts w:ascii="Times New Roman;sans-serif" w:hAnsi="Times New Roman;sans-serif"/>
          <w:b w:val="false"/>
          <w:color w:val="000000"/>
          <w:sz w:val="22"/>
        </w:rPr>
        <w:t>If the Employee is a director, shadow director or secretary of an Irish subsidiary or affiliate, the Employee must notify the Irish subsidiary or affiliate in writing if (1) the Employee receives or disposes of an interest exceeding 1% of the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Deferred Stock Units, shares of Common Stock, etc.), (2) the Employee becomes aware of an event giving rise to a notification requirement, or (3) the Employee becomes a director or secretary if such an interest exists at that time. This notification requirement also applies with respect to the interests of a spouse or children under the age of 18 (whose interests will be attributed to the director, shadow director or secretary). </w:t>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ISRAEL</w:t>
      </w:r>
    </w:p>
    <w:p>
      <w:pPr>
        <w:pStyle w:val="TextBody"/>
        <w:spacing w:before="0" w:after="0"/>
        <w:rPr/>
      </w:pPr>
      <w:r>
        <w:rPr/>
      </w:r>
    </w:p>
    <w:p>
      <w:pPr>
        <w:pStyle w:val="TextBody"/>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rPr/>
      </w:pPr>
      <w:r>
        <w:rPr>
          <w:rFonts w:ascii="Times New Roman;sans-serif" w:hAnsi="Times New Roman;sans-serif"/>
          <w:b/>
          <w:color w:val="000000"/>
          <w:sz w:val="22"/>
        </w:rPr>
        <w:t>Immediate Sale Restriction.</w:t>
      </w:r>
      <w:r>
        <w:rPr>
          <w:color w:val="000000"/>
        </w:rPr>
        <w:t xml:space="preserve"> </w:t>
      </w:r>
      <w:r>
        <w:rPr>
          <w:rFonts w:ascii="Times New Roman;sans-serif" w:hAnsi="Times New Roman;sans-serif"/>
          <w:b w:val="false"/>
          <w:color w:val="000000"/>
          <w:sz w:val="22"/>
        </w:rPr>
        <w:t xml:space="preserve">As a condition of the grant of Deferred Stock Units, the Employee agrees to the immediate sale of any shares of Common Stock issued to the Employee upon payment and settlement of the Deferred Stock Units.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of Common Stock. Upon any such sale of the shares,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proceeds, less any Tax-Related Items and broker’s fees or commissions, will be remitted to the Employee. The Company reserves the right to allow the Employee to hold shares of Common Stock depending on the development of local law. </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2"/>
        </w:rPr>
        <w:t>NOTIFICATIONS</w:t>
      </w:r>
      <w:r>
        <w:rPr>
          <w:color w:val="000000"/>
        </w:rPr>
        <w:t xml:space="preserve"> </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LTI Grant does not constitute a public offering under the Securities Law, 1968.</w:t>
      </w:r>
    </w:p>
    <w:p>
      <w:pPr>
        <w:pStyle w:val="TextBody"/>
        <w:spacing w:before="0" w:after="0"/>
        <w:rPr/>
      </w:pPr>
      <w:r>
        <w:rPr/>
      </w:r>
    </w:p>
    <w:p>
      <w:pPr>
        <w:pStyle w:val="TextBody"/>
        <w:spacing w:lineRule="auto" w:line="288"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ITALY</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2"/>
        </w:rPr>
        <w:t>TERMS AND CONDITIONS</w:t>
      </w:r>
      <w:r>
        <w:rPr>
          <w:color w:val="00000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2"/>
        </w:rPr>
        <w:t>Plan Document Acknowledgment.</w:t>
      </w:r>
      <w:r>
        <w:rPr>
          <w:color w:val="000000"/>
        </w:rPr>
        <w:t xml:space="preserve"> </w:t>
      </w:r>
      <w:r>
        <w:rPr>
          <w:rFonts w:ascii="Times New Roman;sans-serif" w:hAnsi="Times New Roman;sans-serif"/>
          <w:b w:val="false"/>
          <w:color w:val="000000"/>
          <w:sz w:val="22"/>
        </w:rPr>
        <w:t>In accepting the grant of Deferred Stock Units, the Employee acknowledges that he or she has received a copy of the Plan and the Agreement and has reviewed the Plan and the Agreement, including this Appendix A, in their entirety and fully understands and accepts all provisions of the Plan and the Agreement, including this Appendix A.</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Employee further acknowledges that he or she has read and specifically and expressly approves the following paragraphs of the Global Deferred Stock Unit Agreement: paragraph 1 on Restrictions; paragraph 2 on Termination of Employment Before Vesting Date; paragraph 4 on Transfer Restrictions; paragraph 5 on Withholding Taxes; paragraph 6 on Death of Employee; paragraph 7 on Payment of Deferred Stock Units; paragraph 12 on Grant Confers No Rights to Continued Employment; paragraph 13 on the Nature of the Grant; paragraph 16 on Electronic Delivery and Acceptance; paragraph 17 on Language; paragraph 20 on Entire Agreement; Governing Law; paragraph 21 on Miscellaneous; paragraph 22 on Compliance With Law; paragraph 25 on Imposition of Other Requirements; paragraph 26 on Insider Trading/Market Abuse Laws; paragraph 29 on Waiver and the Data Privacy Notice in the European Union / European Economic Area section of this Appendix A.</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2"/>
        </w:rPr>
        <w:t>NOTIFICATIONS</w:t>
      </w:r>
      <w:r>
        <w:rPr>
          <w:color w:val="00000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2"/>
        </w:rPr>
        <w:t>Foreign Asset/Account Reporting Information.</w:t>
      </w:r>
      <w:r>
        <w:rPr>
          <w:color w:val="000000"/>
        </w:rPr>
        <w:t xml:space="preserve"> </w:t>
      </w:r>
      <w:r>
        <w:rPr>
          <w:rFonts w:ascii="Times New Roman;sans-serif" w:hAnsi="Times New Roman;sans-serif"/>
          <w:b w:val="false"/>
          <w:color w:val="000000"/>
          <w:sz w:val="22"/>
        </w:rPr>
        <w:t>Italian residents who, during the fiscal year,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Deferred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Deferred Stock Units), are beneficial owners of the investment pursuant to Italian money laundering provisions.</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2"/>
        </w:rPr>
        <w:t xml:space="preserve">Foreign Financial Assets Tax. </w:t>
      </w:r>
      <w:r>
        <w:rPr>
          <w:rFonts w:ascii="Times New Roman;sans-serif" w:hAnsi="Times New Roman;sans-serif"/>
          <w:b w:val="false"/>
          <w:color w:val="000000"/>
          <w:sz w:val="22"/>
        </w:rPr>
        <w:t>The fair market value of any shares of Common Stock held outside Italy</w:t>
      </w:r>
      <w:r>
        <w:rPr>
          <w:color w:val="000000"/>
        </w:rPr>
        <w:t xml:space="preserve"> </w:t>
      </w:r>
      <w:r>
        <w:rPr>
          <w:rFonts w:ascii="Times New Roman;sans-serif" w:hAnsi="Times New Roman;sans-serif"/>
          <w:b w:val="false"/>
          <w:color w:val="000000"/>
          <w:sz w:val="22"/>
        </w:rPr>
        <w:t>is subject to a foreign assets tax. The fair market value is considered to be the value of the shares of Common Stock on the Nasdaq Global Select Market on December 31 of each year or on the last day the Employee held the shares (in such case, or when the shares of Common Stock are acquired during the course of the year, the tax is levied in proportion to the actual days of holding over the calendar year). The Employee should consult with his or her personal tax advisor about the foreign financial assets tax.</w:t>
      </w:r>
    </w:p>
    <w:p>
      <w:pPr>
        <w:pStyle w:val="TextBody"/>
        <w:spacing w:before="0" w:after="0"/>
        <w:rPr/>
      </w:pPr>
      <w:r>
        <w:rPr/>
      </w:r>
    </w:p>
    <w:p>
      <w:pPr>
        <w:pStyle w:val="TextBody"/>
        <w:spacing w:lineRule="auto" w:line="288"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JAPAN</w:t>
      </w:r>
    </w:p>
    <w:p>
      <w:pPr>
        <w:pStyle w:val="TextBody"/>
        <w:spacing w:before="0" w:after="0"/>
        <w:rPr/>
      </w:pPr>
      <w:r>
        <w:rPr/>
      </w:r>
    </w:p>
    <w:p>
      <w:pPr>
        <w:pStyle w:val="TextBody"/>
        <w:spacing w:lineRule="auto" w:line="288"/>
        <w:rPr/>
      </w:pPr>
      <w:r>
        <w:rPr>
          <w:rFonts w:ascii="Times New Roman;sans-serif" w:hAnsi="Times New Roman;sans-serif"/>
          <w:b/>
          <w:i/>
          <w:color w:val="000000"/>
          <w:sz w:val="22"/>
        </w:rPr>
        <w:t>NOTIFICATIONS</w:t>
      </w:r>
      <w:r>
        <w:rPr>
          <w:color w:val="000000"/>
        </w:rPr>
        <w:t xml:space="preserv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will be required to report details of any assets held outside Japan as of December 31st (including any shares of Common Stock acquired under the Plan) to the extent such assets have a total net fair market value exceeding ¥50,000,000. Such report will be due by March 15th each year. The Employee should consult with his or her personal tax advisor as to whether the reporting obligation applies to the Employee and whether the Employee will be required to include details of any outstanding Deferred Stock Units, shares of Common Stock or cash held by the Employee in the report.</w:t>
      </w:r>
    </w:p>
    <w:p>
      <w:pPr>
        <w:pStyle w:val="TextBody"/>
        <w:spacing w:before="0" w:after="0"/>
        <w:rPr/>
      </w:pPr>
      <w:r>
        <w:rPr/>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KAZAKHSTAN</w:t>
      </w:r>
    </w:p>
    <w:p>
      <w:pPr>
        <w:pStyle w:val="TextBody"/>
        <w:spacing w:before="0" w:after="0"/>
        <w:rPr/>
      </w:pPr>
      <w:r>
        <w:rPr/>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0"/>
        <w:rPr/>
      </w:pPr>
      <w:r>
        <w:rPr>
          <w:rFonts w:ascii="Times New Roman;sans-serif" w:hAnsi="Times New Roman;sans-serif"/>
          <w:b/>
          <w:color w:val="000000"/>
          <w:sz w:val="22"/>
        </w:rPr>
        <w:t>Securities Law Notification</w:t>
      </w:r>
      <w:r>
        <w:rPr>
          <w:rFonts w:ascii="Times New Roman;sans-serif" w:hAnsi="Times New Roman;sans-serif"/>
          <w:b w:val="false"/>
          <w:color w:val="000000"/>
          <w:sz w:val="22"/>
        </w:rPr>
        <w:t>.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Residents of Kazakhstan may be required to notify the National Bank of Kazakhstan when they acquire shares of Common Stock under the Plan if the value of such shares of Common Stock exceeds US$100,000.</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Please note that the exchange control regulations in Kazakhstan are subject to change. The Employee should consult with their personal legal advisor regarding any exchange control obligations that the Employee may have prior to vesting in the Deferred Stock Units or receiving proceeds from the sale of shares of Common Stock acquired under the Plan. The Employee is responsible for ensuring compliance with all exchange control laws in Kazakhstan.</w:t>
      </w:r>
    </w:p>
    <w:p>
      <w:pPr>
        <w:pStyle w:val="TextBody"/>
        <w:spacing w:before="0" w:after="0"/>
        <w:rPr/>
      </w:pPr>
      <w:r>
        <w:rPr/>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KENYA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Tax Registration Notification</w:t>
      </w:r>
      <w:r>
        <w:rPr>
          <w:rFonts w:ascii="Times New Roman;sans-serif" w:hAnsi="Times New Roman;sans-serif"/>
          <w:b w:val="false"/>
          <w:color w:val="000000"/>
          <w:sz w:val="22"/>
        </w:rPr>
        <w:t xml:space="preserve">. Under Tax Procedure Act, 2015, the Employee is required to complete and submit a tax registration application to the Commissioner of Income Tax within 30 days of first vesting in the Deferred Stock Units. The registration should be completed through the online portal “I TAX” and is a one-time only registration. The Employee is solely responsible for ensuring compliance with all registration requirements in Kenya. </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LEBANON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Plan does not constitute the marketing or offering of securities in Lebanon pursuant to Law No. 161 (2011), the Capital Markets Law. Offerings under the Plan are being made only to eligible employees of the Mondelēz Group.</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LITHUANIA</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MALAYSIA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14 of the Agreement: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971"/>
        <w:gridCol w:w="1734"/>
        <w:gridCol w:w="1737"/>
        <w:gridCol w:w="1394"/>
        <w:gridCol w:w="1394"/>
        <w:gridCol w:w="1975"/>
      </w:tblGrid>
      <w:tr>
        <w:trPr/>
        <w:tc>
          <w:tcPr>
            <w:tcW w:w="1971" w:type="dxa"/>
            <w:tcBorders/>
            <w:shd w:fill="auto" w:val="clear"/>
            <w:vAlign w:val="center"/>
          </w:tcPr>
          <w:p>
            <w:pPr>
              <w:pStyle w:val="TableContents"/>
              <w:spacing w:before="0" w:after="283"/>
              <w:rPr>
                <w:sz w:val="4"/>
                <w:szCs w:val="4"/>
              </w:rPr>
            </w:pPr>
            <w:r>
              <w:rPr>
                <w:sz w:val="4"/>
                <w:szCs w:val="4"/>
              </w:rPr>
            </w:r>
          </w:p>
        </w:tc>
        <w:tc>
          <w:tcPr>
            <w:tcW w:w="1734" w:type="dxa"/>
            <w:tcBorders/>
            <w:shd w:fill="auto" w:val="clear"/>
            <w:vAlign w:val="center"/>
          </w:tcPr>
          <w:p>
            <w:pPr>
              <w:pStyle w:val="TableContents"/>
              <w:spacing w:before="0" w:after="283"/>
              <w:rPr>
                <w:sz w:val="4"/>
                <w:szCs w:val="4"/>
              </w:rPr>
            </w:pPr>
            <w:r>
              <w:rPr>
                <w:sz w:val="4"/>
                <w:szCs w:val="4"/>
              </w:rPr>
            </w:r>
          </w:p>
        </w:tc>
        <w:tc>
          <w:tcPr>
            <w:tcW w:w="1737"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1975" w:type="dxa"/>
            <w:tcBorders/>
            <w:shd w:fill="auto" w:val="clear"/>
            <w:vAlign w:val="center"/>
          </w:tcPr>
          <w:p>
            <w:pPr>
              <w:pStyle w:val="TableContents"/>
              <w:spacing w:before="0" w:after="283"/>
              <w:rPr>
                <w:sz w:val="4"/>
                <w:szCs w:val="4"/>
              </w:rPr>
            </w:pPr>
            <w:r>
              <w:rPr>
                <w:sz w:val="4"/>
                <w:szCs w:val="4"/>
              </w:rPr>
            </w:r>
          </w:p>
        </w:tc>
      </w:tr>
      <w:tr>
        <w:trPr/>
        <w:tc>
          <w:tcPr>
            <w:tcW w:w="5442" w:type="dxa"/>
            <w:gridSpan w:val="3"/>
            <w:tcBorders>
              <w:top w:val="dotted" w:sz="4" w:space="0" w:color="000000"/>
              <w:left w:val="dotted" w:sz="4" w:space="0" w:color="000000"/>
              <w:bottom w:val="dotted" w:sz="4" w:space="0" w:color="000000"/>
            </w:tcBorders>
            <w:shd w:fill="auto" w:val="clear"/>
            <w:tcMar>
              <w:top w:w="30" w:type="dxa"/>
              <w:bottom w:w="30" w:type="dxa"/>
              <w:right w:w="0" w:type="dxa"/>
            </w:tcMar>
            <w:vAlign w:val="center"/>
          </w:tcPr>
          <w:p>
            <w:pPr>
              <w:pStyle w:val="TableContents"/>
              <w:spacing w:lineRule="auto" w:line="240" w:before="0" w:after="240"/>
              <w:jc w:val="left"/>
              <w:rPr/>
            </w:pPr>
            <w:r>
              <w:rPr>
                <w:rFonts w:ascii="Times New Roman;sans-serif" w:hAnsi="Times New Roman;sans-serif"/>
                <w:b/>
                <w:i/>
                <w:color w:val="000000"/>
                <w:sz w:val="22"/>
              </w:rPr>
              <w:t>The Employee explicitly and unambiguously consents to the collection, use and transfer, in electronic or other form, of the Employee’s personal data as described in this Agreement and any other Deferred Stock Unit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xml:space="preserve">) by and among, as applicable, the Employer and the Mondelēz Group for the exclusive purpose of implementing, administering and managing the Employee’s participation in the Plan. The Data is supplied by the Employer and also by the Employee through information collected in connection with the Agreement and the Plan. </w:t>
            </w:r>
          </w:p>
          <w:p>
            <w:pPr>
              <w:pStyle w:val="TableContents"/>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The Employee understands that the Company and the Employer may hold certain personal information about the Employee, including, but not limited to, the Employee’s name, home address, email address and telephone number, date of birth, social insurance number, passport or other identification number, salary, nationality, job title, any shares of stock or directorships held in the Company, details of all Deferred Stock Units or any other entitlement to shares of stock awarded, canceled, exercised, vested, unvested or outstanding in the Employee’s favor, for the exclusive purpose of implementing, administering and managing the Plan.</w:t>
            </w:r>
          </w:p>
          <w:p>
            <w:pPr>
              <w:pStyle w:val="TableContents"/>
              <w:spacing w:lineRule="auto" w:line="240" w:before="0" w:after="240"/>
              <w:jc w:val="left"/>
              <w:rPr>
                <w:rFonts w:ascii="Times New Roman;sans-serif" w:hAnsi="Times New Roman;sans-serif"/>
                <w:b/>
                <w:i/>
                <w:color w:val="000000"/>
                <w:sz w:val="22"/>
              </w:rPr>
            </w:pPr>
            <w:r>
              <w:rPr>
                <w:rFonts w:ascii="Times New Roman;sans-serif" w:hAnsi="Times New Roman;sans-serif"/>
                <w:b/>
                <w:i/>
                <w:color w:val="000000"/>
                <w:sz w:val="22"/>
              </w:rPr>
              <w:t>The Employee understands that Data will be transferred to E*TRADE Financial Corporate Services Inc. (“E*TRADE”),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the Employee’s country. The Employee understands that the Employee may request a list with the names and addresses of any potential recipients of the Data by contacting the Employee’s local human resources representative at Mondelez Malaysia Sales Sdn Bhd, Lot 9.01 Level 9, 1 First Avenue, 2A, Dataran Bandar Utama, Bandar Utama Damasara, 47800 Petaling Jaya, Selangor, Malaysia. The Employee authorizes the Company, E*TRADE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he or she is providing the consents herein on a purely voluntary basis. If the Employee does not consent, or if the Employee later seeks to revoke his or her consent, his or her employment status or service and career with the Employer will not be adversely affected; the only consequence of refusing or withdrawing the Employee’s consent is that the Company would not be able to grant the Employee Deferred Stock Units or other equity awards or administer or maintain such awards. The Employee also understands that the Company has no obligation to substitute other forms of awards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his or her local human resources representative.</w:t>
            </w:r>
          </w:p>
        </w:tc>
        <w:tc>
          <w:tcPr>
            <w:tcW w:w="4763" w:type="dxa"/>
            <w:gridSpan w:val="3"/>
            <w:tcBorders>
              <w:top w:val="dotted" w:sz="4" w:space="0" w:color="000000"/>
              <w:left w:val="dotted" w:sz="4" w:space="0" w:color="000000"/>
              <w:bottom w:val="dotted" w:sz="4" w:space="0" w:color="000000"/>
              <w:right w:val="dotted" w:sz="4" w:space="0" w:color="000000"/>
            </w:tcBorders>
            <w:shd w:fill="auto" w:val="clear"/>
            <w:tcMar>
              <w:top w:w="30" w:type="dxa"/>
              <w:bottom w:w="30" w:type="dxa"/>
            </w:tcMar>
            <w:vAlign w:val="center"/>
          </w:tcPr>
          <w:p>
            <w:pPr>
              <w:pStyle w:val="TableContents"/>
              <w:spacing w:lineRule="auto" w:line="240" w:before="0" w:after="240"/>
              <w:jc w:val="both"/>
              <w:rPr/>
            </w:pPr>
            <w:r>
              <w:rPr>
                <w:rFonts w:ascii="Times New Roman;sans-serif" w:hAnsi="Times New Roman;sans-serif"/>
                <w:b/>
                <w:i/>
                <w:color w:val="000000"/>
                <w:sz w:val="22"/>
              </w:rPr>
              <w:t>Pekerja dengan ini secara eksplisit dan tanpa sebarang keraguan mengizinkan pengumpulan, penggunaan dan pemindahan, dalam bentuk elektronik atau lain-lain, data peribadi Pekerja seperti yang diterangkan dalam Perjanjian ini serta mana-mana bahan-bahan geran Unit Saham Tertunda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oleh dan di antara, seperti mana yang terpakai, Majikan serta Kumpulan Mondelez untuk tujuan ekslusif bagi melaksanakan, mentadbir dan menguruskan penyertaan Pekerja dalam Pelan. Data telah dibekalkan oleh pihak Majikan dan juga oleh Pekerja melalui informasi yang telah dikumpul berkaitan dengan Perjanjian dan Pelan.</w:t>
            </w:r>
          </w:p>
          <w:p>
            <w:pPr>
              <w:pStyle w:val="TableContents"/>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Pekerja memahami bahawa Syarikat dan Majikan mungkin memegang maklumat peribadi tertentu tentang Pekerja, termasuk, tetapi tidak terhad kepada, nama Pekerja, alamat rumah dan nombor telefon, almat emal, tarikh lahir, insurans sosial, nombor pasport atau pengenalan lain, gaji, kewarganegaraan, jawatan, apa-apa syer dalam Saham atau jawatan pengarah yang dipegang dalam Syarikat, maklumat berkaitan semua Unit Saham Tertunda atau apa-apa kelayakan lain untuk syer dalam saham yang dianugerahkan, dibatalkan, dilaksanakan, terletak hak, tidak diletak hak ataupun yang belum dijelaskan bagi faedah Pekerja, untuk tujuan eksklusif bagi melaksanakan, mentadbir dan menguruskan Pelan tersebut. </w:t>
            </w:r>
          </w:p>
          <w:p>
            <w:pPr>
              <w:pStyle w:val="TableContents"/>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 xml:space="preserve">Pekerja memahami bahawa Data tersebut akan dipindahkan ke E*TRADE Financial Corporate Services Inc. (“E*TRADE”) atau pembekal perkhidmatan pelan saham lain yang mungkin dipilih oleh Syarikat pada masa hadapan, yang membantu Syarikat melaksanakan, mentadbir dan menguruskan Pelan tersebut. Pekerja memahami bahawa Data juga mungkin dipindahkan kepada firma akauntansi awam berdaftar bebas Syarikat, PricewaterhouseCoopers LLP, atau firma akauntansi awam lain yang mungkin digunakan oleh Syarikat pada masa hadapan. Pekerja turut memahami bahawa penerima Data mungkin berada di Amerika Syarikat atau negara lain dan negara asal penerima Data (contohnya, Amerika Syarikat) mungkin mempunyai undang-undang data peribadi serta perlindungan yang berbeza daripada negara asal Pekerja. Pekerja memahami bahawa Pekerja boleh meminta satu senarai yang mengandungi nama dan alamat penerima-penerima Data yang berpotensi dengan menghubungi wakil sumber manusia tempatan Pekerja di Mondelez Malaysia Sales Sdn Bhd, Lot 9.01 Level 9, 1 First Avenue, 2A, Dataran Bandar Utama, Bandar Utama Damasara, 47800 Petaling Jaya, Selangor, Malaysia. </w:t>
            </w:r>
          </w:p>
          <w:p>
            <w:pPr>
              <w:pStyle w:val="TableContents"/>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Pekerjadengan ini membenarkan Syarikat, E*TRADE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Pekerja dalam Pelan. Pekerja memahami bahawa Data hanya akan disimpan untuk tempoh yang diperlukan untuk melaksana, mentadbir, dan mengurus penyertaan Pekerja dalam Pelan. Pekerja memahami bahawa Pekerja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Pekerja memahami bahawa Pekerja memberikan persetujuan di sini secara sukarela. Jikalau, Pekerja tidak bersetuju, atau sekiranaya Pekerja kemudiannya membatalkan persetujuannya, status pekerjaan atau perkhidmatan dan kerjaya Pekerja dengan Majikan tidak akan terjejas; satu-satunya akibat jika Pekerja tidak bersetuju atau menarik balik persetujuan Pekerja adalah bahawa Syarikat tidak akan dapat memberikan kepada Pekerja opsyen atau anugerah-anugerah ekuiti yang lain atau mentadbir atau mengekalkan anugerah tersebut. Pekerja turut memahami bahawa pihak Syarikat tidak mempunyai sebarang kewajiban untuk menggantikan bentuk anugerah yang lain atau memberikan sebarang bentuk kompensasi sebagai pengganti opsyen disebabkan keengganan atau penarikan balik persetujuan Pekerja. Oleh kerana itu, Pekerja memahami bahawa keengganan atau penarikan balik persetujuan Pekerja boleh menjejaskan keupayaan Pekerja untuk mengambil bahagian dalam Pelan. Untuk maklumat lanjut mengenai akibat keengganan Pekerja untuk memberikan keizinan atau penarikan balik keizinan, Pekerja memahami bahawa Pekerja boleh menghubungi wakil sumber manusia tempatannya.</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240"/>
        <w:rPr/>
      </w:pPr>
      <w:r>
        <w:rPr/>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Director Notification Obligation.</w:t>
      </w:r>
      <w:r>
        <w:rPr>
          <w:color w:val="000000"/>
        </w:rPr>
        <w:t xml:space="preserve"> </w:t>
      </w:r>
      <w:r>
        <w:rPr>
          <w:rFonts w:ascii="Times New Roman;sans-serif" w:hAnsi="Times New Roman;sans-serif"/>
          <w:b w:val="false"/>
          <w:color w:val="000000"/>
          <w:sz w:val="22"/>
        </w:rPr>
        <w:t>If the Employee is a director of the Company’s Malaysian subsidiary or affiliate, the Employee is subject to certain notification requirements under the Malaysian Companies Act. Among these requirements is an obligation to notify the Malaysian subsidiary or affiliate in writing when the Employee receives or disposes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Deferred Stock Units or shares of Common Stock) in the Company or any related company. Such notifications must be made within 14 days of receiving or disposing of any interest in the Company or any related company.</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MEXICO</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Labor Law Policy. </w:t>
      </w:r>
      <w:r>
        <w:rPr>
          <w:rFonts w:ascii="Times New Roman;sans-serif" w:hAnsi="Times New Roman;sans-serif"/>
          <w:b w:val="false"/>
          <w:color w:val="000000"/>
          <w:sz w:val="22"/>
        </w:rPr>
        <w:t>In accepting the grant of the Deferred Stock Units, the Employee expressly recognizes that Mondelēz International, Inc., with registered offices at 905 West Fulton Market, Suite 200, Chicago, Illinois 60607, U.S.A., is solely responsible for the administration of the Plan and that the Employee’s participation in the Plan and acquisition of shares of Common Stock do not constitute an employment relationship between the Employee and Mondelēz International, Inc. since the Employee is participating in the Plan on a wholly commercial basis and his or her sole Employer is Mondelēz México, S. de R.L. de C.V., located at Avenida Santa Fe 485, Piso 7, Colonia Cruz Manca, Mexico City, C.P. 05349 Mexico. Based on the foregoing, the Employee expressly recognizes that the Plan and the benefits that he or she may derive from participating in the Plan do not establish any rights between the Employee and the Employer, Mondelēz México, S. de R.L. de C.V., and do not form part of the employment conditions and/or benefits provided by Mondelēz México, S. de R.L. de C.V., and any modification of the Plan or its termination shall not constitute a change or impairment of the terms and conditions of the Employee’s employment.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Employee further understands that his or her participation in the Plan is as a result of a unilateral and discretionary decision of Mondelēz International, Inc.; therefore, Mondelēz International, Inc. reserves the absolute right to amend and/or discontinue the Employee’s participation at any time without any liability to the Employee.</w:t>
      </w:r>
    </w:p>
    <w:p>
      <w:pPr>
        <w:pStyle w:val="TextBody"/>
        <w:spacing w:lineRule="auto" w:line="240" w:before="0" w:after="240"/>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By accepting the Deferred Stock Units, the Employee acknowledges that he or she has received copies of the Plan, has reviewed the Plan and the Agreement in their entirety and fully understands and accepts all provisions of the Plan and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by accepting the Agreement, the Employee further acknowledges that he or she has read and specifically and expressly approves the terms and conditions in paragraph 13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Deferred Stock Units.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Finally, the Employee hereby declares that he or she does not reserve to him- or herself any action or right to bring any claim against Mondelēz International, Inc. for any compensation or damages regarding any provision of the Plan or the benefits derived under the Plan, and the Employee therefore grants a full and broad release to Mondelēz International, Inc., its affiliates, branches, representation offices, its shareholders, officers, agents or legal representatives with respect to any claim that may arise. </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 xml:space="preserve">TÉRMINOS Y CONDICIONES </w:t>
      </w:r>
    </w:p>
    <w:p>
      <w:pPr>
        <w:pStyle w:val="TextBody"/>
        <w:spacing w:lineRule="auto" w:line="240" w:before="0" w:after="240"/>
        <w:rPr/>
      </w:pPr>
      <w:r>
        <w:rPr>
          <w:rFonts w:ascii="Times New Roman;sans-serif" w:hAnsi="Times New Roman;sans-serif"/>
          <w:b/>
          <w:color w:val="000000"/>
          <w:sz w:val="22"/>
        </w:rPr>
        <w:t xml:space="preserve">Política Laboral y Reconocimiento/Aceptación. </w:t>
      </w:r>
      <w:r>
        <w:rPr>
          <w:rFonts w:ascii="Times New Roman;sans-serif" w:hAnsi="Times New Roman;sans-serif"/>
          <w:b w:val="false"/>
          <w:color w:val="000000"/>
          <w:sz w:val="22"/>
        </w:rPr>
        <w:t>Al</w:t>
      </w:r>
      <w:r>
        <w:rPr>
          <w:color w:val="000000"/>
        </w:rPr>
        <w:t xml:space="preserve"> </w:t>
      </w:r>
      <w:r>
        <w:rPr>
          <w:rFonts w:ascii="Times New Roman;sans-serif" w:hAnsi="Times New Roman;sans-serif"/>
          <w:b w:val="false"/>
          <w:color w:val="000000"/>
          <w:sz w:val="22"/>
        </w:rPr>
        <w:t xml:space="preserve">aceptar el otorgamiento de las Acciones Diferidas, el Empleado expresamente reconoce que Mondelēz International, Inc., con domicilio registrado ubicado en 905 West Fulton Market, Suite 200, Chicago, Illinois 60607, U.S.A., es la única responsable por la administración del Plan y que la participación del Empleado en el Plan y en su caso la adquisición de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Acciones no constituyen ni podrán interpretarse como una relación de trabajo entre el Empleado y Mondelēz International, Inc., ya que el Empleado participa en el Plan en un marco totalmente comercial y su único Patrón lo es Mondelēz México, S. de R.L. de C.V. con domicilio en Avenida Santa Fe 485, Piso 7, Colonia Cruz Manca, Mexico City, C.P. 05349 Mexico. Derivado de lo anterior, el Empleado expresamente reconoce que el Plan y los beneficios que pudieran derivar de la participación en el Plan no establecen derecho alguno entre el Empleado y el Patrón, Mondelēz México, S. de R.L. de C.V. y no forma parte de las condiciones de trabajo y/o las prestaciones otorgadas por Mondelēz México, S. de R.L. de C.V. y que cualquier modificación al Plan o su terminación no constituye un cambio o impedimento de los términos y condiciones de la relación de trabajo del Empleado.</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Asimismo, el Empleado reconoce que su participación en el Plan es resultado de una decisión unilateral y discrecional de Mondelēz International, Inc.; por lo tanto, Mondelēz International, Inc. se reserva el absoluto derecho de modificar y/o terminar la participación del Empleado en cualquier momento y sin responsabilidad alguna frente el Empleado.</w:t>
      </w:r>
    </w:p>
    <w:p>
      <w:pPr>
        <w:pStyle w:val="TextBody"/>
        <w:spacing w:lineRule="auto" w:line="240" w:before="0" w:after="240"/>
        <w:rPr/>
      </w:pPr>
      <w:r>
        <w:rPr>
          <w:rFonts w:ascii="Times New Roman;sans-serif" w:hAnsi="Times New Roman;sans-serif"/>
          <w:b/>
          <w:color w:val="000000"/>
          <w:sz w:val="22"/>
        </w:rPr>
        <w:t>Reconocimiento del Plan de Documentos</w:t>
      </w:r>
      <w:r>
        <w:rPr>
          <w:rFonts w:ascii="Times New Roman;sans-serif" w:hAnsi="Times New Roman;sans-serif"/>
          <w:b w:val="false"/>
          <w:color w:val="000000"/>
          <w:sz w:val="22"/>
        </w:rPr>
        <w:t>. Al</w:t>
      </w:r>
      <w:r>
        <w:rPr>
          <w:color w:val="000000"/>
        </w:rPr>
        <w:t xml:space="preserve"> </w:t>
      </w:r>
      <w:r>
        <w:rPr>
          <w:rFonts w:ascii="Times New Roman;sans-serif" w:hAnsi="Times New Roman;sans-serif"/>
          <w:b w:val="false"/>
          <w:color w:val="000000"/>
          <w:sz w:val="22"/>
        </w:rPr>
        <w:t>aceptar el otorgamiento de las Acciones Diferidas, el Empleado reconoce que ha recibido copias del Plan, que ha revisado el Plan y el Acuerdo en su totalidad y que entiende y acepta completamente todas las disposiciones contenidas en el Plan y en el Acuerdo.</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Adicionalmente, al aceptar el Acuerdo, el Empleado reconoce que ha leído y que aprueba específica y expresamente los términos y condiciones contenidos en el párrafo 13 del Acuerdo (“La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Mondelēz International, Inc. ni de cualqiuer Sociedad controlante, Subsidiaria o Filial son responsables por ninguna disminución en el valor de las Acciones subyacentes de las Acciones Diferidas.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Finalmente, el Empleado por este medio declara que no se reserve derecho o acción alguna que ejercitar en contra de Mondelēz International, Inc. por cualquier compensación o daño en relación con las disposiciones del Plan o de los beneficios derivados del Plan y por lo tanto, el Empleado otorga el más amplio finiquito que en derecho proceda a Mondelēz International, Inc., sus afiliadas, subsidiarias, oficinas de representación, sus accionistas, funcionarios, agentes o representantes legales en relación con cualquier demanda que pudiera surgir.</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Deferred Stock Units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Deferred Stock Units may not be publicly distributed in Mexico. These materials are addressed to the Employee only because of the Employee’s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MOROCCO</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Morocco shall be paid in cash in an amount equal to the value of the shares of Common Stock on the Vesting Date.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NETHERLANDS</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Miscellaneous. </w:t>
      </w:r>
      <w:r>
        <w:rPr>
          <w:rFonts w:ascii="Times New Roman;sans-serif" w:hAnsi="Times New Roman;sans-serif"/>
          <w:b w:val="false"/>
          <w:color w:val="000000"/>
          <w:sz w:val="22"/>
        </w:rPr>
        <w:t>The following provision replaces paragraph 21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pStyle w:val="TextBody"/>
        <w:spacing w:lineRule="auto" w:line="240" w:before="0" w:after="240"/>
        <w:rPr/>
      </w:pPr>
      <w:r>
        <w:rPr>
          <w:rFonts w:ascii="Times New Roman;sans-serif" w:hAnsi="Times New Roman;sans-serif"/>
          <w:b w:val="false"/>
          <w:color w:val="000000"/>
          <w:sz w:val="22"/>
        </w:rPr>
        <w:t>For purposes of this Agreement, (a)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procedures established by the Company for purposes of the Plan, and (b)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NEW ZEALAND</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WARNING: </w:t>
      </w:r>
      <w:r>
        <w:rPr>
          <w:rFonts w:ascii="Times New Roman;sans-serif" w:hAnsi="Times New Roman;sans-serif"/>
          <w:b w:val="false"/>
          <w:i/>
          <w:color w:val="000000"/>
          <w:sz w:val="22"/>
        </w:rPr>
        <w:t>The Employee is being offered Deferred Stock Units which allows the Employee to acquire shares of Common Stock in accordance with the terms of the Plan and the Agreement. The shares of Common Stock, if issued, give the Employee a stake in the ownership of the Company. The Employee may receive a return if dividends are paid.</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If the Company runs into financial difficulties and is wound up, the Employee will be paid only after all creditors and holders of preferred shares have been paid. The Employee may lose some or all of his or her investment.</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 xml:space="preserve">New Zealand law normally requires people who offer financial products to give information to investors before they invest. This information is designed to help investors to make an informed decision. </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 xml:space="preserve">The usual rules do not apply to this offer because it is made under an employee share purchase scheme. As a result, the Employee may not be given all the information usually required. The Employee will also have fewer other legal protections for this investment. </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The Employee understands that he or she should ask questions, read all documents carefully, and seek independent financial advice before participating in the Plan.</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The shares of Common Stock are quoted and approved for trading on the Nasdaq Global Select Market in the United States of America. This means that, if the Employee acquires shares of Common Stock under the Plan, the Employee may be able to sell his or her investment on the Nasdaq if there are interested buyers. The price will depend on the demand for the shares of Common Stock.</w:t>
      </w:r>
    </w:p>
    <w:p>
      <w:pPr>
        <w:pStyle w:val="TextBody"/>
        <w:spacing w:lineRule="auto" w:line="240"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 xml:space="preserve">For information on risk factors impacting the Company’s business that may affect the value of the shares of Common Stock, the Employee should refer to the risk factors discussion in the Company’s Annual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val="false"/>
          <w:i/>
          <w:color w:val="000000"/>
          <w:sz w:val="22"/>
        </w:rPr>
        <w:t xml:space="preserve">Report on Form 10-K and Quarterly Reports on Form 10-Q, which are filed with the U.S. Securities and Exchange Commission and are available online at </w:t>
      </w:r>
      <w:r>
        <w:rPr>
          <w:rFonts w:ascii="Times New Roman;sans-serif" w:hAnsi="Times New Roman;sans-serif"/>
          <w:b w:val="false"/>
          <w:i/>
          <w:color w:val="000000"/>
          <w:sz w:val="22"/>
          <w:u w:val="single"/>
        </w:rPr>
        <w:t>www.sec.gov</w:t>
      </w:r>
      <w:r>
        <w:rPr>
          <w:rFonts w:ascii="Times New Roman;sans-serif" w:hAnsi="Times New Roman;sans-serif"/>
          <w:b w:val="false"/>
          <w:i/>
          <w:color w:val="000000"/>
          <w:sz w:val="22"/>
        </w:rPr>
        <w:t xml:space="preserve">, as well as on the Company’s website at </w:t>
      </w:r>
      <w:r>
        <w:rPr>
          <w:rFonts w:ascii="Times New Roman;sans-serif" w:hAnsi="Times New Roman;sans-serif"/>
          <w:b w:val="false"/>
          <w:color w:val="000000"/>
          <w:sz w:val="22"/>
          <w:u w:val="single"/>
        </w:rPr>
        <w:t>http://ir.mondelezinternational.com/sec.cfm</w:t>
      </w:r>
      <w:r>
        <w:rPr>
          <w:rFonts w:ascii="Times New Roman;sans-serif" w:hAnsi="Times New Roman;sans-serif"/>
          <w:b w:val="false"/>
          <w:color w:val="000000"/>
          <w:sz w:val="22"/>
        </w:rPr>
        <w:t xml:space="preserve">. </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NIGERIA</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NORWAY</w:t>
      </w:r>
    </w:p>
    <w:p>
      <w:pPr>
        <w:pStyle w:val="TextBody"/>
        <w:spacing w:lineRule="auto" w:line="240" w:before="0" w:after="24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 general, Norwegian residents should not be subject to any foreign exchange requirements in connection with the acquisition or sale of shares of Common Stock under the Plan, except normal reporting requirements to the Norwegian Currency Registry. If the transfer of funds into or out of Norway is made through a Norwegian bank, the bank will make the registration.</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PAKISTAN</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is required immediately to repatriate to Pakistan the proceeds from the sale of any Common Stock acquired from participation in Plan, including the proceeds from the sale of Common Stock acquired upon vesting of the Deferred Stock Units. The proceeds must be converted into local currency and the receipt of proceeds must be reported to the State Bank of Pakistan (the “</w:t>
      </w:r>
      <w:r>
        <w:rPr>
          <w:rFonts w:ascii="Times New Roman;sans-serif" w:hAnsi="Times New Roman;sans-serif"/>
          <w:b w:val="false"/>
          <w:color w:val="000000"/>
          <w:sz w:val="22"/>
          <w:u w:val="single"/>
        </w:rPr>
        <w:t>SBP</w:t>
      </w:r>
      <w:r>
        <w:rPr>
          <w:color w:val="000000"/>
        </w:rPr>
        <w:t>”</w:t>
      </w:r>
      <w:r>
        <w:rPr>
          <w:rFonts w:ascii="Times New Roman;sans-serif" w:hAnsi="Times New Roman;sans-serif"/>
          <w:b w:val="false"/>
          <w:color w:val="000000"/>
          <w:sz w:val="22"/>
        </w:rPr>
        <w:t>) by filing a “Proceeds Realization Certificate” issued by the bank converting the proceeds with the SBP. The repatriated amounts cannot be credited to a foreign currency account. The Employee should consult his or her personal advisor prior to repatriation of the sale proceeds to ensure compliance with applicable exchange control regulations in Pakistan, as such regulations are subject to frequent change. The Employee is responsible for ensuring compliance with all exchange control laws in Pakistan.</w:t>
      </w:r>
    </w:p>
    <w:p>
      <w:pPr>
        <w:pStyle w:val="TextBody"/>
        <w:spacing w:lineRule="auto" w:line="240"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PANAMA</w:t>
      </w:r>
    </w:p>
    <w:p>
      <w:pPr>
        <w:pStyle w:val="TextBody"/>
        <w:spacing w:before="0" w:after="0"/>
        <w:rPr/>
      </w:pPr>
      <w:r>
        <w:rPr/>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4"/>
        </w:rPr>
        <w:t xml:space="preserve">Neither the Deferred Stock Units nor any shares of Common Stock that the Employee may acquire at vesting of the Deferred Stock Units constitute a public offering of securities, as they are available only to eligible employees of the </w:t>
      </w:r>
      <w:r>
        <w:rPr>
          <w:rFonts w:ascii="Times New Roman;sans-serif" w:hAnsi="Times New Roman;sans-serif"/>
          <w:b w:val="false"/>
          <w:color w:val="000000"/>
          <w:sz w:val="22"/>
        </w:rPr>
        <w:t>Mondelēz Group</w:t>
      </w:r>
      <w:r>
        <w:rPr>
          <w:rFonts w:ascii="Times New Roman;sans-serif" w:hAnsi="Times New Roman;sans-serif"/>
          <w:b w:val="false"/>
          <w:color w:val="000000"/>
          <w:sz w:val="24"/>
        </w:rPr>
        <w:t>.</w:t>
      </w:r>
    </w:p>
    <w:p>
      <w:pPr>
        <w:pStyle w:val="TextBody"/>
        <w:spacing w:before="0" w:after="0"/>
        <w:rPr/>
      </w:pPr>
      <w:r>
        <w:rPr/>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PERU</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jc w:val="both"/>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 contained in paragraph 13 of the Agreement:</w:t>
      </w:r>
    </w:p>
    <w:p>
      <w:pPr>
        <w:pStyle w:val="TextBody"/>
        <w:spacing w:lineRule="auto" w:line="240" w:before="0" w:after="240"/>
        <w:rPr/>
      </w:pPr>
      <w:r>
        <w:rPr>
          <w:rFonts w:ascii="Times New Roman;sans-serif" w:hAnsi="Times New Roman;sans-serif"/>
          <w:b w:val="false"/>
          <w:color w:val="000000"/>
          <w:sz w:val="22"/>
        </w:rPr>
        <w:t xml:space="preserve">By accepting the Deferred Stock Units, the Employee acknowledges, understands and agrees that the Deferred Stock Units are being granted </w:t>
      </w:r>
      <w:r>
        <w:rPr>
          <w:rFonts w:ascii="Times New Roman;sans-serif" w:hAnsi="Times New Roman;sans-serif"/>
          <w:b w:val="false"/>
          <w:i/>
          <w:color w:val="000000"/>
          <w:sz w:val="22"/>
        </w:rPr>
        <w:t>ex gratia</w:t>
      </w:r>
      <w:r>
        <w:rPr>
          <w:color w:val="000000"/>
        </w:rPr>
        <w:t xml:space="preserve"> </w:t>
      </w:r>
      <w:r>
        <w:rPr>
          <w:rFonts w:ascii="Times New Roman;sans-serif" w:hAnsi="Times New Roman;sans-serif"/>
          <w:b w:val="false"/>
          <w:color w:val="000000"/>
          <w:sz w:val="22"/>
        </w:rPr>
        <w:t>to the Employee.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The grant of Deferred Stock Units is considered a private offering in Peru; therefore, it is not subject to registration. For more information concerning this offer, the Employee should refer to the Plan, the Agreement and any other grant documents made available by the Company. For more information regarding the Company, the Employee may refer to the Company’s most recent annual report on Form 10-K and quarterly report on Form 10-Q available at </w:t>
      </w:r>
      <w:r>
        <w:rPr>
          <w:rFonts w:ascii="Times New Roman;sans-serif" w:hAnsi="Times New Roman;sans-serif"/>
          <w:b w:val="false"/>
          <w:color w:val="000000"/>
          <w:sz w:val="22"/>
          <w:u w:val="single"/>
        </w:rPr>
        <w:t>www.sec.gov</w:t>
      </w:r>
      <w:r>
        <w:rPr>
          <w:rFonts w:ascii="Times New Roman;sans-serif" w:hAnsi="Times New Roman;sans-serif"/>
          <w:b w:val="false"/>
          <w:color w:val="000000"/>
          <w:sz w:val="22"/>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PHILIPPINES</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the Philippines shall be paid in cash in an amount equal to the value of the shares of Common Stock on the Vesting Date.</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POLAND</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Polish residents who maintain bank or brokerage accounts holding cash and foreign securities (including 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pStyle w:val="TextBody"/>
        <w:spacing w:lineRule="auto" w:line="240" w:before="100" w:after="240"/>
        <w:rPr>
          <w:rFonts w:ascii="Times New Roman;sans-serif" w:hAnsi="Times New Roman;sans-serif"/>
          <w:b/>
          <w:color w:val="000000"/>
          <w:sz w:val="22"/>
          <w:u w:val="single"/>
        </w:rPr>
      </w:pPr>
      <w:r>
        <w:rPr>
          <w:rFonts w:ascii="Times New Roman;sans-serif" w:hAnsi="Times New Roman;sans-serif"/>
          <w:b/>
          <w:color w:val="000000"/>
          <w:sz w:val="22"/>
          <w:u w:val="single"/>
        </w:rPr>
        <w:t>PORTUGAL</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Language Consent. </w:t>
      </w:r>
      <w:r>
        <w:rPr>
          <w:rFonts w:ascii="Times New Roman;sans-serif" w:hAnsi="Times New Roman;sans-serif"/>
          <w:b w:val="false"/>
          <w:color w:val="000000"/>
          <w:sz w:val="22"/>
        </w:rPr>
        <w:t>The Employee hereby expressly declares that he or she has full knowledge of the English language and has read, understood and fully accepted and agreed with the terms and conditions established in the Plan and the Agreement.</w:t>
      </w:r>
    </w:p>
    <w:p>
      <w:pPr>
        <w:pStyle w:val="TextBody"/>
        <w:spacing w:lineRule="auto" w:line="240" w:before="0" w:after="240"/>
        <w:rPr/>
      </w:pPr>
      <w:r>
        <w:rPr>
          <w:rFonts w:ascii="Times New Roman;sans-serif" w:hAnsi="Times New Roman;sans-serif"/>
          <w:b/>
          <w:i/>
          <w:color w:val="000000"/>
          <w:sz w:val="22"/>
        </w:rPr>
        <w:t xml:space="preserve">Conhecimento da Lingua. </w:t>
      </w:r>
      <w:r>
        <w:rPr>
          <w:rFonts w:ascii="Times New Roman;sans-serif" w:hAnsi="Times New Roman;sans-serif"/>
          <w:b w:val="false"/>
          <w:i/>
          <w:color w:val="000000"/>
          <w:sz w:val="22"/>
        </w:rPr>
        <w:t>O Contratado, pelo presente instrumento, declara expressamente que tem pleno conhecimento da língua inglesa e que leu, compreendeu e livremente aceitou e concordou com os termos e condições estabelecidas no Plano e no Acordo de Atribuição (“Agreement” em inglês)</w:t>
      </w:r>
      <w:r>
        <w:rPr>
          <w:rFonts w:ascii="Times New Roman;sans-serif" w:hAnsi="Times New Roman;sans-serif"/>
          <w:b w:val="false"/>
          <w:color w:val="000000"/>
          <w:sz w:val="22"/>
        </w:rPr>
        <w:t xml:space="preserve">. </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Employee acquires shares of Common Stock under the Plan and does not hold the shares of Common Stock with a Portuguese financial intermediary, he or she may need to file a report with the Portuguese Central Bank. If the shares of Common Stock are held by a Portuguese financial intermediary, it will file the report for the Employee.</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PUERTO RICO</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ROMANIA</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If the Employee deposits proceeds from the sale of Common Stock in a bank account in Romania, the Employee may be required to provide the Romanian bank assisting with the transaction with appropriate documentation explaining the source of the income. The Employee should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consult with a personal legal advisor to determine whether the Employee will be required to submit such documentation to the Romanian bank.</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RUSSIA</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This Agreement, the Plan and all other materials that the Employee may receive concerning the Deferred Stock Units and the Employee’s participation in the Plan do not constitute advertising or an offering of securities in Russia. The Common Stock to be issued upon the vesting of the Deferred Stock Units has not and will not be registered in Russia and, therefore, the Common Stock described in any Plan documents may not be offered or placed in public circulation in Russia. In no event will Common Stock to be issued upon the vesting of the Deferred Stock Units be delivered to the Employee in Russia. All Common Stock acquired under the Plan will be maintained on the Employee’s behalf outside of Russia. The Employee will not be permitted to sell Common Stock directly to a Russian legal entity or resident.</w:t>
      </w:r>
    </w:p>
    <w:p>
      <w:pPr>
        <w:pStyle w:val="TextBody"/>
        <w:spacing w:lineRule="auto" w:line="240" w:before="0" w:after="240"/>
        <w:rPr/>
      </w:pPr>
      <w:r>
        <w:rPr>
          <w:rFonts w:ascii="Times New Roman;sans-serif" w:hAnsi="Times New Roman;sans-serif"/>
          <w:b/>
          <w:color w:val="000000"/>
          <w:sz w:val="22"/>
        </w:rPr>
        <w:t>Settlement of Deferred Stock Units and Sale of Shares.</w:t>
      </w:r>
      <w:r>
        <w:rPr>
          <w:color w:val="000000"/>
        </w:rPr>
        <w:t xml:space="preserve"> </w:t>
      </w:r>
      <w:r>
        <w:rPr>
          <w:rFonts w:ascii="Times New Roman;sans-serif" w:hAnsi="Times New Roman;sans-serif"/>
          <w:b w:val="false"/>
          <w:color w:val="000000"/>
          <w:sz w:val="22"/>
        </w:rPr>
        <w:t>The Employee understands that no shares of Common Stock will be issued upon vesting of the Deferred Stock Units if the Company, in its sole discretion, determines that such issuance would not comply with applicable laws and regulations in Russia.</w:t>
      </w:r>
      <w:r>
        <w:rPr>
          <w:color w:val="000000"/>
        </w:rPr>
        <w:t xml:space="preserve"> </w:t>
      </w:r>
      <w:r>
        <w:rPr>
          <w:rFonts w:ascii="Times New Roman;sans-serif" w:hAnsi="Times New Roman;sans-serif"/>
          <w:b w:val="false"/>
          <w:color w:val="000000"/>
          <w:sz w:val="22"/>
        </w:rPr>
        <w:t>Notwithstanding anything to the contrary in the Agreement, depending on the development of local regulatory requirements, the 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Upon any such sale of the shares, the proceeds, less any Tax-Related Items and broker’s fees or commissions, will be remitted to the Employee in accordance with any applicable exchange control laws and regulations.</w:t>
      </w:r>
    </w:p>
    <w:p>
      <w:pPr>
        <w:pStyle w:val="TextBody"/>
        <w:spacing w:lineRule="auto" w:line="240" w:before="0" w:after="240"/>
        <w:rPr/>
      </w:pPr>
      <w:r>
        <w:rPr>
          <w:rFonts w:ascii="Times New Roman;sans-serif" w:hAnsi="Times New Roman;sans-serif"/>
          <w:b/>
          <w:color w:val="000000"/>
          <w:sz w:val="22"/>
        </w:rPr>
        <w:t>Data Privacy.</w:t>
      </w:r>
      <w:r>
        <w:rPr>
          <w:color w:val="000000"/>
        </w:rPr>
        <w:t xml:space="preserve"> </w:t>
      </w:r>
      <w:r>
        <w:rPr>
          <w:rFonts w:ascii="Times New Roman;sans-serif" w:hAnsi="Times New Roman;sans-serif"/>
          <w:b w:val="false"/>
          <w:color w:val="000000"/>
          <w:sz w:val="22"/>
        </w:rPr>
        <w:t>The following provision supplements paragraph 14 of the Agreement:</w:t>
      </w:r>
    </w:p>
    <w:p>
      <w:pPr>
        <w:pStyle w:val="TextBody"/>
        <w:spacing w:lineRule="auto" w:line="240" w:before="0" w:after="240"/>
        <w:rPr/>
      </w:pPr>
      <w:r>
        <w:rPr>
          <w:rFonts w:ascii="Times New Roman;sans-serif" w:hAnsi="Times New Roman;sans-serif"/>
          <w:b w:val="false"/>
          <w:color w:val="000000"/>
          <w:sz w:val="22"/>
        </w:rPr>
        <w:t>The Employee understands and agrees that he or she must complete and return a Consent to Processing of Personal Data (the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form to the Company. Further, the Employee understands and agrees that if the Employee does not complete and return a Consent form to the Company, the Company will not be able to grant Deferred Stock Units to the Employee or other Grants or administer or maintain such Grants. Finally, the Employee understands that the Company has no obligation to substitute other forms of Grants or compensation in lieu of the Deferred Stock Units if the Employee fails to complete and return the Consent. Therefore, the Employee understands that refusing to complete a Consent form or withdrawing his or her consent may affect the Employee’s ability to participate in the Plan.</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is responsible for complying with any and all Russian foreign exchange control requirements in connection with the Deferred Stock Units, any shares of Common Stock acquired and funds remitted into Russia in connection with the Plan. This may include, in certain circumstances, reporting and repatriation requirements. The foreign exchange control rules and regulations in Russia are subject to frequent change. The Employee should contact their personal advisor to determine applicability of all repatriation, remittance or other exchange control requirements to ensure compliance with all applicable exchange control requirements prior to vesting in the Deferred Stock Units and/or selling shares of Common Stock.</w:t>
      </w:r>
    </w:p>
    <w:p>
      <w:pPr>
        <w:pStyle w:val="TextBody"/>
        <w:spacing w:lineRule="auto" w:line="240" w:before="0" w:after="240"/>
        <w:rPr/>
      </w:pPr>
      <w:r>
        <w:rPr>
          <w:rFonts w:ascii="Times New Roman;sans-serif" w:hAnsi="Times New Roman;sans-serif"/>
          <w:b/>
          <w:color w:val="000000"/>
          <w:sz w:val="22"/>
        </w:rPr>
        <w:t>Labor Law Information.</w:t>
      </w:r>
      <w:r>
        <w:rPr>
          <w:color w:val="000000"/>
        </w:rPr>
        <w:t xml:space="preserve"> </w:t>
      </w:r>
      <w:r>
        <w:rPr>
          <w:rFonts w:ascii="Times New Roman;sans-serif" w:hAnsi="Times New Roman;sans-serif"/>
          <w:b w:val="false"/>
          <w:color w:val="000000"/>
          <w:sz w:val="22"/>
        </w:rPr>
        <w:t>If the Employee continues to hold shares of Common Stock acquired at vesting of Deferred Stock Units after an involuntary termination of employment, the Employee will not be eligible to receive unemployment benefits in Russia.</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Russian residents are required to report the opening, closing or change of details of any 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assets (including Common Stock) transactions in offshore accounts. </w:t>
      </w:r>
      <w:r>
        <w:rPr>
          <w:rFonts w:ascii="Times New Roman;sans-serif" w:hAnsi="Times New Roman;sans-serif"/>
          <w:b w:val="false"/>
          <w:color w:val="000000"/>
          <w:sz w:val="22"/>
          <w:highlight w:val="white"/>
        </w:rPr>
        <w:t xml:space="preserve">Non-compliance with the reporting obligations could impact the </w:t>
      </w:r>
      <w:r>
        <w:rPr>
          <w:rFonts w:ascii="Times New Roman;sans-serif" w:hAnsi="Times New Roman;sans-serif"/>
          <w:b w:val="false"/>
          <w:color w:val="000000"/>
          <w:sz w:val="22"/>
        </w:rPr>
        <w:t>Employee’s</w:t>
      </w:r>
      <w:r>
        <w:rPr>
          <w:color w:val="000000"/>
          <w:highlight w:val="white"/>
        </w:rPr>
        <w:t xml:space="preserve"> </w:t>
      </w:r>
      <w:r>
        <w:rPr>
          <w:rFonts w:ascii="Times New Roman;sans-serif" w:hAnsi="Times New Roman;sans-serif"/>
          <w:b w:val="false"/>
          <w:color w:val="000000"/>
          <w:sz w:val="22"/>
          <w:highlight w:val="white"/>
        </w:rPr>
        <w:t xml:space="preserve">ability to vest, receive shares of Common Stock pursuant to </w:t>
      </w:r>
      <w:r>
        <w:rPr>
          <w:rFonts w:ascii="Times New Roman;sans-serif" w:hAnsi="Times New Roman;sans-serif"/>
          <w:b w:val="false"/>
          <w:color w:val="000000"/>
          <w:sz w:val="22"/>
        </w:rPr>
        <w:t>Deferred Stock Units</w:t>
      </w:r>
      <w:r>
        <w:rPr>
          <w:rFonts w:ascii="Times New Roman;sans-serif" w:hAnsi="Times New Roman;sans-serif"/>
          <w:b w:val="false"/>
          <w:color w:val="000000"/>
          <w:sz w:val="22"/>
          <w:highlight w:val="white"/>
        </w:rPr>
        <w:t xml:space="preserve">, maintain the account outside of Russia and participate in the Plan. </w:t>
      </w:r>
      <w:r>
        <w:rPr>
          <w:rFonts w:ascii="Times New Roman;sans-serif" w:hAnsi="Times New Roman;sans-serif"/>
          <w:b w:val="false"/>
          <w:color w:val="000000"/>
          <w:sz w:val="22"/>
        </w:rPr>
        <w:t>The Employee should consult with their personal legal advisor to determine the applicability of these reporting requirements to any brokerage account opened in connection with participation in the Plan.</w:t>
      </w:r>
    </w:p>
    <w:p>
      <w:pPr>
        <w:pStyle w:val="TextBody"/>
        <w:spacing w:lineRule="auto" w:line="240" w:before="0" w:after="240"/>
        <w:rPr/>
      </w:pPr>
      <w:r>
        <w:rPr>
          <w:rFonts w:ascii="Times New Roman;sans-serif" w:hAnsi="Times New Roman;sans-serif"/>
          <w:b/>
          <w:color w:val="000000"/>
          <w:sz w:val="22"/>
        </w:rPr>
        <w:t>Anti-Corruption Information</w:t>
      </w:r>
      <w:r>
        <w:rPr>
          <w:rFonts w:ascii="Times New Roman;sans-serif" w:hAnsi="Times New Roman;sans-serif"/>
          <w:b w:val="false"/>
          <w:color w:val="000000"/>
          <w:sz w:val="22"/>
        </w:rPr>
        <w:t>. Anti-corruption laws prohibit certain public servants, their spouses and their dependent children from owning any foreign source financial instruments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foreign companies such as the Company). Accordingly, the Employee should inform the Company if the Employee is covered by these laws because the Employee should not hold shares of Common Stock acquired under the Plan.</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SAUDI ARABIA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Deferred Stock Units Payable Only in Cash</w:t>
      </w:r>
      <w:r>
        <w:rPr>
          <w:rFonts w:ascii="Times New Roman;sans-serif" w:hAnsi="Times New Roman;sans-serif"/>
          <w:b w:val="false"/>
          <w:color w:val="000000"/>
          <w:sz w:val="22"/>
        </w:rPr>
        <w:t>. 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Saudi Arabia shall be paid in cash in an amount equal to the value of the shares of Common Stock on the Vesting Date less any Tax-Related Items.</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jc w:val="both"/>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This document may not be distributed in the Kingdom of Saudi Arabia except to such persons as are permitted (</w:t>
      </w:r>
      <w:r>
        <w:rPr>
          <w:rFonts w:ascii="Times New Roman;sans-serif" w:hAnsi="Times New Roman;sans-serif"/>
          <w:b w:val="false"/>
          <w:i/>
          <w:color w:val="000000"/>
          <w:sz w:val="22"/>
        </w:rPr>
        <w:t>e.g.</w:t>
      </w:r>
      <w:r>
        <w:rPr>
          <w:rFonts w:ascii="Times New Roman;sans-serif" w:hAnsi="Times New Roman;sans-serif"/>
          <w:b w:val="false"/>
          <w:color w:val="000000"/>
          <w:sz w:val="22"/>
        </w:rPr>
        <w:t>, Employees) under the Offer of Securities Regulations and Continuing Obligations issued by the Capital Market Authority.</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Employee does not understand the contents of this document he or she should consult an authorized financial advisor.</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SERBIA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Pursuant to the Law on Foreign Exchange Transactions, the Employee is permitted to acquire shares of Common Stock under the Plan and hold the shares and any proceeds from the sale of shares of Common Stock in a U.S. brokerage account or other foreign brokerage account. However, the Employee needs permission from the National Bank of Serbia to hold any proceeds from the sale of shares of Common Stock in an offshore bank account. Because the exchange control regulations in Serbia may change without notice, the Employee should consult with his or her personal advisor to ensure compliance with applicable exchange control laws. </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SINGAPORE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 xml:space="preserve">Sale Restriction. </w:t>
      </w:r>
      <w:r>
        <w:rPr>
          <w:rFonts w:ascii="Times New Roman;sans-serif" w:hAnsi="Times New Roman;sans-serif"/>
          <w:b w:val="false"/>
          <w:color w:val="000000"/>
          <w:sz w:val="22"/>
        </w:rPr>
        <w:t>The Employee agrees that any shares of Common Stock acquired pursuant to the Deferred Stock Units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 xml:space="preserve">The grant of Deferred Stock Units is being made pursuant to the “Qualifying Person” exemption under section 273(1)(f) of the SFA and is not made to the Employee with a view to the Deferred Stock Units being subsequently offered for sale to any other party. The Plan has not been lodged or registered as a prospectus with the Monetary Authority of Singapore. </w:t>
      </w:r>
    </w:p>
    <w:p>
      <w:pPr>
        <w:pStyle w:val="TextBody"/>
        <w:spacing w:lineRule="auto" w:line="240" w:before="0" w:after="240"/>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The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Deferred Stock Units, shares of Common Stock, etc.) in the Company or any related companies within two business days of (i) its acquisition or disposal, (ii) any change in a previously disclosed interest (</w:t>
      </w:r>
      <w:r>
        <w:rPr>
          <w:rFonts w:ascii="Times New Roman;sans-serif" w:hAnsi="Times New Roman;sans-serif"/>
          <w:b w:val="false"/>
          <w:i/>
          <w:color w:val="000000"/>
          <w:sz w:val="22"/>
        </w:rPr>
        <w:t>e.g.,</w:t>
      </w:r>
      <w:r>
        <w:rPr>
          <w:color w:val="000000"/>
        </w:rPr>
        <w:t xml:space="preserve"> </w:t>
      </w:r>
      <w:r>
        <w:rPr>
          <w:rFonts w:ascii="Times New Roman;sans-serif" w:hAnsi="Times New Roman;sans-serif"/>
          <w:b w:val="false"/>
          <w:color w:val="000000"/>
          <w:sz w:val="22"/>
        </w:rPr>
        <w:t>when the shares of Common Stock are sold), or (iii) becoming a director, associate director or shadow director. If the Employee is the chief executive officer (“CEO”) of a Singapore subsidiary or affiliate and the above notification requirements are determined to apply to the CEO of a Singapore subsidiary or affiliate, the above notification requirements also may apply to the Employee.</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SLOVAK REPUBLIC</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SLOVENIA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Slovenian residents may be required to report the opening of bank and/or brokerage accounts to tax authorities within eight (8) days of opening such account. The Employee should consult with his or her personal tax advisor to determine whether this requirement will be applicable to any accounts opened in connection with the Employee’s participation in the Plan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Employee’s brokerage account with the Company’s designated broker).</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SOUTH AFRICA</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Securities Law Notice</w:t>
      </w:r>
      <w:r>
        <w:rPr>
          <w:rFonts w:ascii="Times New Roman;sans-serif" w:hAnsi="Times New Roman;sans-serif"/>
          <w:b w:val="false"/>
          <w:color w:val="000000"/>
          <w:sz w:val="22"/>
        </w:rPr>
        <w:t>. In compliance with South African Securities Law, the documents listed below are available for the Employee’s review on the Company’s public site or intranet site, as applicable, as listed below:</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1.The Company’s most recent Annual Report (Form 10-K): from the investor relations section of the Company’s website at http://www.mondelezinternational.com/investors.</w:t>
      </w:r>
    </w:p>
    <w:p>
      <w:pPr>
        <w:pStyle w:val="TextBody"/>
        <w:spacing w:lineRule="auto" w:line="240"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 xml:space="preserve">2.The Company’s most recent Plan prospectus: a copy of which can be found on the Company’s Intranet site located at: https://intranet.mdlz.com/sites/globalhr/comp/Pages/Legal-Documents.aspx.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 xml:space="preserve">The following provision supplements paragraph 5 of the Agreement: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By accepting the Deferred Stock Units, the Employee understands and acknowledges that he or she is required to notify the Employer of the amount of any gain realized upon vesting of the Deferred Stock Units.</w:t>
      </w:r>
    </w:p>
    <w:p>
      <w:pPr>
        <w:pStyle w:val="TextBody"/>
        <w:spacing w:lineRule="auto" w:line="240" w:before="0" w:after="240"/>
        <w:rPr/>
      </w:pPr>
      <w:r>
        <w:rPr>
          <w:rFonts w:ascii="Times New Roman;sans-serif" w:hAnsi="Times New Roman;sans-serif"/>
          <w:b/>
          <w:color w:val="000000"/>
          <w:sz w:val="22"/>
        </w:rPr>
        <w:t xml:space="preserve">Exchange Control Obligations. </w:t>
      </w:r>
      <w:r>
        <w:rPr>
          <w:rFonts w:ascii="Times New Roman;sans-serif" w:hAnsi="Times New Roman;sans-serif"/>
          <w:b w:val="false"/>
          <w:color w:val="000000"/>
          <w:sz w:val="22"/>
        </w:rPr>
        <w:t>The Employee is solely responsible for complying with applicable South African exchange control regulations. Since the exchange control regulations change frequently and without notice, the Employee should consult his or her legal advisor prior to the acquisition or sale of the shares of Common Stock under the Plan to ensure compliance with current regulations. As noted, it is the Employee’s responsibility to comply with South African exchange control laws, and neither the Company nor the Employer will be liable for any fines or penalties resulting from failure to comply with applicable laws.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SOUTH KOREA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South Korean residents must declare all foreign financial accounts (</w:t>
      </w:r>
      <w:r>
        <w:rPr>
          <w:rFonts w:ascii="Times New Roman;sans-serif" w:hAnsi="Times New Roman;sans-serif"/>
          <w:b w:val="false"/>
          <w:i/>
          <w:color w:val="000000"/>
          <w:sz w:val="22"/>
        </w:rPr>
        <w:t>e.g.</w:t>
      </w:r>
      <w:r>
        <w:rPr>
          <w:rFonts w:ascii="Times New Roman;sans-serif" w:hAnsi="Times New Roman;sans-serif"/>
          <w:b w:val="false"/>
          <w:color w:val="000000"/>
          <w:sz w:val="22"/>
        </w:rPr>
        <w:t>, non-South Korean bank accounts, brokerage accounts, etc.) to the South Korean tax authority and file a report with respect to such accounts if the value of such accounts exceeds KRW 500 million (or an equivalent amount in foreign currency) on any month-end date during a calendar year. The Employee should consult with his or her personal tax advisor to determine how to value the Employee’s foreign accounts for purposes of this reporting requirement and whether the Employee is required to file a report with respect to such accounts.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SPAIN</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Nature of Grant. </w:t>
      </w:r>
      <w:r>
        <w:rPr>
          <w:rFonts w:ascii="Times New Roman;sans-serif" w:hAnsi="Times New Roman;sans-serif"/>
          <w:b w:val="false"/>
          <w:color w:val="000000"/>
          <w:sz w:val="22"/>
        </w:rPr>
        <w:t>The following provision supplements paragraph 13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accepting the Deferred Stock Units, the Employee consents to participation in the Plan and acknowledges that he or she has received a copy of the Plan.</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The Employee understands and agrees that, as a condition of the grant of the Deferred Stock Units, except as provided for in paragraph 2 of the Agreement, the termination of the Employee’s employment for any reason (including for the reasons listed below) will automatically result in the loss of the Deferred Stock Units that may have been granted to the Employee and that have not vested on the date of termination. </w:t>
      </w:r>
    </w:p>
    <w:p>
      <w:pPr>
        <w:pStyle w:val="TextBody"/>
        <w:spacing w:lineRule="auto" w:line="240" w:before="0" w:after="240"/>
        <w:rPr/>
      </w:pPr>
      <w:r>
        <w:rPr>
          <w:rFonts w:ascii="Times New Roman;sans-serif" w:hAnsi="Times New Roman;sans-serif"/>
          <w:b w:val="false"/>
          <w:color w:val="000000"/>
          <w:sz w:val="22"/>
        </w:rPr>
        <w:t>In particular, the Employee understands and agrees that any unvested Deferred Stock Units as of Employee’s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xml:space="preserve">.,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Furthermore, the Employee understands that the Company has unilaterally, gratuitously and discretionally decided to grant the Deferred Stock Units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Employee understands that the Deferred Stock Units are granted on the assumption and condition that the Deferred Stock Units and the shares of Common Stock issued upon vesting shall not become a part of any employment or contract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(with the Mondelēz Group, including the Employer) and shall not be considered a mandatory benefit, salary for any purposes (including severance compensation) or any other right whatsoever. Furthermore, the Employee understands and freely accepts that there is no guarantee that any benefit whatsoever will arise from the Deferred Stock Units, which is gratuitous and discretionary, since the future value of the underlying shares of Common Stock is unknown and unpredictable. In addition, the Employee understands that the grant of the Deferred Stock Units would not be made to the Employee but for the assumptions and conditions referred to above; thus, the Employee acknowledges and freely accepts that should any or all of the assumptions be mistaken or should any of the conditions not be met for any reason, then any grant to the Employee of the Deferred Stock Units shall be null and void.</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No “offer of securities to the public,”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2"/>
        </w:rPr>
        <w:t>Comisión Nacional del Mercado de Valores</w:t>
      </w:r>
      <w:r>
        <w:rPr>
          <w:rFonts w:ascii="Times New Roman;sans-serif" w:hAnsi="Times New Roman;sans-serif"/>
          <w:b w:val="false"/>
          <w:color w:val="000000"/>
          <w:sz w:val="22"/>
        </w:rPr>
        <w:t>, and does not constitute a public offering prospectus.</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Employee holds 10% or more of the Company’s share capital, the Employee must declare the acquisition, ownership and disposition of shares of Common Stock to the Spanish Dirección General de Comercio e Inversiones of the Ministry of Economy and Competitiveness.</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addition, the Employee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Employee by the Company) depending on the value of such accounts and instruments and the amount of the transactions during the relevant year as of December 31 of the relevant year.</w:t>
      </w:r>
    </w:p>
    <w:p>
      <w:pPr>
        <w:pStyle w:val="TextBody"/>
        <w:spacing w:lineRule="auto" w:line="240" w:before="0" w:after="240"/>
        <w:rPr/>
      </w:pPr>
      <w:r>
        <w:rPr>
          <w:rFonts w:ascii="Times New Roman;sans-serif" w:hAnsi="Times New Roman;sans-serif"/>
          <w:b/>
          <w:color w:val="000000"/>
          <w:sz w:val="22"/>
        </w:rPr>
        <w:t>Foreign Asset/Accounting Reporting Information.</w:t>
      </w:r>
      <w:r>
        <w:rPr>
          <w:color w:val="000000"/>
        </w:rPr>
        <w:t xml:space="preserve"> </w:t>
      </w:r>
      <w:r>
        <w:rPr>
          <w:rFonts w:ascii="Times New Roman;sans-serif" w:hAnsi="Times New Roman;sans-serif"/>
          <w:b w:val="false"/>
          <w:color w:val="000000"/>
          <w:sz w:val="22"/>
        </w:rPr>
        <w:t>If the Employee holds rights or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or cash held in a bank or brokerage account) outside Spain with a value in excess of €50,000 per type of right or asset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cash, etc.) as of December 31 each year, the Employee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w:t>
      </w:r>
      <w:r>
        <w:rPr>
          <w:color w:val="000000"/>
        </w:rPr>
        <w:t xml:space="preserve"> </w:t>
      </w:r>
      <w:r>
        <w:rPr>
          <w:rFonts w:ascii="Times New Roman;sans-serif" w:hAnsi="Times New Roman;sans-serif"/>
          <w:b w:val="false"/>
          <w:color w:val="000000"/>
          <w:sz w:val="22"/>
        </w:rPr>
        <w:t>or if ownership of the asset is transferred or relinquished during the year. If the value of such rights and/or assets does not exceed €50,000, a summarized form of declaration may be presented. The reporting must be completed by the March 31 each year. The Employee should consult his or her personal tax advisor for details regarding this requirement.</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SWAZILAND</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SWEDEN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5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Without limiting the Company’s and the Employer’s authority to satisfy their withholding obligations for Tax-Related Items as set forth in paragraph 5 of the Agreement, by accepting the Deferred Stock Units, the Employee authorizes the Company and/or the Employer to withhold shares of Common Stock or to sell shares of Common Stock otherwise deliverable to the Employee upon vesting to satisfy Tax-Related Items, regardless of whether the Company and/or the Employer have an obligation to withhold such Tax-Related Items.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SWITZERLAND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Neither this document nor any other materials relating to the Deferred Stock Units (i) constitutes a prospectus according to 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TAIWAN</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The Employee hereby acknowledges that he or she has read and understood the terms regarding collection, processing and transfer of Data contained in paragraph 14 of the Agreement and by participating in the Plan, the Employee agrees to such terms. In this regard, upon request of the Company or the Employer, the Employee agrees to provide an executed data privacy consent form to the Employer or the Company (or any other agreements or consents that may be required by the Employer or the Company) that the Company and/or the Employer may deem necessary to obtain under the data privacy laws in the Employee’s country, either now or in the future. The Employee understands he or she will not be able to participate in the Plan if the Employee fails to execute any such consent or agreement.</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Deferred Stock Units and the shares of Common Stock to be issued pursuant to the Plan are available only to employees of the Mondelēz Group. The grant of Deferred Stock Units does not constitute a public offer of securities.</w:t>
      </w:r>
    </w:p>
    <w:p>
      <w:pPr>
        <w:pStyle w:val="TextBody"/>
        <w:spacing w:lineRule="auto" w:line="240" w:before="0" w:after="240"/>
        <w:rPr/>
      </w:pPr>
      <w:r>
        <w:rPr>
          <w:rFonts w:ascii="Times New Roman;sans-serif" w:hAnsi="Times New Roman;sans-serif"/>
          <w:b/>
          <w:color w:val="000000"/>
          <w:sz w:val="22"/>
        </w:rPr>
        <w:t>Exchange Control Information.</w:t>
      </w:r>
      <w:r>
        <w:rPr>
          <w:color w:val="000000"/>
        </w:rPr>
        <w:t xml:space="preserve"> </w:t>
      </w:r>
      <w:r>
        <w:rPr>
          <w:rFonts w:ascii="Times New Roman;sans-serif" w:hAnsi="Times New Roman;sans-serif"/>
          <w:b w:val="false"/>
          <w:color w:val="000000"/>
          <w:sz w:val="22"/>
        </w:rPr>
        <w:t>The Employee may acquire and remit foreign currency (including proceeds from the sale of shares of Common Stock) into Taiwan up to US$5,000,000 per year. If the transaction amount is TWD$500,000 or more in a single transaction, the Employee must submit a foreign exchange transaction form and also provide supporting documentation to the satisfaction of the remitting bank. The Employee should consult his or her personal advisor to ensure compliance with applicable exchange control laws in Taiwan.</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THAILAND</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proceeds from the sale of shares of Common Stock are equal to or greater than US$1,000,000 in a single transaction, the Employee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Employee must provide details of the transaction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identification information and purposes of the transaction) to the receiving bank. If the Employee fails to comply with these obligations, the Employee may be subject to penalties assessed by the Bank of Thailand.</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The Employee should consult his or her personal advisor prior to taking any action with respect to remittance of proceeds from the sale of shares of Common Stock into Thailand. The Employee is responsible for ensuring compliance with all exchange control laws in Thailand.</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TURKIYE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Under Turkish law, the Employee is not permitted to sell shares of Common Stock acquired under the Plan in Turkey. The shares of Common Stock are currently traded on the Nasdaq Global Select Market, which is located outside Turkey and the shares of Common Stock may be sold through this exchange.</w:t>
      </w:r>
    </w:p>
    <w:p>
      <w:pPr>
        <w:pStyle w:val="TextBody"/>
        <w:spacing w:lineRule="auto" w:line="240" w:before="0" w:after="240"/>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may be required to engage a Turkish financial intermediary to assist with the sale of shares of Common Stock acquired under the Plan. To the extent a Turkish financial intermediary is required in connection with the sale of any shares of Common Stock acquired under the Plan, the Employee is solely responsible for engaging such Turkish financial intermediary. The Employee should consult his or her personal legal advisor prior to the vesting of the Deferred Stock Units or any sale of shares of Common Stock to ensure compliance with the current requirements.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UKRAINE</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Ukraine shall be paid in cash in an amount equal to the value of the shares of Common Stock on the Vesting Date.</w:t>
      </w:r>
    </w:p>
    <w:p>
      <w:pPr>
        <w:pStyle w:val="TextBody"/>
        <w:spacing w:lineRule="auto" w:line="240" w:before="0" w:after="240"/>
        <w:rPr/>
      </w:pPr>
      <w:r>
        <w:rPr>
          <w:rFonts w:ascii="Times New Roman;sans-serif" w:hAnsi="Times New Roman;sans-serif"/>
          <w:b/>
          <w:i/>
          <w:color w:val="000000"/>
          <w:sz w:val="22"/>
        </w:rPr>
        <w:t>NOTIFICATIONS</w:t>
      </w:r>
      <w:r>
        <w:rPr>
          <w:color w:val="000000"/>
          <w:u w:val="single"/>
        </w:rPr>
        <w:t xml:space="preserve"> </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Employee is solely responsible for complying with applicable Ukraine exchange control regulations. Since the exchange control regulations change frequently and without notice, the Employee should consult his or her legal advisor prior to the acquisition or sale of shares of Common Stock under the Plan to ensure compliance with current regulations. As noted, it is the Employee’s responsibility to comply with the Ukraine exchange control laws, and the Mondelēz Group will not be liable for any fines or penalties resulting from the Employee ‘s failure to comply with applicable laws.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UNITED ARAB EMIRATES</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spacing w:lineRule="auto" w:line="240" w:before="0" w:after="240"/>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Participation in the Plan is being offered only to selected Employees and is in the nature of providing equity incentives to Employees in the United Arab Emirates. The Plan and the Agreement are intended for distribution only to such Employees and must not be delivered to, or relied on by, any other person. Prospective purchasers of the securities offered should conduct their own due diligence on the securities.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If the Employee does not understand the contents of the Plan and the Agreement, the Employee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UNITED KINGDOM (“U.K.”)</w:t>
      </w:r>
    </w:p>
    <w:p>
      <w:pPr>
        <w:pStyle w:val="TextBody"/>
        <w:spacing w:lineRule="auto" w:line="240" w:before="0" w:after="240"/>
        <w:rPr/>
      </w:pPr>
      <w:r>
        <w:rPr>
          <w:rFonts w:ascii="Times New Roman;sans-serif" w:hAnsi="Times New Roman;sans-serif"/>
          <w:b/>
          <w:i/>
          <w:color w:val="000000"/>
          <w:sz w:val="22"/>
        </w:rPr>
        <w:t>TERMS AND CONDITIONS</w:t>
      </w:r>
      <w:r>
        <w:rPr>
          <w:color w:val="000000"/>
        </w:rPr>
        <w:t xml:space="preserve"> </w:t>
      </w:r>
    </w:p>
    <w:p>
      <w:pPr>
        <w:pStyle w:val="TextBody"/>
        <w:spacing w:lineRule="auto" w:line="240" w:before="0" w:after="240"/>
        <w:rPr/>
      </w:pPr>
      <w:r>
        <w:rPr>
          <w:rFonts w:ascii="Times New Roman;sans-serif" w:hAnsi="Times New Roman;sans-serif"/>
          <w:b/>
          <w:color w:val="000000"/>
          <w:sz w:val="22"/>
        </w:rPr>
        <w:t xml:space="preserve">Miscellaneous. </w:t>
      </w:r>
      <w:r>
        <w:rPr>
          <w:rFonts w:ascii="Times New Roman;sans-serif" w:hAnsi="Times New Roman;sans-serif"/>
          <w:b w:val="false"/>
          <w:color w:val="000000"/>
          <w:sz w:val="22"/>
        </w:rPr>
        <w:t>The following provision replaces paragraph 21 of the Agreement: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pStyle w:val="TextBody"/>
        <w:spacing w:lineRule="auto" w:line="240" w:before="0" w:after="240"/>
        <w:rPr/>
      </w:pPr>
      <w:r>
        <w:rPr>
          <w:rFonts w:ascii="Times New Roman;sans-serif" w:hAnsi="Times New Roman;sans-serif"/>
          <w:b w:val="false"/>
          <w:color w:val="000000"/>
          <w:sz w:val="22"/>
        </w:rPr>
        <w:t>For purposes of this Agreement, (a)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procedures established by the Company for purposes of the Plan, and (b)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pStyle w:val="TextBody"/>
        <w:spacing w:lineRule="auto" w:line="240" w:before="0" w:after="240"/>
        <w:rPr/>
      </w:pPr>
      <w:r>
        <w:rPr>
          <w:rFonts w:ascii="Times New Roman;sans-serif" w:hAnsi="Times New Roman;sans-serif"/>
          <w:b/>
          <w:color w:val="000000"/>
          <w:sz w:val="22"/>
        </w:rPr>
        <w:t>Withholding Taxes.</w:t>
      </w:r>
      <w:r>
        <w:rPr>
          <w:color w:val="000000"/>
        </w:rPr>
        <w:t xml:space="preserve"> </w:t>
      </w:r>
      <w:r>
        <w:rPr>
          <w:rFonts w:ascii="Times New Roman;sans-serif" w:hAnsi="Times New Roman;sans-serif"/>
          <w:b w:val="false"/>
          <w:color w:val="000000"/>
          <w:sz w:val="22"/>
        </w:rPr>
        <w:t>The following provision supplements paragraph 5 of the Agreement:</w:t>
      </w:r>
    </w:p>
    <w:p>
      <w:pPr>
        <w:pStyle w:val="TextBody"/>
        <w:spacing w:lineRule="auto" w:line="240" w:before="0" w:after="240"/>
        <w:rPr/>
      </w:pPr>
      <w:r>
        <w:rPr>
          <w:rFonts w:ascii="Times New Roman;sans-serif" w:hAnsi="Times New Roman;sans-serif"/>
          <w:b w:val="false"/>
          <w:color w:val="000000"/>
          <w:sz w:val="22"/>
        </w:rPr>
        <w:t>Without limitation to paragraph 5 of the Agreement, the Employee hereby agrees that he or she is liable for all Tax-Related Items and hereby covenants to pay all such Tax-Related Items, as and when requested by the Company or the Employer, as applicable, or by Her Majesty’s Revenue &amp; Customs (“</w:t>
      </w:r>
      <w:r>
        <w:rPr>
          <w:rFonts w:ascii="Times New Roman;sans-serif" w:hAnsi="Times New Roman;sans-serif"/>
          <w:b w:val="false"/>
          <w:color w:val="000000"/>
          <w:sz w:val="22"/>
          <w:u w:val="single"/>
        </w:rPr>
        <w:t>HMRC</w:t>
      </w:r>
      <w:r>
        <w:rPr>
          <w:color w:val="000000"/>
        </w:rPr>
        <w:t>”</w:t>
      </w:r>
      <w:r>
        <w:rPr>
          <w:rFonts w:ascii="Times New Roman;sans-serif" w:hAnsi="Times New Roman;sans-serif"/>
          <w:b w:val="false"/>
          <w:color w:val="000000"/>
          <w:sz w:val="22"/>
        </w:rPr>
        <w:t>) (or any other tax authority or any other relevant authority). The Employee also hereby agrees to indemnify and keep indemnified the Company and the Employer, as applicable, against any Tax-Related Items that they are required to pay or withhold or have paid or will pay to HMRC (or any other tax authority or any other relevant authority) on the Employee’s behalf.</w:t>
      </w:r>
    </w:p>
    <w:p>
      <w:pPr>
        <w:pStyle w:val="TextBody"/>
        <w:spacing w:lineRule="auto" w:line="240" w:before="0" w:after="240"/>
        <w:rPr/>
      </w:pPr>
      <w:r>
        <w:rPr>
          <w:rFonts w:ascii="Times New Roman;sans-serif" w:hAnsi="Times New Roman;sans-serif"/>
          <w:b w:val="false"/>
          <w:color w:val="000000"/>
          <w:sz w:val="22"/>
        </w:rPr>
        <w:t>Notwithstanding the foregoing, if the Employee is a director or executive officer of the Company (within the meaning of Section 13(k) of the Exchange Act), the Employee understands that he or she may not be able to indemnify the Company for the amount of any Tax-Related Items not collected from or paid by the Employee, in case the indemnification could be considered to be a loan. In this case, the Tax-Related Items not collected or paid may constitute a benefit to the Employee on which additional income tax and National Insurance Contributions (“</w:t>
      </w:r>
      <w:r>
        <w:rPr>
          <w:rFonts w:ascii="Times New Roman;sans-serif" w:hAnsi="Times New Roman;sans-serif"/>
          <w:b w:val="false"/>
          <w:color w:val="000000"/>
          <w:sz w:val="22"/>
          <w:u w:val="single"/>
        </w:rPr>
        <w:t>NICs</w:t>
      </w:r>
      <w:r>
        <w:rPr>
          <w:color w:val="000000"/>
        </w:rPr>
        <w:t>”</w:t>
      </w:r>
      <w:r>
        <w:rPr>
          <w:rFonts w:ascii="Times New Roman;sans-serif" w:hAnsi="Times New Roman;sans-serif"/>
          <w:b w:val="false"/>
          <w:color w:val="000000"/>
          <w:sz w:val="22"/>
        </w:rPr>
        <w:t>) may be payable. The Employee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Employee by any of the means referred to in paragraph 5 of the Agreement.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In addition, the Employee agrees that the Company and/or the Employer may calculate the Tax-Related Items to be withheld and accounted for by reference to the maximum applicable rates, without prejudice to any right the Employee may have to recover any overpayment from the relevant tax authorities.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UNITED STATES </w:t>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2"/>
        </w:rPr>
        <w:t>Data Privacy Terms</w:t>
      </w:r>
      <w:r>
        <w:rPr>
          <w:rFonts w:ascii="Times New Roman;sans-serif" w:hAnsi="Times New Roman;sans-serif"/>
          <w:b w:val="false"/>
          <w:color w:val="000000"/>
          <w:sz w:val="22"/>
        </w:rPr>
        <w:t>. This provision supplements paragraph 14 of the Agreement:</w:t>
      </w:r>
    </w:p>
    <w:p>
      <w:pPr>
        <w:pStyle w:val="TextBody"/>
        <w:spacing w:before="0" w:after="0"/>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does not sell the Employee's Personal Data or share it for cross-context behavioral advertising. If the Employee would like a copy of the Company’s privacy policy, please contact a local human resources representative. </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NOTIFICATIONS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2"/>
        </w:rPr>
        <w:t>Foreign Asset/Accounting Reporting Information</w:t>
      </w:r>
      <w:r>
        <w:rPr>
          <w:rFonts w:ascii="Times New Roman;sans-serif" w:hAnsi="Times New Roman;sans-serif"/>
          <w:b w:val="false"/>
          <w:color w:val="000000"/>
          <w:sz w:val="22"/>
        </w:rPr>
        <w:t>. If the Employee holds assets (</w:t>
      </w:r>
      <w:r>
        <w:rPr>
          <w:rFonts w:ascii="Times New Roman;sans-serif" w:hAnsi="Times New Roman;sans-serif"/>
          <w:b w:val="false"/>
          <w:i/>
          <w:color w:val="000000"/>
          <w:sz w:val="22"/>
        </w:rPr>
        <w:t>i.e</w:t>
      </w:r>
      <w:r>
        <w:rPr>
          <w:rFonts w:ascii="Times New Roman;sans-serif" w:hAnsi="Times New Roman;sans-serif"/>
          <w:b w:val="false"/>
          <w:color w:val="000000"/>
          <w:sz w:val="22"/>
        </w:rPr>
        <w:t>., Deferred Stock Units or Common Stock) or other financial assets in an account outside the United States and the aggregate amount of said assets is US$10,000 or more, the Employee is required to submit a report of Foreign Bank and Financial Account with the United States Internal Revenue Service by June 30 of the year following the year in which the assets in the Employee’s account meet the US$10,000 threshold.</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URUGUAY</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Data Privacy Consent.</w:t>
      </w:r>
      <w:r>
        <w:rPr>
          <w:color w:val="000000"/>
        </w:rPr>
        <w:t xml:space="preserve"> </w:t>
      </w:r>
      <w:r>
        <w:rPr>
          <w:rFonts w:ascii="Times New Roman;sans-serif" w:hAnsi="Times New Roman;sans-serif"/>
          <w:b w:val="false"/>
          <w:color w:val="000000"/>
          <w:sz w:val="22"/>
        </w:rPr>
        <w:t>The Employee understands that the Data will be collected by the Employer and will be transferred to</w:t>
      </w:r>
      <w:r>
        <w:rPr>
          <w:color w:val="000000"/>
        </w:rPr>
        <w:t xml:space="preserve"> </w:t>
      </w:r>
      <w:r>
        <w:rPr>
          <w:rFonts w:ascii="Times New Roman;sans-serif" w:hAnsi="Times New Roman;sans-serif"/>
          <w:b w:val="false"/>
          <w:color w:val="000000"/>
          <w:sz w:val="22"/>
        </w:rPr>
        <w:t>the Company at 905 West Fulton Market, Suite 200, Chicago, Illinois 60607, U.S.A. and/or any financial institutions or brokers involved in the management and administration of the Plan. The Employee further understands that any of these entities may store the Data for purposes of administering the Employee’s participation in the Plan.</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VENEZUELA</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Investment Representation.</w:t>
      </w:r>
      <w:r>
        <w:rPr>
          <w:color w:val="000000"/>
        </w:rPr>
        <w:t xml:space="preserve"> </w:t>
      </w:r>
      <w:r>
        <w:rPr>
          <w:rFonts w:ascii="Times New Roman;sans-serif" w:hAnsi="Times New Roman;sans-serif"/>
          <w:b w:val="false"/>
          <w:color w:val="000000"/>
          <w:sz w:val="22"/>
        </w:rPr>
        <w:t>As a condition of the grant of the Deferred Stock Units, the Employee acknowledges and agrees that any shares of Common Stock the Employee may acquire upon the settlement of the Deferred Stock Units are acquired as and intended to be an investment rather than for the resale of the shares of Common Stock and conversion of shares into foreign currency.</w:t>
      </w:r>
    </w:p>
    <w:p>
      <w:pPr>
        <w:pStyle w:val="TextBody"/>
        <w:spacing w:lineRule="auto" w:line="240" w:before="0" w:after="240"/>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restrictions may limit the ability to vest in the Deferred Stock Units or remit funds into Venezuela following the receipt of the cash proceeds from the sale of shares of Common Stock acquired upon settlement of the Deferred Stock Units under the Plan. The Company reserves the right to further restrict the settlement of the Deferred Stock Units, or to amend or cancel the Deferred Stock Units at any time, in order to comply with the applicable exchange control laws in Venezuela. The Employee is responsible for complying with exchange control laws in Venezuela and neither the Company nor the Employer will be liable for any fines or penalties resulting from the Employee’s failure to comply with applicable laws.</w:t>
      </w:r>
      <w:r>
        <w:rPr>
          <w:color w:val="000000"/>
        </w:rPr>
        <w:t xml:space="preserve"> </w:t>
      </w:r>
      <w:r>
        <w:rPr>
          <w:rFonts w:ascii="Times New Roman;sans-serif" w:hAnsi="Times New Roman;sans-serif"/>
          <w:b w:val="false"/>
          <w:color w:val="000000"/>
          <w:sz w:val="22"/>
        </w:rPr>
        <w:t>Because exchange control laws and regulations change frequently and without notice, the Employee should consult with his or her personal legal advisor before accepting the Deferred Stock Units to ensure compliance with current regulations.</w:t>
      </w:r>
    </w:p>
    <w:p>
      <w:pPr>
        <w:pStyle w:val="TextBody"/>
        <w:spacing w:lineRule="auto" w:line="240" w:before="0" w:after="240"/>
        <w:rPr/>
      </w:pPr>
      <w:r>
        <w:rPr>
          <w:rFonts w:ascii="Times New Roman;sans-serif" w:hAnsi="Times New Roman;sans-serif"/>
          <w:b/>
          <w:i/>
          <w:color w:val="000000"/>
          <w:sz w:val="22"/>
        </w:rPr>
        <w:t>NOTIFICATIONS</w:t>
      </w:r>
      <w:r>
        <w:rPr>
          <w:color w:val="000000"/>
        </w:rPr>
        <w:t xml:space="preserve"> </w:t>
      </w:r>
    </w:p>
    <w:p>
      <w:pPr>
        <w:pStyle w:val="TextBody"/>
        <w:spacing w:lineRule="auto" w:line="240" w:before="0" w:after="240"/>
        <w:rPr/>
      </w:pPr>
      <w:r>
        <w:rPr>
          <w:rFonts w:ascii="Times New Roman;sans-serif" w:hAnsi="Times New Roman;sans-serif"/>
          <w:b/>
          <w:color w:val="000000"/>
          <w:sz w:val="22"/>
        </w:rPr>
        <w:t>Securities Law Information.</w:t>
      </w:r>
      <w:r>
        <w:rPr>
          <w:color w:val="000000"/>
        </w:rPr>
        <w:t xml:space="preserve"> </w:t>
      </w:r>
      <w:r>
        <w:rPr>
          <w:rFonts w:ascii="Times New Roman;sans-serif" w:hAnsi="Times New Roman;sans-serif"/>
          <w:b w:val="false"/>
          <w:color w:val="000000"/>
          <w:sz w:val="22"/>
        </w:rPr>
        <w:t>The Deferred Stock Units granted under the Plan and the shares of Common Stock issued under the Plan are offered as a personal, private, exclusive transaction and are not subject to Venezuelan government securities regulations.</w:t>
      </w:r>
    </w:p>
    <w:p>
      <w:pPr>
        <w:pStyle w:val="TextBody"/>
        <w:spacing w:lineRule="auto" w:line="240" w:before="0" w:after="240"/>
        <w:rPr>
          <w:rFonts w:ascii="Times New Roman;sans-serif" w:hAnsi="Times New Roman;sans-serif"/>
          <w:b/>
          <w:color w:val="000000"/>
          <w:sz w:val="22"/>
          <w:u w:val="single"/>
        </w:rPr>
      </w:pPr>
      <w:r>
        <w:rPr>
          <w:rFonts w:ascii="Times New Roman;sans-serif" w:hAnsi="Times New Roman;sans-serif"/>
          <w:b/>
          <w:color w:val="000000"/>
          <w:sz w:val="22"/>
          <w:u w:val="single"/>
        </w:rPr>
        <w:t>VIETNAM</w:t>
      </w:r>
    </w:p>
    <w:p>
      <w:pPr>
        <w:pStyle w:val="TextBody"/>
        <w:spacing w:lineRule="auto" w:line="240" w:before="0" w:after="240"/>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spacing w:lineRule="auto" w:line="240" w:before="0" w:after="240"/>
        <w:rPr/>
      </w:pPr>
      <w:r>
        <w:rPr>
          <w:rFonts w:ascii="Times New Roman;sans-serif" w:hAnsi="Times New Roman;sans-serif"/>
          <w:b/>
          <w:color w:val="000000"/>
          <w:sz w:val="22"/>
        </w:rPr>
        <w:t>Deferred Stock Units Payable Only in Cash.</w:t>
      </w:r>
      <w:r>
        <w:rPr>
          <w:color w:val="000000"/>
        </w:rPr>
        <w:t xml:space="preserve">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Vietnam shall be paid in cash in an amount equal to the value of the shares of Common Stock on the Vesting Date less any Tax-Related Items.</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 Dirk Van de Put, certify that:</w:t>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1.I have reviewed this quarterly report on Form 10-Q of Mondelēz International, Inc.;</w:t>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120"/>
        <w:ind w:left="0" w:right="0" w:hanging="36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ind w:left="0" w:right="0" w:hanging="36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120"/>
        <w:ind w:left="0" w:right="0" w:hanging="36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Date: April 27, 2023</w:t>
      </w:r>
    </w:p>
    <w:p>
      <w:pPr>
        <w:pStyle w:val="TextBody"/>
        <w:spacing w:lineRule="auto" w:line="288" w:before="0" w:after="0"/>
        <w:rPr>
          <w:color w:val="000000"/>
        </w:rPr>
      </w:pPr>
      <w:r>
        <w:rPr>
          <w:color w:val="000000"/>
        </w:rPr>
        <w:t> </w:t>
      </w:r>
    </w:p>
    <w:tbl>
      <w:tblPr>
        <w:tblW w:w="3450" w:type="dxa"/>
        <w:jc w:val="right"/>
        <w:tblInd w:w="0" w:type="dxa"/>
        <w:tblCellMar>
          <w:top w:w="28" w:type="dxa"/>
          <w:left w:w="28" w:type="dxa"/>
          <w:bottom w:w="28" w:type="dxa"/>
          <w:right w:w="28" w:type="dxa"/>
        </w:tblCellMar>
      </w:tblPr>
      <w:tblGrid>
        <w:gridCol w:w="1099"/>
        <w:gridCol w:w="967"/>
        <w:gridCol w:w="1384"/>
      </w:tblGrid>
      <w:tr>
        <w:trPr/>
        <w:tc>
          <w:tcPr>
            <w:tcW w:w="1099"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DIRK VAN DE PUT</w:t>
            </w:r>
          </w:p>
        </w:tc>
      </w:tr>
      <w:tr>
        <w:trPr/>
        <w:tc>
          <w:tcPr>
            <w:tcW w:w="3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Dirk Van de Put</w:t>
              <w:br/>
              <w:t>Chairman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spacing w:before="0" w:after="0"/>
        <w:jc w:val="center"/>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 Luca Zaramella, certify that:</w:t>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1.I have reviewed this quarterly report on Form 10-Q of Mondelēz International, Inc.;</w:t>
      </w:r>
    </w:p>
    <w:p>
      <w:pPr>
        <w:pStyle w:val="TextBody"/>
        <w:spacing w:before="0" w:after="0"/>
        <w:ind w:left="0" w:right="0" w:hanging="360"/>
        <w:rPr/>
      </w:pPr>
      <w:r>
        <w:rPr/>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360"/>
        <w:rPr/>
      </w:pPr>
      <w:r>
        <w:rPr/>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360"/>
        <w:rPr/>
      </w:pPr>
      <w:r>
        <w:rPr/>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rPr>
          <w:color w:val="000000"/>
        </w:rPr>
      </w:pPr>
      <w:r>
        <w:rPr>
          <w:color w:val="000000"/>
        </w:rPr>
        <w:t> </w:t>
      </w:r>
    </w:p>
    <w:p>
      <w:pPr>
        <w:pStyle w:val="TextBody"/>
        <w:spacing w:lineRule="auto" w:line="288" w:before="0" w:after="120"/>
        <w:ind w:left="0" w:right="0" w:hanging="36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ind w:left="0" w:right="0" w:hanging="36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360"/>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rPr>
          <w:color w:val="000000"/>
        </w:rPr>
      </w:pPr>
      <w:r>
        <w:rPr>
          <w:color w:val="000000"/>
        </w:rPr>
        <w:t> </w:t>
      </w:r>
    </w:p>
    <w:p>
      <w:pPr>
        <w:pStyle w:val="TextBody"/>
        <w:spacing w:lineRule="auto" w:line="288" w:before="0" w:after="120"/>
        <w:ind w:left="0" w:right="0" w:hanging="36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Date: April 27, 2023</w:t>
      </w:r>
    </w:p>
    <w:p>
      <w:pPr>
        <w:pStyle w:val="TextBody"/>
        <w:spacing w:lineRule="auto" w:line="288" w:before="0" w:after="0"/>
        <w:rPr>
          <w:color w:val="000000"/>
        </w:rPr>
      </w:pPr>
      <w:r>
        <w:rPr>
          <w:color w:val="000000"/>
        </w:rPr>
        <w:t> </w:t>
      </w:r>
    </w:p>
    <w:tbl>
      <w:tblPr>
        <w:tblW w:w="2744" w:type="dxa"/>
        <w:jc w:val="right"/>
        <w:tblInd w:w="0" w:type="dxa"/>
        <w:tblCellMar>
          <w:top w:w="28" w:type="dxa"/>
          <w:left w:w="28" w:type="dxa"/>
          <w:bottom w:w="28" w:type="dxa"/>
          <w:right w:w="28" w:type="dxa"/>
        </w:tblCellMar>
      </w:tblPr>
      <w:tblGrid>
        <w:gridCol w:w="879"/>
        <w:gridCol w:w="772"/>
        <w:gridCol w:w="1093"/>
      </w:tblGrid>
      <w:tr>
        <w:trPr/>
        <w:tc>
          <w:tcPr>
            <w:tcW w:w="87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LUCA ZARAMELLA</w:t>
            </w:r>
          </w:p>
        </w:tc>
      </w:tr>
      <w:tr>
        <w:trPr/>
        <w:tc>
          <w:tcPr>
            <w:tcW w:w="2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br/>
              <w:t>Executive Vice President and</w:t>
              <w:b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spacing w:lineRule="auto" w:line="288" w:before="360" w:after="283"/>
        <w:jc w:val="center"/>
        <w:rPr>
          <w:rFonts w:ascii="Arial;sans-serif" w:hAnsi="Arial;sans-serif"/>
          <w:b/>
          <w:color w:val="000000"/>
          <w:sz w:val="20"/>
        </w:rPr>
      </w:pPr>
      <w:r>
        <w:rPr>
          <w:rFonts w:ascii="Arial;sans-serif" w:hAnsi="Arial;sans-serif"/>
          <w:b/>
          <w:color w:val="000000"/>
          <w:sz w:val="20"/>
        </w:rPr>
        <w:t>CERTIFICATIONS OF</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CHIEF EXECUTIVE OFFICER AND CHIEF FINANCIAL OFFICER</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March 31, 2023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tbl>
      <w:tblPr>
        <w:tblW w:w="3450" w:type="dxa"/>
        <w:jc w:val="left"/>
        <w:tblInd w:w="0" w:type="dxa"/>
        <w:tblCellMar>
          <w:top w:w="28" w:type="dxa"/>
          <w:left w:w="28" w:type="dxa"/>
          <w:bottom w:w="28" w:type="dxa"/>
          <w:right w:w="28" w:type="dxa"/>
        </w:tblCellMar>
      </w:tblPr>
      <w:tblGrid>
        <w:gridCol w:w="1104"/>
        <w:gridCol w:w="968"/>
        <w:gridCol w:w="1378"/>
      </w:tblGrid>
      <w:tr>
        <w:trPr/>
        <w:tc>
          <w:tcPr>
            <w:tcW w:w="1104"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DIRK VAN DE PUT</w:t>
            </w:r>
          </w:p>
        </w:tc>
      </w:tr>
      <w:tr>
        <w:trPr/>
        <w:tc>
          <w:tcPr>
            <w:tcW w:w="3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Dirk Van de Put</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27, 2023</w:t>
            </w:r>
          </w:p>
        </w:tc>
      </w:tr>
    </w:tbl>
    <w:p>
      <w:pPr>
        <w:pStyle w:val="TextBody"/>
        <w:spacing w:before="0" w:after="0"/>
        <w:rPr/>
      </w:pPr>
      <w:r>
        <w:rPr/>
      </w:r>
    </w:p>
    <w:p>
      <w:pPr>
        <w:pStyle w:val="TextBody"/>
        <w:spacing w:before="0" w:after="0"/>
        <w:rPr/>
      </w:pPr>
      <w:r>
        <w:rPr/>
      </w:r>
    </w:p>
    <w:p>
      <w:pPr>
        <w:pStyle w:val="TextBody"/>
        <w:spacing w:lineRule="auto" w:line="288" w:before="80" w:after="283"/>
        <w:rPr>
          <w:rFonts w:ascii="Arial;sans-serif" w:hAnsi="Arial;sans-serif"/>
          <w:b w:val="false"/>
          <w:color w:val="000000"/>
          <w:sz w:val="20"/>
        </w:rPr>
      </w:pPr>
      <w:r>
        <w:rPr>
          <w:rFonts w:ascii="Arial;sans-serif" w:hAnsi="Arial;sans-serif"/>
          <w:b w:val="false"/>
          <w:color w:val="000000"/>
          <w:sz w:val="20"/>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March 31, 2023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tbl>
      <w:tblPr>
        <w:tblW w:w="2744" w:type="dxa"/>
        <w:jc w:val="left"/>
        <w:tblInd w:w="0" w:type="dxa"/>
        <w:tblCellMar>
          <w:top w:w="28" w:type="dxa"/>
          <w:left w:w="28" w:type="dxa"/>
          <w:bottom w:w="28" w:type="dxa"/>
          <w:right w:w="28" w:type="dxa"/>
        </w:tblCellMar>
      </w:tblPr>
      <w:tblGrid>
        <w:gridCol w:w="879"/>
        <w:gridCol w:w="772"/>
        <w:gridCol w:w="1093"/>
      </w:tblGrid>
      <w:tr>
        <w:trPr/>
        <w:tc>
          <w:tcPr>
            <w:tcW w:w="87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LUCA ZARAMELLA</w:t>
            </w:r>
          </w:p>
        </w:tc>
      </w:tr>
      <w:tr>
        <w:trPr/>
        <w:tc>
          <w:tcPr>
            <w:tcW w:w="2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27, 2023</w:t>
            </w:r>
          </w:p>
        </w:tc>
      </w:tr>
    </w:tbl>
    <w:p>
      <w:pPr>
        <w:pStyle w:val="TextBody"/>
        <w:spacing w:lineRule="auto" w:line="288" w:before="260" w:after="283"/>
        <w:rPr>
          <w:rFonts w:ascii="Arial;sans-serif" w:hAnsi="Arial;sans-serif"/>
          <w:b w:val="false"/>
          <w:i/>
          <w:color w:val="000000"/>
          <w:sz w:val="20"/>
        </w:rPr>
      </w:pPr>
      <w:r>
        <w:rPr>
          <w:rFonts w:ascii="Arial;sans-serif" w:hAnsi="Arial;sans-serif"/>
          <w:b w:val="false"/>
          <w:i/>
          <w:color w:val="000000"/>
          <w:sz w:val="20"/>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r>
        <w:br w:type="page"/>
      </w:r>
    </w:p>
    <w:p>
      <w:pPr>
        <w:pStyle w:val="TextBody"/>
        <w:spacing w:before="0" w:after="283"/>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Wingdings">
    <w:altName w:val="sans-serif"/>
    <w:charset w:val="00"/>
    <w:family w:val="auto"/>
    <w:pitch w:val="default"/>
  </w:font>
  <w:font w:name="Times New Roman">
    <w:altName w:val="sans-serif"/>
    <w:charset w:val="00"/>
    <w:family w:val="auto"/>
    <w:pitch w:val="default"/>
  </w:font>
  <w:font w:name="Palatino">
    <w:altName w:val="serif"/>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03982/000119312523044916/d452529dex101.htm" TargetMode="External"/><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144</Pages>
  <Words>107858</Words>
  <CharactersWithSpaces>694241</CharactersWithSpaces>
  <Paragraphs>5166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