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017006.xml.htm"/>
      <w:bookmarkStart w:id="1" w:name="kswkform4_17710170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 de Put Dirk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MONDELEZ INTERNATIONAL,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905 WEST FULTON MARKET,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Mondelez International, Inc.</w:t>
              </w:r>
            </w:hyperlink>
            <w:r>
              <w:rPr/>
              <w:t xml:space="preserve"> [ </w:t>
            </w:r>
            <w:r>
              <w:rPr>
                <w:rFonts w:ascii="Times;serif" w:hAnsi="Times;serif"/>
                <w:color w:val="0000FF"/>
                <w:sz w:val="24"/>
                <w:shd w:fill="FFFFFF" w:val="clear"/>
              </w:rPr>
              <w:t>MDLZ</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47"/>
        <w:gridCol w:w="438"/>
        <w:gridCol w:w="745"/>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158,019</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1,306,874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61,726</w:t>
            </w:r>
            <w:r>
              <w:rPr>
                <w:rFonts w:ascii="Times;serif" w:hAnsi="Times;serif"/>
                <w:color w:val="008000"/>
                <w:position w:val="7"/>
                <w:sz w:val="16"/>
                <w:sz w:val="20"/>
                <w:shd w:fill="FFFFFF" w:val="clear"/>
              </w:rPr>
              <w:t>(2)</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61.47</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1,245,148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81,340</w:t>
            </w:r>
            <w:r>
              <w:rPr>
                <w:rFonts w:ascii="Times;serif" w:hAnsi="Times;serif"/>
                <w:color w:val="008000"/>
                <w:position w:val="7"/>
                <w:sz w:val="16"/>
                <w:sz w:val="20"/>
                <w:shd w:fill="FFFFFF" w:val="clear"/>
              </w:rPr>
              <w:t>(3)</w:t>
            </w:r>
            <w:r>
              <w:rPr/>
              <w:t xml:space="preserve"> </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1,326,488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61.47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488,220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488,220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488,220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common stock received upon vesting of performance share units granted under the Issuer's Amended and Restated 2005 Performance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Withholding of shares of common stock to satisfy tax withholding obligations in connection with the vesting of performance share units under the Issuer's Amended and Restated 2005 Performance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stock units granted under the Issuer's 2024 Performance Incentive Plan. Deferred stock units vest in three annual installments as follows: 33% on February 11, 2027; 33% on February 11, 2028, and 34% on February 11,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Options vest in three annual installments as follows: 33% on February 11, 2027; 33% on February 11, 2028, and 34% on February 11,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Jamie E. East,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24.1</w:t>
      </w:r>
    </w:p>
    <w:p>
      <w:pPr>
        <w:pStyle w:val="TextBody"/>
        <w:bidi w:val="0"/>
        <w:spacing w:lineRule="auto" w:line="288" w:before="100" w:after="10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each of Jamie L. East and Laura Stein, signing singly, the undersigned’s true and lawful attorney-in-fact to:</w:t>
      </w:r>
    </w:p>
    <w:p>
      <w:pPr>
        <w:pStyle w:val="TextBody"/>
        <w:bidi w:val="0"/>
        <w:spacing w:lineRule="auto" w:line="288" w:before="100" w:after="1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bidi w:val="0"/>
        <w:spacing w:lineRule="auto" w:line="288" w:before="100" w:after="1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(2)    execute for and on behalf of the undersigned, in the undersigned’s capacity as an executive officer and/or director of Mondelēz International, Inc. (the “Company”), Forms 3, 4 and 5 in accordance with Section 16(a) of the Securities Exchange Act of 1934 and the rules thereunder; </w:t>
      </w:r>
    </w:p>
    <w:p>
      <w:pPr>
        <w:pStyle w:val="TextBody"/>
        <w:bidi w:val="0"/>
        <w:spacing w:lineRule="auto" w:line="288" w:before="100" w:after="1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w:t>
      </w:r>
    </w:p>
    <w:p>
      <w:pPr>
        <w:pStyle w:val="TextBody"/>
        <w:bidi w:val="0"/>
        <w:spacing w:lineRule="auto" w:line="288" w:before="100" w:after="1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This Power of Attorney is effective March 17, 2025 and revokes all prior Powers of Attorney relating to reporting under Section 16 of the Securities Exchange Act of 1934 of the Company’s securities and the matters outlined above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or in a subsequently filed instrument.</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6th day of April, 2025.</w:t>
      </w:r>
    </w:p>
    <w:p>
      <w:pPr>
        <w:pStyle w:val="TextBody"/>
        <w:bidi w:val="0"/>
        <w:spacing w:before="100" w:after="100"/>
        <w:jc w:val="both"/>
        <w:rPr/>
      </w:pPr>
      <w:r>
        <w:rPr/>
      </w:r>
    </w:p>
    <w:tbl>
      <w:tblPr>
        <w:tblW w:w="1949" w:type="dxa"/>
        <w:jc w:val="left"/>
        <w:tblInd w:w="0" w:type="dxa"/>
        <w:tblLayout w:type="fixed"/>
        <w:tblCellMar>
          <w:top w:w="28" w:type="dxa"/>
          <w:left w:w="28" w:type="dxa"/>
          <w:bottom w:w="28" w:type="dxa"/>
          <w:right w:w="28" w:type="dxa"/>
        </w:tblCellMar>
      </w:tblPr>
      <w:tblGrid>
        <w:gridCol w:w="624"/>
        <w:gridCol w:w="547"/>
        <w:gridCol w:w="778"/>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Dirk Van de Put</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Dirk Van de Put</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Print Name</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6137" TargetMode="External"/><Relationship Id="rId5" Type="http://schemas.openxmlformats.org/officeDocument/2006/relationships/hyperlink" Target="http://www.sec.gov/cgi-bin/browse-edgar?action=getcompany&amp;CIK=00011039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1297</Words>
  <Characters>6818</Characters>
  <CharactersWithSpaces>8030</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