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1016954.xml.htm"/>
      <w:bookmarkStart w:id="1" w:name="kswkform4_17710169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Zaramella Luca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MONDELEZ INTERNATIONAL,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905 WEST FULTON MARKET,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Mondelez International, Inc.</w:t>
              </w:r>
            </w:hyperlink>
            <w:r>
              <w:rPr/>
              <w:t xml:space="preserve"> [ </w:t>
            </w:r>
            <w:r>
              <w:rPr>
                <w:rFonts w:ascii="Times;serif" w:hAnsi="Times;serif"/>
                <w:color w:val="0000FF"/>
                <w:sz w:val="24"/>
                <w:shd w:fill="FFFFFF" w:val="clear"/>
              </w:rPr>
              <w:t>MDLZ</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COO and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58,528</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385,745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23,527</w:t>
            </w:r>
            <w:r>
              <w:rPr>
                <w:rFonts w:ascii="Times;serif" w:hAnsi="Times;serif"/>
                <w:color w:val="008000"/>
                <w:position w:val="7"/>
                <w:sz w:val="16"/>
                <w:sz w:val="20"/>
                <w:shd w:fill="FFFFFF" w:val="clear"/>
              </w:rPr>
              <w:t>(2)</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61.47</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362,218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37,920</w:t>
            </w:r>
            <w:r>
              <w:rPr>
                <w:rFonts w:ascii="Times;serif" w:hAnsi="Times;serif"/>
                <w:color w:val="008000"/>
                <w:position w:val="7"/>
                <w:sz w:val="16"/>
                <w:sz w:val="20"/>
                <w:shd w:fill="FFFFFF" w:val="clear"/>
              </w:rPr>
              <w:t>(3)</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400,138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61.47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227,580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227,580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227,580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of common stock received upon vesting of performance share units granted under the Issuer's Amended and Restated 2005 Performance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Withholding of shares of common stock to satisfy tax withholding obligations in connection with the vesting of performance share units under the Issuer's Amended and Restated 2005 Performance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Deferred stock units granted under the Issuer's 2024 Performance Incentive Plan. Deferred stock units vest in three annual installments as follows: 33% on February 11, 2027; 33% on February 11, 2028, and 34% on February 11,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Options vest in three annual installments as follows: 33% on February 11, 2027; 33% on February 11, 2028, and 34% on February 11,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Jamie E. East,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00" w:after="100"/>
        <w:jc w:val="right"/>
        <w:rPr>
          <w:rFonts w:ascii="Times New Roman;serif" w:hAnsi="Times New Roman;serif"/>
          <w:b/>
          <w:color w:val="000000"/>
          <w:sz w:val="24"/>
        </w:rPr>
      </w:pPr>
      <w:r>
        <w:rPr>
          <w:rFonts w:ascii="Times New Roman;serif" w:hAnsi="Times New Roman;serif"/>
          <w:b/>
          <w:color w:val="000000"/>
          <w:sz w:val="24"/>
        </w:rPr>
        <w:t>Exhibit 24.1</w:t>
      </w:r>
    </w:p>
    <w:p>
      <w:pPr>
        <w:pStyle w:val="TextBody"/>
        <w:bidi w:val="0"/>
        <w:spacing w:lineRule="auto" w:line="288" w:before="100" w:after="10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100" w:after="100"/>
        <w:jc w:val="both"/>
        <w:rPr>
          <w:rFonts w:ascii="Times New Roman;serif" w:hAnsi="Times New Roman;serif"/>
          <w:b w:val="false"/>
          <w:color w:val="000000"/>
          <w:sz w:val="22"/>
        </w:rPr>
      </w:pPr>
      <w:r>
        <w:rPr>
          <w:rFonts w:ascii="Times New Roman;serif" w:hAnsi="Times New Roman;serif"/>
          <w:b w:val="false"/>
          <w:color w:val="000000"/>
          <w:sz w:val="22"/>
        </w:rPr>
        <w:t>Know all by these presents, that the undersigned hereby constitutes and appoints each of Jamie L. East and Laura Stein, signing singly, the undersigned’s true and lawful attorney-in-fact to:</w:t>
      </w:r>
    </w:p>
    <w:p>
      <w:pPr>
        <w:pStyle w:val="TextBody"/>
        <w:bidi w:val="0"/>
        <w:spacing w:lineRule="auto" w:line="288" w:before="100" w:after="10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pStyle w:val="TextBody"/>
        <w:bidi w:val="0"/>
        <w:spacing w:lineRule="auto" w:line="288" w:before="100" w:after="10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(2)    execute for and on behalf of the undersigned, in the undersigned’s capacity as an executive officer and/or director of Mondelēz International, Inc. (the “Company”), Forms 3, 4 and 5 in accordance with Section 16(a) of the Securities Exchange Act of 1934 and the rules thereunder; </w:t>
      </w:r>
    </w:p>
    <w:p>
      <w:pPr>
        <w:pStyle w:val="TextBody"/>
        <w:bidi w:val="0"/>
        <w:spacing w:lineRule="auto" w:line="288" w:before="100" w:after="10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w:t>
      </w:r>
    </w:p>
    <w:p>
      <w:pPr>
        <w:pStyle w:val="TextBody"/>
        <w:bidi w:val="0"/>
        <w:spacing w:lineRule="auto" w:line="288" w:before="100" w:after="10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lineRule="auto" w:line="288" w:before="100" w:after="100"/>
        <w:jc w:val="both"/>
        <w:rPr>
          <w:rFonts w:ascii="Times New Roman;serif" w:hAnsi="Times New Roman;serif"/>
          <w:b w:val="false"/>
          <w:color w:val="000000"/>
          <w:sz w:val="22"/>
        </w:rPr>
      </w:pPr>
      <w:r>
        <w:rPr>
          <w:rFonts w:ascii="Times New Roman;serif" w:hAnsi="Times New Roman;serif"/>
          <w:b w:val="false"/>
          <w:color w:val="000000"/>
          <w:sz w:val="22"/>
        </w:rPr>
        <w:t xml:space="preserve">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This Power of Attorney is effective April 1, 2025 and revokes all prior Powers of Attorney relating to reporting under Section 16 of the Securities Exchange Act of 1934 of the Company’s securities and the matters outlined above and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 or in a subsequently filed instrument.</w:t>
      </w:r>
    </w:p>
    <w:p>
      <w:pPr>
        <w:pStyle w:val="TextBody"/>
        <w:bidi w:val="0"/>
        <w:spacing w:lineRule="auto" w:line="288" w:before="180" w:after="120"/>
        <w:jc w:val="both"/>
        <w:rPr>
          <w:rFonts w:ascii="Times New Roman;serif" w:hAnsi="Times New Roman;serif"/>
          <w:b w:val="false"/>
          <w:color w:val="000000"/>
          <w:sz w:val="22"/>
        </w:rPr>
      </w:pPr>
      <w:r>
        <w:rPr>
          <w:rFonts w:ascii="Times New Roman;serif" w:hAnsi="Times New Roman;serif"/>
          <w:b w:val="false"/>
          <w:color w:val="000000"/>
          <w:sz w:val="22"/>
        </w:rPr>
        <w:t>IN WITNESS WHEREOF, the undersigned has caused this Power of Attorney to be executed as of this 4th day of April, 2025.</w:t>
      </w:r>
    </w:p>
    <w:tbl>
      <w:tblPr>
        <w:tblW w:w="1620" w:type="dxa"/>
        <w:jc w:val="left"/>
        <w:tblInd w:w="0" w:type="dxa"/>
        <w:tblLayout w:type="fixed"/>
        <w:tblCellMar>
          <w:top w:w="28" w:type="dxa"/>
          <w:left w:w="28" w:type="dxa"/>
          <w:bottom w:w="28" w:type="dxa"/>
          <w:right w:w="28" w:type="dxa"/>
        </w:tblCellMar>
      </w:tblPr>
      <w:tblGrid>
        <w:gridCol w:w="519"/>
        <w:gridCol w:w="455"/>
        <w:gridCol w:w="646"/>
      </w:tblGrid>
      <w:tr>
        <w:trPr/>
        <w:tc>
          <w:tcPr>
            <w:tcW w:w="51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Luca Zaramella</w:t>
            </w:r>
          </w:p>
        </w:tc>
      </w:tr>
      <w:tr>
        <w:trPr/>
        <w:tc>
          <w:tcPr>
            <w:tcW w:w="16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Signature</w:t>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Luca Zaramella</w:t>
            </w:r>
          </w:p>
        </w:tc>
      </w:tr>
      <w:tr>
        <w:trPr/>
        <w:tc>
          <w:tcPr>
            <w:tcW w:w="16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Print Name</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2077" TargetMode="External"/><Relationship Id="rId5" Type="http://schemas.openxmlformats.org/officeDocument/2006/relationships/hyperlink" Target="http://www.sec.gov/cgi-bin/browse-edgar?action=getcompany&amp;CIK=00011039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1291</Words>
  <Characters>6802</Characters>
  <CharactersWithSpaces>8008</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