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404886.xml.htm"/>
      <w:bookmarkStart w:id="1" w:name="kswkform4_17794048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Price Paula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MONDELEZ INTERNATIONAL,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905 WEST FULTON MARKET,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Mondelez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MDLZ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deferred stock units under the Issuer's 2024 Performance Incentive Plan. The deferred stock units are 100% vested, but receipt of the shares is deferred until the six-month anniversary of the reporting person's separation from service as a director of Mondelez International.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number of shares owned includes approximately 279 shares acquired through a dividend reinvestment program.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Jamie L. East, by Power of Attorney,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9240" TargetMode="External"/><Relationship Id="rId5" Type="http://schemas.openxmlformats.org/officeDocument/2006/relationships/hyperlink" Target="http://www.sec.gov/cgi-bin/browse-edgar?action=getcompany&amp;CIK=00011039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3432</Characters>
  <CharactersWithSpaces>4002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