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MONDELĒZ INTERNATIONAL,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500" w:type="dxa"/>
        <w:tblCellMar>
          <w:top w:w="0" w:type="dxa"/>
          <w:left w:w="0" w:type="dxa"/>
          <w:bottom w:w="0" w:type="dxa"/>
          <w:right w:w="0" w:type="dxa"/>
        </w:tblCellMar>
      </w:tblPr>
      <w:tr>
        <w:trPr>
          <w:trHeight w:val="22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Virginia</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1-16483</w:t>
            </w:r>
          </w:p>
        </w:tc>
        <w:tc>
          <w:tcPr>
            <w:tcW w:w="264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52-2284372</w:t>
            </w:r>
          </w:p>
        </w:tc>
      </w:tr>
      <w:tr>
        <w:trPr>
          <w:trHeight w:val="204"/>
        </w:trPr>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4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64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278"/>
        </w:trPr>
        <w:tc>
          <w:tcPr>
            <w:tcW w:w="282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905 West Fulton Market, Suite 200</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Chicago, IL 60607</w:t>
            </w:r>
          </w:p>
        </w:tc>
        <w:tc>
          <w:tcPr>
            <w:tcW w:w="2640" w:type="dxa"/>
            <w:vAlign w:val="bottom"/>
          </w:tcPr>
          <w:p>
            <w:pPr>
              <w:spacing w:after="0"/>
              <w:rPr>
                <w:sz w:val="24"/>
                <w:szCs w:val="24"/>
                <w:color w:val="auto"/>
              </w:rPr>
            </w:pPr>
          </w:p>
        </w:tc>
      </w:tr>
      <w:tr>
        <w:trPr>
          <w:trHeight w:val="258"/>
        </w:trPr>
        <w:tc>
          <w:tcPr>
            <w:tcW w:w="2820" w:type="dxa"/>
            <w:vAlign w:val="bottom"/>
          </w:tcPr>
          <w:p>
            <w:pPr>
              <w:spacing w:after="0"/>
              <w:rPr>
                <w:sz w:val="22"/>
                <w:szCs w:val="22"/>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640" w:type="dxa"/>
            <w:vAlign w:val="bottom"/>
          </w:tcPr>
          <w:p>
            <w:pPr>
              <w:spacing w:after="0"/>
              <w:rPr>
                <w:sz w:val="22"/>
                <w:szCs w:val="22"/>
                <w:color w:val="auto"/>
              </w:rPr>
            </w:pPr>
          </w:p>
        </w:tc>
      </w:tr>
      <w:tr>
        <w:trPr>
          <w:trHeight w:val="284"/>
        </w:trPr>
        <w:tc>
          <w:tcPr>
            <w:tcW w:w="2820" w:type="dxa"/>
            <w:vAlign w:val="bottom"/>
          </w:tcPr>
          <w:p>
            <w:pPr>
              <w:spacing w:after="0"/>
              <w:rPr>
                <w:sz w:val="24"/>
                <w:szCs w:val="24"/>
                <w:color w:val="auto"/>
              </w:rPr>
            </w:pPr>
          </w:p>
        </w:tc>
        <w:tc>
          <w:tcPr>
            <w:tcW w:w="4660" w:type="dxa"/>
            <w:vAlign w:val="bottom"/>
          </w:tcPr>
          <w:p>
            <w:pPr>
              <w:jc w:val="right"/>
              <w:ind w:right="1713"/>
              <w:spacing w:after="0"/>
              <w:rPr>
                <w:sz w:val="20"/>
                <w:szCs w:val="20"/>
                <w:color w:val="auto"/>
              </w:rPr>
            </w:pPr>
            <w:r>
              <w:rPr>
                <w:rFonts w:ascii="Times New Roman" w:cs="Times New Roman" w:eastAsia="Times New Roman" w:hAnsi="Times New Roman"/>
                <w:sz w:val="18"/>
                <w:szCs w:val="18"/>
                <w:b w:val="1"/>
                <w:bCs w:val="1"/>
                <w:color w:val="auto"/>
              </w:rPr>
              <w:t>(847) 943-4000</w:t>
            </w:r>
          </w:p>
        </w:tc>
        <w:tc>
          <w:tcPr>
            <w:tcW w:w="2640" w:type="dxa"/>
            <w:vAlign w:val="bottom"/>
          </w:tcPr>
          <w:p>
            <w:pPr>
              <w:spacing w:after="0"/>
              <w:rPr>
                <w:sz w:val="24"/>
                <w:szCs w:val="24"/>
                <w:color w:val="auto"/>
              </w:rPr>
            </w:pPr>
          </w:p>
        </w:tc>
      </w:tr>
      <w:tr>
        <w:trPr>
          <w:trHeight w:val="270"/>
        </w:trPr>
        <w:tc>
          <w:tcPr>
            <w:tcW w:w="2820" w:type="dxa"/>
            <w:vAlign w:val="bottom"/>
          </w:tcPr>
          <w:p>
            <w:pPr>
              <w:spacing w:after="0"/>
              <w:rPr>
                <w:sz w:val="23"/>
                <w:szCs w:val="23"/>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640" w:type="dxa"/>
            <w:vAlign w:val="bottom"/>
          </w:tcPr>
          <w:p>
            <w:pPr>
              <w:spacing w:after="0"/>
              <w:rPr>
                <w:sz w:val="23"/>
                <w:szCs w:val="23"/>
                <w:color w:val="auto"/>
              </w:rPr>
            </w:pPr>
          </w:p>
        </w:tc>
      </w:tr>
      <w:tr>
        <w:trPr>
          <w:trHeight w:val="445"/>
        </w:trPr>
        <w:tc>
          <w:tcPr>
            <w:tcW w:w="2820" w:type="dxa"/>
            <w:vAlign w:val="bottom"/>
          </w:tcPr>
          <w:p>
            <w:pPr>
              <w:spacing w:after="0"/>
              <w:rPr>
                <w:sz w:val="24"/>
                <w:szCs w:val="24"/>
                <w:color w:val="auto"/>
              </w:rPr>
            </w:pPr>
          </w:p>
        </w:tc>
        <w:tc>
          <w:tcPr>
            <w:tcW w:w="4660" w:type="dxa"/>
            <w:vAlign w:val="bottom"/>
          </w:tcPr>
          <w:p>
            <w:pPr>
              <w:jc w:val="right"/>
              <w:ind w:right="693"/>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tc>
        <w:tc>
          <w:tcPr>
            <w:tcW w:w="2640" w:type="dxa"/>
            <w:vAlign w:val="bottom"/>
          </w:tcPr>
          <w:p>
            <w:pPr>
              <w:spacing w:after="0"/>
              <w:rPr>
                <w:sz w:val="24"/>
                <w:szCs w:val="24"/>
                <w:color w:val="auto"/>
              </w:rPr>
            </w:pPr>
          </w:p>
        </w:tc>
      </w:tr>
    </w:tbl>
    <w:p>
      <w:pPr>
        <w:spacing w:after="0" w:line="171"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1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29"/>
        </w:trPr>
        <w:tc>
          <w:tcPr>
            <w:tcW w:w="7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9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91"/>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Class A Common Stock, no par value</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7"/>
              </w:rPr>
              <w:t>MDLZ</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1.625% Notes due 2027</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MDLZ27</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0.250% Notes due 2028</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MDLZ28</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4"/>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0.750% Notes due 2033</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MDLZ33</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2.375% Notes due 2035</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MDLZ35</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4.500% Notes due 2035</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MDLZ35A</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1.375% Notes due 2041</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MDLZ41</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4"/>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3.875% Notes due 2045</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MDLZ45</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11" w:lineRule="exact"/>
        <w:rPr>
          <w:sz w:val="24"/>
          <w:szCs w:val="24"/>
          <w:color w:val="auto"/>
        </w:rPr>
      </w:pPr>
    </w:p>
    <w:p>
      <w:pPr>
        <w:ind w:right="8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of 1934 (17 CFR 240.12b-2). Emerging growth company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October 29, 2026, we issued a press release announcing earnings for the third quarter ended September 30, 2026. A copy of the press release is furnished as Exhibit 99.1 to this current report.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information, including Exhibit 99.1, will not be deemed “filed” for purposes of Section 18 of the Securities Exchange Act of 1934, as amended (the “Exchange Act”), or otherwise subject to the liabilities under that section and it will not be incorporated by reference in any filing under the Securities Act of 1933, as amended, or the Exchange Act, except as expressly set forth by specific reference in any such filing.</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Mondelēz International, Inc. Press Release, dated October 29, 2026.</w:t>
      </w:r>
    </w:p>
    <w:p>
      <w:pPr>
        <w:spacing w:after="0" w:line="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Mondelēz International, Inc.’s Current Report on Form 8-K, formatted in Inline XBRL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MONDELĒZ INTERNATIONAL, INC.</w:t>
      </w:r>
    </w:p>
    <w:p>
      <w:pPr>
        <w:spacing w:after="0" w:line="332"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Amit Banati</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Amit Banati</w:t>
            </w:r>
          </w:p>
        </w:tc>
        <w:tc>
          <w:tcPr>
            <w:tcW w:w="0" w:type="dxa"/>
            <w:vAlign w:val="bottom"/>
          </w:tcPr>
          <w:p>
            <w:pPr>
              <w:spacing w:after="0"/>
              <w:rPr>
                <w:sz w:val="1"/>
                <w:szCs w:val="1"/>
                <w:color w:val="auto"/>
              </w:rPr>
            </w:pPr>
          </w:p>
        </w:tc>
      </w:tr>
      <w:tr>
        <w:trPr>
          <w:trHeight w:val="27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8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532765</wp:posOffset>
            </wp:positionV>
            <wp:extent cx="173164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7200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Contacts: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Tracey Noe (Media)</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1-847-943-5678</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news@mdlz.com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Shep Dunlap (Investors)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1-847-943-5454</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ir@mdlz.com</w:t>
      </w:r>
    </w:p>
    <w:p>
      <w:pPr>
        <w:spacing w:after="0" w:line="200" w:lineRule="exact"/>
        <w:rPr>
          <w:sz w:val="20"/>
          <w:szCs w:val="20"/>
          <w:color w:val="auto"/>
        </w:rPr>
      </w:pPr>
    </w:p>
    <w:p>
      <w:pPr>
        <w:sectPr>
          <w:pgSz w:w="11900" w:h="16838" w:orient="portrait"/>
          <w:cols w:equalWidth="0" w:num="3">
            <w:col w:w="1200" w:space="720"/>
            <w:col w:w="3440" w:space="720"/>
            <w:col w:w="5160"/>
          </w:cols>
          <w:pgMar w:left="320" w:top="117"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4F2170"/>
        </w:rPr>
        <w:t>Mondelēz International Reports Q3 2026 Results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30E74"/>
        </w:rPr>
        <w:t>Third Quarter Highlights</w:t>
      </w:r>
      <w:r>
        <w:rPr>
          <w:rFonts w:ascii="Arial" w:cs="Arial" w:eastAsia="Arial" w:hAnsi="Arial"/>
          <w:sz w:val="25"/>
          <w:szCs w:val="25"/>
          <w:b w:val="1"/>
          <w:bCs w:val="1"/>
          <w:color w:val="330E74"/>
          <w:vertAlign w:val="superscript"/>
        </w:rPr>
        <w:t>1</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color w:val="330E74"/>
        </w:rPr>
        <w:t>Net Revenues +2.3%, Organ</w:t>
      </w:r>
      <w:r>
        <w:rPr>
          <w:rFonts w:ascii="Arial" w:cs="Arial" w:eastAsia="Arial" w:hAnsi="Arial"/>
          <w:sz w:val="20"/>
          <w:szCs w:val="20"/>
          <w:color w:val="000000"/>
        </w:rPr>
        <w:t>i</w:t>
      </w:r>
      <w:r>
        <w:rPr>
          <w:rFonts w:ascii="Arial" w:cs="Arial" w:eastAsia="Arial" w:hAnsi="Arial"/>
          <w:sz w:val="20"/>
          <w:szCs w:val="20"/>
          <w:color w:val="330E74"/>
        </w:rPr>
        <w:t>c Net Revenues +2.1%, Volume/Mix +1.8%</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330E74"/>
        </w:rPr>
        <w:t>Diluted EPS increased +78.9% to $1.02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330E74"/>
        </w:rPr>
        <w:t>Adjusted EPS was $0.78 which increased +5.5% on a constant currency basis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330E74"/>
        </w:rPr>
        <w:t>Year-to-date cash provided by operating activities was $2.6 billion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color w:val="330E74"/>
        </w:rPr>
        <w:t>and Free Cash Flow was $1.7 billion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330E74"/>
        </w:rPr>
        <w:t>Return of capital to shareholders was $2.8 billion through the third quarter of the year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346"/>
        <w:spacing w:after="0" w:line="398" w:lineRule="auto"/>
        <w:rPr>
          <w:sz w:val="20"/>
          <w:szCs w:val="20"/>
          <w:color w:val="auto"/>
        </w:rPr>
      </w:pPr>
      <w:r>
        <w:rPr>
          <w:rFonts w:ascii="Arial" w:cs="Arial" w:eastAsia="Arial" w:hAnsi="Arial"/>
          <w:sz w:val="20"/>
          <w:szCs w:val="20"/>
          <w:color w:val="auto"/>
        </w:rPr>
        <w:t>CHICAGO, Ill. – October 29, 2026 – Mondelēz International, Inc. (Nasdaq: MDLZ) today reported its third quarter 2026 results.</w:t>
      </w:r>
    </w:p>
    <w:p>
      <w:pPr>
        <w:spacing w:after="0" w:line="169" w:lineRule="exact"/>
        <w:rPr>
          <w:sz w:val="20"/>
          <w:szCs w:val="20"/>
          <w:color w:val="auto"/>
        </w:rPr>
      </w:pPr>
    </w:p>
    <w:p>
      <w:pPr>
        <w:jc w:val="both"/>
        <w:ind w:firstLine="648"/>
        <w:spacing w:after="0" w:line="361" w:lineRule="auto"/>
        <w:rPr>
          <w:sz w:val="20"/>
          <w:szCs w:val="20"/>
          <w:color w:val="auto"/>
        </w:rPr>
      </w:pPr>
      <w:r>
        <w:rPr>
          <w:rFonts w:ascii="Arial" w:cs="Arial" w:eastAsia="Arial" w:hAnsi="Arial"/>
          <w:sz w:val="20"/>
          <w:szCs w:val="20"/>
          <w:color w:val="auto"/>
        </w:rPr>
        <w:t>“We delivered strong third-quarter results, driven by broad based volume growth and robust share performance. We continue to see top- and bottom-line growth momentum across both developed and emerging markets, while significantly reinvesting in our brands, innovation, and distribution,” said Dirk Van de Put, Chairman and Chief Executive Officer. "We are resolute in delivering volume-led, compounding earnings growth that creates value for shareholders. We remain confident that our attractive categories, iconic brands, advantaged geographic footprint, and consumer-centric capabilities will sustain our performance for years to come.</w:t>
      </w:r>
    </w:p>
    <w:p>
      <w:pPr>
        <w:spacing w:after="0" w:line="3"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20"/>
          <w:szCs w:val="20"/>
          <w:color w:val="auto"/>
        </w:rPr>
        <w:t>Additionally, we are delighted to announce our recent agreement to acquire Undercover Snacks, a delicious, crunchy quinoa crisp line that highlights our continued expansion in the high-growth permissible indulgence segment. With chocolate and frosted varieties containing simple ingredients, Undercover Snacks is rapidly earning strong consumer preference and has a clear runway to expand household penetration and distribution.”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b w:val="1"/>
          <w:bCs w:val="1"/>
          <w:color w:val="4F2170"/>
        </w:rPr>
        <w:t>Net Revenue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in millions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6"/>
          </w:tcPr>
          <w:p>
            <w:pPr>
              <w:jc w:val="center"/>
              <w:spacing w:after="0"/>
              <w:rPr>
                <w:sz w:val="20"/>
                <w:szCs w:val="20"/>
                <w:color w:val="auto"/>
              </w:rPr>
            </w:pPr>
            <w:r>
              <w:rPr>
                <w:rFonts w:ascii="Arial" w:cs="Arial" w:eastAsia="Arial" w:hAnsi="Arial"/>
                <w:sz w:val="18"/>
                <w:szCs w:val="18"/>
                <w:b w:val="1"/>
                <w:bCs w:val="1"/>
                <w:color w:val="auto"/>
              </w:rPr>
              <w:t>Reported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gridSpan w:val="12"/>
            <w:vMerge w:val="restart"/>
          </w:tcPr>
          <w:p>
            <w:pPr>
              <w:jc w:val="right"/>
              <w:ind w:right="670"/>
              <w:spacing w:after="0"/>
              <w:rPr>
                <w:sz w:val="20"/>
                <w:szCs w:val="20"/>
                <w:color w:val="auto"/>
              </w:rPr>
            </w:pPr>
            <w:r>
              <w:rPr>
                <w:rFonts w:ascii="Arial" w:cs="Arial" w:eastAsia="Arial" w:hAnsi="Arial"/>
                <w:sz w:val="18"/>
                <w:szCs w:val="18"/>
                <w:b w:val="1"/>
                <w:bCs w:val="1"/>
                <w:color w:val="auto"/>
              </w:rPr>
              <w:t>Organic Net Revenue Growth</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5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Net Revenues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1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Q3 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90"/>
              <w:spacing w:after="0" w:line="177" w:lineRule="exact"/>
              <w:rPr>
                <w:sz w:val="20"/>
                <w:szCs w:val="20"/>
                <w:color w:val="auto"/>
              </w:rPr>
            </w:pPr>
            <w:r>
              <w:rPr>
                <w:rFonts w:ascii="Arial" w:cs="Arial" w:eastAsia="Arial" w:hAnsi="Arial"/>
                <w:sz w:val="18"/>
                <w:szCs w:val="18"/>
                <w:b w:val="1"/>
                <w:bCs w:val="1"/>
                <w:color w:val="auto"/>
              </w:rPr>
              <w:t>% Chg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Q3 2026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Vol/Mix</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Pricing</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Quarter 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vs PY</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Latin America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pp</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pp</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Asia, Middle East &amp; Africa</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left="430"/>
              <w:spacing w:after="0"/>
              <w:rPr>
                <w:sz w:val="20"/>
                <w:szCs w:val="20"/>
                <w:color w:val="auto"/>
              </w:rPr>
            </w:pPr>
            <w:r>
              <w:rPr>
                <w:rFonts w:ascii="Arial" w:cs="Arial" w:eastAsia="Arial" w:hAnsi="Arial"/>
                <w:sz w:val="18"/>
                <w:szCs w:val="18"/>
                <w:color w:val="auto"/>
                <w:w w:val="95"/>
              </w:rPr>
              <w:t>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North America</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2,846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center"/>
              <w:ind w:left="430"/>
              <w:spacing w:after="0"/>
              <w:rPr>
                <w:sz w:val="20"/>
                <w:szCs w:val="20"/>
                <w:color w:val="auto"/>
              </w:rPr>
            </w:pPr>
            <w:r>
              <w:rPr>
                <w:rFonts w:ascii="Arial" w:cs="Arial" w:eastAsia="Arial" w:hAnsi="Arial"/>
                <w:sz w:val="18"/>
                <w:szCs w:val="18"/>
                <w:color w:val="auto"/>
                <w:w w:val="95"/>
              </w:rPr>
              <w:t>1.6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ind w:left="86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b w:val="1"/>
                <w:bCs w:val="1"/>
                <w:color w:val="auto"/>
              </w:rPr>
              <w:t>Mondelēz International</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9,967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b w:val="1"/>
                <w:bCs w:val="1"/>
                <w:color w:val="auto"/>
                <w:w w:val="95"/>
              </w:rPr>
              <w:t>2.1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pp</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pp</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gridSpan w:val="3"/>
            <w:vMerge w:val="restart"/>
          </w:tcPr>
          <w:p>
            <w:pPr>
              <w:ind w:left="340"/>
              <w:spacing w:after="0"/>
              <w:rPr>
                <w:sz w:val="20"/>
                <w:szCs w:val="20"/>
                <w:color w:val="auto"/>
              </w:rPr>
            </w:pPr>
            <w:r>
              <w:rPr>
                <w:rFonts w:ascii="Arial" w:cs="Arial" w:eastAsia="Arial" w:hAnsi="Arial"/>
                <w:sz w:val="18"/>
                <w:szCs w:val="18"/>
                <w:color w:val="auto"/>
              </w:rPr>
              <w:t>Emerging Markets</w:t>
            </w:r>
          </w:p>
        </w:tc>
        <w:tc>
          <w:tcPr>
            <w:tcW w:w="26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center"/>
              <w:ind w:left="430"/>
              <w:spacing w:after="0"/>
              <w:rPr>
                <w:sz w:val="20"/>
                <w:szCs w:val="20"/>
                <w:color w:val="auto"/>
              </w:rPr>
            </w:pPr>
            <w:r>
              <w:rPr>
                <w:rFonts w:ascii="Arial" w:cs="Arial" w:eastAsia="Arial" w:hAnsi="Arial"/>
                <w:sz w:val="18"/>
                <w:szCs w:val="18"/>
                <w:color w:val="auto"/>
                <w:w w:val="95"/>
              </w:rPr>
              <w:t>4.1</w:t>
            </w:r>
          </w:p>
        </w:tc>
        <w:tc>
          <w:tcPr>
            <w:tcW w:w="20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3"/>
            <w:vMerge w:val="restart"/>
          </w:tcPr>
          <w:p>
            <w:pPr>
              <w:jc w:val="right"/>
              <w:ind w:right="10"/>
              <w:spacing w:after="0"/>
              <w:rPr>
                <w:sz w:val="20"/>
                <w:szCs w:val="20"/>
                <w:color w:val="auto"/>
              </w:rPr>
            </w:pPr>
            <w:r>
              <w:rPr>
                <w:rFonts w:ascii="Arial" w:cs="Arial" w:eastAsia="Arial" w:hAnsi="Arial"/>
                <w:sz w:val="18"/>
                <w:szCs w:val="18"/>
                <w:color w:val="auto"/>
              </w:rPr>
              <w:t>2.2</w:t>
            </w:r>
          </w:p>
        </w:tc>
        <w:tc>
          <w:tcPr>
            <w:tcW w:w="360" w:type="dxa"/>
            <w:vAlign w:val="bottom"/>
            <w:tcBorders>
              <w:top w:val="single" w:sz="8" w:color="CCEEFF"/>
            </w:tcBorders>
            <w:gridSpan w:val="3"/>
            <w:vMerge w:val="restart"/>
          </w:tcPr>
          <w:p>
            <w:pPr>
              <w:jc w:val="right"/>
              <w:ind w:right="140"/>
              <w:spacing w:after="0"/>
              <w:rPr>
                <w:sz w:val="20"/>
                <w:szCs w:val="20"/>
                <w:color w:val="auto"/>
              </w:rPr>
            </w:pPr>
            <w:r>
              <w:rPr>
                <w:rFonts w:ascii="Arial" w:cs="Arial" w:eastAsia="Arial" w:hAnsi="Arial"/>
                <w:sz w:val="18"/>
                <w:szCs w:val="18"/>
                <w:color w:val="auto"/>
                <w:w w:val="99"/>
              </w:rPr>
              <w:t>pp</w:t>
            </w:r>
          </w:p>
        </w:tc>
        <w:tc>
          <w:tcPr>
            <w:tcW w:w="1200" w:type="dxa"/>
            <w:vAlign w:val="bottom"/>
            <w:tcBorders>
              <w:top w:val="single" w:sz="8" w:color="CCEEFF"/>
            </w:tcBorders>
            <w:gridSpan w:val="2"/>
            <w:vMerge w:val="restart"/>
          </w:tcPr>
          <w:p>
            <w:pPr>
              <w:ind w:left="860"/>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pp</w:t>
            </w: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Borders>
              <w:top w:val="single" w:sz="8" w:color="CCEEFF"/>
            </w:tcBorders>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4,072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CCEEFF"/>
            </w:tcBorders>
            <w:gridSpan w:val="2"/>
            <w:vMerge w:val="continue"/>
          </w:tcPr>
          <w:p>
            <w:pPr>
              <w:spacing w:after="0"/>
              <w:rPr>
                <w:sz w:val="17"/>
                <w:szCs w:val="17"/>
                <w:color w:val="auto"/>
              </w:rPr>
            </w:pPr>
          </w:p>
        </w:tc>
        <w:tc>
          <w:tcPr>
            <w:tcW w:w="200" w:type="dxa"/>
            <w:vAlign w:val="bottom"/>
            <w:tcBorders>
              <w:top w:val="single" w:sz="8" w:color="CCEEFF"/>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CCEEFF"/>
            </w:tcBorders>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top w:val="single" w:sz="8" w:color="CCEEFF"/>
            </w:tcBorders>
            <w:gridSpan w:val="3"/>
            <w:vMerge w:val="continue"/>
          </w:tcPr>
          <w:p>
            <w:pPr>
              <w:spacing w:after="0"/>
              <w:rPr>
                <w:sz w:val="17"/>
                <w:szCs w:val="17"/>
                <w:color w:val="auto"/>
              </w:rPr>
            </w:pPr>
          </w:p>
        </w:tc>
        <w:tc>
          <w:tcPr>
            <w:tcW w:w="360" w:type="dxa"/>
            <w:vAlign w:val="bottom"/>
            <w:tcBorders>
              <w:top w:val="single" w:sz="8" w:color="CCEEFF"/>
            </w:tcBorders>
            <w:gridSpan w:val="3"/>
            <w:vMerge w:val="continue"/>
          </w:tcPr>
          <w:p>
            <w:pPr>
              <w:spacing w:after="0"/>
              <w:rPr>
                <w:sz w:val="17"/>
                <w:szCs w:val="17"/>
                <w:color w:val="auto"/>
              </w:rPr>
            </w:pPr>
          </w:p>
        </w:tc>
        <w:tc>
          <w:tcPr>
            <w:tcW w:w="1200" w:type="dxa"/>
            <w:vAlign w:val="bottom"/>
            <w:tcBorders>
              <w:top w:val="single" w:sz="8" w:color="CCEEFF"/>
            </w:tcBorders>
            <w:gridSpan w:val="2"/>
            <w:vMerge w:val="continue"/>
          </w:tcPr>
          <w:p>
            <w:pPr>
              <w:spacing w:after="0"/>
              <w:rPr>
                <w:sz w:val="17"/>
                <w:szCs w:val="17"/>
                <w:color w:val="auto"/>
              </w:rPr>
            </w:pPr>
          </w:p>
        </w:tc>
        <w:tc>
          <w:tcPr>
            <w:tcW w:w="260" w:type="dxa"/>
            <w:vAlign w:val="bottom"/>
            <w:tcBorders>
              <w:top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Developed Markets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pp</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 pp</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September Year-to-Date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YTD 2026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YTD 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Latin America</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(0.6) pp</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pp</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Asia, Middle East &amp; Africa</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left="430"/>
              <w:spacing w:after="0"/>
              <w:rPr>
                <w:sz w:val="20"/>
                <w:szCs w:val="20"/>
                <w:color w:val="auto"/>
              </w:rPr>
            </w:pPr>
            <w:r>
              <w:rPr>
                <w:rFonts w:ascii="Arial" w:cs="Arial" w:eastAsia="Arial" w:hAnsi="Arial"/>
                <w:sz w:val="18"/>
                <w:szCs w:val="18"/>
                <w:color w:val="auto"/>
                <w:w w:val="95"/>
              </w:rPr>
              <w:t>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North America</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8,036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center"/>
              <w:ind w:left="430"/>
              <w:spacing w:after="0"/>
              <w:rPr>
                <w:sz w:val="20"/>
                <w:szCs w:val="20"/>
                <w:color w:val="auto"/>
              </w:rPr>
            </w:pPr>
            <w:r>
              <w:rPr>
                <w:rFonts w:ascii="Arial" w:cs="Arial" w:eastAsia="Arial" w:hAnsi="Arial"/>
                <w:sz w:val="18"/>
                <w:szCs w:val="18"/>
                <w:color w:val="auto"/>
                <w:w w:val="95"/>
              </w:rPr>
              <w:t>1.8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3"/>
          </w:tcPr>
          <w:p>
            <w:pPr>
              <w:jc w:val="right"/>
              <w:ind w:right="10"/>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ind w:left="86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b w:val="1"/>
                <w:bCs w:val="1"/>
                <w:color w:val="auto"/>
              </w:rPr>
              <w:t>Mondelēz International</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b w:val="1"/>
                <w:bCs w:val="1"/>
                <w:color w:val="auto"/>
                <w:w w:val="95"/>
              </w:rPr>
              <w:t>2.4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pp</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pp</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gridSpan w:val="3"/>
            <w:vMerge w:val="restart"/>
          </w:tcPr>
          <w:p>
            <w:pPr>
              <w:ind w:left="340"/>
              <w:spacing w:after="0"/>
              <w:rPr>
                <w:sz w:val="20"/>
                <w:szCs w:val="20"/>
                <w:color w:val="auto"/>
              </w:rPr>
            </w:pPr>
            <w:r>
              <w:rPr>
                <w:rFonts w:ascii="Arial" w:cs="Arial" w:eastAsia="Arial" w:hAnsi="Arial"/>
                <w:sz w:val="18"/>
                <w:szCs w:val="18"/>
                <w:color w:val="auto"/>
              </w:rPr>
              <w:t>Emerging Markets</w:t>
            </w:r>
          </w:p>
        </w:tc>
        <w:tc>
          <w:tcPr>
            <w:tcW w:w="26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center"/>
              <w:ind w:left="430"/>
              <w:spacing w:after="0"/>
              <w:rPr>
                <w:sz w:val="20"/>
                <w:szCs w:val="20"/>
                <w:color w:val="auto"/>
              </w:rPr>
            </w:pPr>
            <w:r>
              <w:rPr>
                <w:rFonts w:ascii="Arial" w:cs="Arial" w:eastAsia="Arial" w:hAnsi="Arial"/>
                <w:sz w:val="18"/>
                <w:szCs w:val="18"/>
                <w:color w:val="auto"/>
                <w:w w:val="95"/>
              </w:rPr>
              <w:t>4.9</w:t>
            </w:r>
          </w:p>
        </w:tc>
        <w:tc>
          <w:tcPr>
            <w:tcW w:w="20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3"/>
            <w:vMerge w:val="restart"/>
          </w:tcPr>
          <w:p>
            <w:pPr>
              <w:jc w:val="right"/>
              <w:ind w:right="10"/>
              <w:spacing w:after="0"/>
              <w:rPr>
                <w:sz w:val="20"/>
                <w:szCs w:val="20"/>
                <w:color w:val="auto"/>
              </w:rPr>
            </w:pPr>
            <w:r>
              <w:rPr>
                <w:rFonts w:ascii="Arial" w:cs="Arial" w:eastAsia="Arial" w:hAnsi="Arial"/>
                <w:sz w:val="18"/>
                <w:szCs w:val="18"/>
                <w:color w:val="auto"/>
              </w:rPr>
              <w:t>1.4</w:t>
            </w:r>
          </w:p>
        </w:tc>
        <w:tc>
          <w:tcPr>
            <w:tcW w:w="360" w:type="dxa"/>
            <w:vAlign w:val="bottom"/>
            <w:tcBorders>
              <w:top w:val="single" w:sz="8" w:color="CCEEFF"/>
            </w:tcBorders>
            <w:gridSpan w:val="3"/>
            <w:vMerge w:val="restart"/>
          </w:tcPr>
          <w:p>
            <w:pPr>
              <w:jc w:val="right"/>
              <w:ind w:right="140"/>
              <w:spacing w:after="0"/>
              <w:rPr>
                <w:sz w:val="20"/>
                <w:szCs w:val="20"/>
                <w:color w:val="auto"/>
              </w:rPr>
            </w:pPr>
            <w:r>
              <w:rPr>
                <w:rFonts w:ascii="Arial" w:cs="Arial" w:eastAsia="Arial" w:hAnsi="Arial"/>
                <w:sz w:val="18"/>
                <w:szCs w:val="18"/>
                <w:color w:val="auto"/>
                <w:w w:val="99"/>
              </w:rPr>
              <w:t>pp</w:t>
            </w:r>
          </w:p>
        </w:tc>
        <w:tc>
          <w:tcPr>
            <w:tcW w:w="1200" w:type="dxa"/>
            <w:vAlign w:val="bottom"/>
            <w:tcBorders>
              <w:top w:val="single" w:sz="8" w:color="CCEEFF"/>
            </w:tcBorders>
            <w:gridSpan w:val="2"/>
            <w:vMerge w:val="restart"/>
          </w:tcPr>
          <w:p>
            <w:pPr>
              <w:ind w:left="860"/>
              <w:spacing w:after="0"/>
              <w:rPr>
                <w:sz w:val="20"/>
                <w:szCs w:val="20"/>
                <w:color w:val="auto"/>
              </w:rPr>
            </w:pPr>
            <w:r>
              <w:rPr>
                <w:rFonts w:ascii="Arial" w:cs="Arial" w:eastAsia="Arial" w:hAnsi="Arial"/>
                <w:sz w:val="18"/>
                <w:szCs w:val="18"/>
                <w:color w:val="auto"/>
              </w:rPr>
              <w:t>3.5</w:t>
            </w:r>
          </w:p>
        </w:tc>
        <w:tc>
          <w:tcPr>
            <w:tcW w:w="2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pp</w:t>
            </w: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Borders>
              <w:top w:val="single" w:sz="8" w:color="CCEEFF"/>
            </w:tcBorders>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12,130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CCEEFF"/>
            </w:tcBorders>
            <w:gridSpan w:val="2"/>
            <w:vMerge w:val="continue"/>
          </w:tcPr>
          <w:p>
            <w:pPr>
              <w:spacing w:after="0"/>
              <w:rPr>
                <w:sz w:val="17"/>
                <w:szCs w:val="17"/>
                <w:color w:val="auto"/>
              </w:rPr>
            </w:pPr>
          </w:p>
        </w:tc>
        <w:tc>
          <w:tcPr>
            <w:tcW w:w="200" w:type="dxa"/>
            <w:vAlign w:val="bottom"/>
            <w:tcBorders>
              <w:top w:val="single" w:sz="8" w:color="CCEEFF"/>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CCEEFF"/>
            </w:tcBorders>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top w:val="single" w:sz="8" w:color="CCEEFF"/>
            </w:tcBorders>
            <w:gridSpan w:val="3"/>
            <w:vMerge w:val="continue"/>
          </w:tcPr>
          <w:p>
            <w:pPr>
              <w:spacing w:after="0"/>
              <w:rPr>
                <w:sz w:val="17"/>
                <w:szCs w:val="17"/>
                <w:color w:val="auto"/>
              </w:rPr>
            </w:pPr>
          </w:p>
        </w:tc>
        <w:tc>
          <w:tcPr>
            <w:tcW w:w="360" w:type="dxa"/>
            <w:vAlign w:val="bottom"/>
            <w:tcBorders>
              <w:top w:val="single" w:sz="8" w:color="CCEEFF"/>
            </w:tcBorders>
            <w:gridSpan w:val="3"/>
            <w:vMerge w:val="continue"/>
          </w:tcPr>
          <w:p>
            <w:pPr>
              <w:spacing w:after="0"/>
              <w:rPr>
                <w:sz w:val="17"/>
                <w:szCs w:val="17"/>
                <w:color w:val="auto"/>
              </w:rPr>
            </w:pPr>
          </w:p>
        </w:tc>
        <w:tc>
          <w:tcPr>
            <w:tcW w:w="1200" w:type="dxa"/>
            <w:vAlign w:val="bottom"/>
            <w:tcBorders>
              <w:top w:val="single" w:sz="8" w:color="CCEEFF"/>
            </w:tcBorders>
            <w:gridSpan w:val="2"/>
            <w:vMerge w:val="continue"/>
          </w:tcPr>
          <w:p>
            <w:pPr>
              <w:spacing w:after="0"/>
              <w:rPr>
                <w:sz w:val="17"/>
                <w:szCs w:val="17"/>
                <w:color w:val="auto"/>
              </w:rPr>
            </w:pPr>
          </w:p>
        </w:tc>
        <w:tc>
          <w:tcPr>
            <w:tcW w:w="260" w:type="dxa"/>
            <w:vAlign w:val="bottom"/>
            <w:tcBorders>
              <w:top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Developed Markets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pp</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pp</w:t>
            </w:r>
          </w:p>
        </w:tc>
        <w:tc>
          <w:tcPr>
            <w:tcW w:w="0" w:type="dxa"/>
            <w:vAlign w:val="bottom"/>
          </w:tcPr>
          <w:p>
            <w:pPr>
              <w:spacing w:after="0"/>
              <w:rPr>
                <w:sz w:val="1"/>
                <w:szCs w:val="1"/>
                <w:color w:val="auto"/>
              </w:rPr>
            </w:pPr>
          </w:p>
        </w:tc>
      </w:tr>
      <w:tr>
        <w:trPr>
          <w:trHeight w:val="587"/>
        </w:trPr>
        <w:tc>
          <w:tcPr>
            <w:tcW w:w="3520" w:type="dxa"/>
            <w:vAlign w:val="bottom"/>
            <w:gridSpan w:val="4"/>
          </w:tcPr>
          <w:p>
            <w:pPr>
              <w:spacing w:after="0"/>
              <w:rPr>
                <w:sz w:val="20"/>
                <w:szCs w:val="20"/>
                <w:color w:val="auto"/>
              </w:rPr>
            </w:pPr>
            <w:r>
              <w:rPr>
                <w:rFonts w:ascii="Arial" w:cs="Arial" w:eastAsia="Arial" w:hAnsi="Arial"/>
                <w:sz w:val="20"/>
                <w:szCs w:val="20"/>
                <w:b w:val="1"/>
                <w:bCs w:val="1"/>
                <w:color w:val="4F2170"/>
              </w:rPr>
              <w:t>Operating Income and Diluted EPS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 in millions, except per share data</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rPr>
              <w:t>Reported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8"/>
              </w:rPr>
              <w:t>Adjusted</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Q3 2026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vs PY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8"/>
              </w:rPr>
              <w:t>Q3 2026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left="230"/>
              <w:spacing w:after="0" w:line="169" w:lineRule="exact"/>
              <w:rPr>
                <w:sz w:val="20"/>
                <w:szCs w:val="20"/>
                <w:color w:val="auto"/>
              </w:rPr>
            </w:pPr>
            <w:r>
              <w:rPr>
                <w:rFonts w:ascii="Arial" w:cs="Arial" w:eastAsia="Arial" w:hAnsi="Arial"/>
                <w:sz w:val="18"/>
                <w:szCs w:val="18"/>
                <w:b w:val="1"/>
                <w:bCs w:val="1"/>
                <w:color w:val="auto"/>
              </w:rPr>
              <w:t>vs PY</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rPr>
              <w:t>vs PY</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Quarter 3</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(Rpt Fx)</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(Rpt Fx)</w:t>
            </w: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(Cst Fx)</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Gross Profit Margin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12.6</w:t>
            </w:r>
          </w:p>
        </w:tc>
        <w:tc>
          <w:tcPr>
            <w:tcW w:w="380" w:type="dxa"/>
            <w:vAlign w:val="bottom"/>
            <w:gridSpan w:val="4"/>
          </w:tcPr>
          <w:p>
            <w:pPr>
              <w:jc w:val="right"/>
              <w:ind w:right="120"/>
              <w:spacing w:after="0"/>
              <w:rPr>
                <w:sz w:val="20"/>
                <w:szCs w:val="20"/>
                <w:color w:val="auto"/>
              </w:rPr>
            </w:pPr>
            <w:r>
              <w:rPr>
                <w:rFonts w:ascii="Arial" w:cs="Arial" w:eastAsia="Arial" w:hAnsi="Arial"/>
                <w:sz w:val="18"/>
                <w:szCs w:val="18"/>
                <w:color w:val="auto"/>
              </w:rPr>
              <w:t>pp</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pp</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6"/>
          </w:tcPr>
          <w:p>
            <w:pPr>
              <w:jc w:val="right"/>
              <w:ind w:right="120"/>
              <w:spacing w:after="0"/>
              <w:rPr>
                <w:sz w:val="20"/>
                <w:szCs w:val="20"/>
                <w:color w:val="auto"/>
              </w:rPr>
            </w:pPr>
            <w:r>
              <w:rPr>
                <w:rFonts w:ascii="Arial" w:cs="Arial" w:eastAsia="Arial" w:hAnsi="Arial"/>
                <w:sz w:val="18"/>
                <w:szCs w:val="18"/>
                <w:color w:val="auto"/>
              </w:rPr>
              <w:t>10.0 pp</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1.9 pp</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Net Earnings </w:t>
            </w:r>
            <w:r>
              <w:rPr>
                <w:rFonts w:ascii="Arial" w:cs="Arial" w:eastAsia="Arial" w:hAnsi="Arial"/>
                <w:sz w:val="23"/>
                <w:szCs w:val="23"/>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Diluted EPS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78.9</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0.78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September Year-to-Date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YTD 2026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8"/>
              </w:rPr>
              <w:t>YTD 2026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Gross Profit Margin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380" w:type="dxa"/>
            <w:vAlign w:val="bottom"/>
            <w:gridSpan w:val="4"/>
          </w:tcPr>
          <w:p>
            <w:pPr>
              <w:jc w:val="right"/>
              <w:ind w:right="120"/>
              <w:spacing w:after="0"/>
              <w:rPr>
                <w:sz w:val="20"/>
                <w:szCs w:val="20"/>
                <w:color w:val="auto"/>
              </w:rPr>
            </w:pPr>
            <w:r>
              <w:rPr>
                <w:rFonts w:ascii="Arial" w:cs="Arial" w:eastAsia="Arial" w:hAnsi="Arial"/>
                <w:sz w:val="18"/>
                <w:szCs w:val="18"/>
                <w:color w:val="auto"/>
              </w:rPr>
              <w:t>pp</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pp</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 %</w:t>
            </w:r>
          </w:p>
        </w:tc>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9"/>
              </w:rPr>
              <w:t>(3.7)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380" w:type="dxa"/>
            <w:vAlign w:val="bottom"/>
            <w:gridSpan w:val="4"/>
          </w:tcPr>
          <w:p>
            <w:pPr>
              <w:jc w:val="right"/>
              <w:ind w:right="120"/>
              <w:spacing w:after="0"/>
              <w:rPr>
                <w:sz w:val="20"/>
                <w:szCs w:val="20"/>
                <w:color w:val="auto"/>
              </w:rPr>
            </w:pPr>
            <w:r>
              <w:rPr>
                <w:rFonts w:ascii="Arial" w:cs="Arial" w:eastAsia="Arial" w:hAnsi="Arial"/>
                <w:sz w:val="18"/>
                <w:szCs w:val="18"/>
                <w:color w:val="auto"/>
              </w:rPr>
              <w:t>pp</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(0.8) pp</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Net Earnings </w:t>
            </w:r>
            <w:r>
              <w:rPr>
                <w:rFonts w:ascii="Arial" w:cs="Arial" w:eastAsia="Arial" w:hAnsi="Arial"/>
                <w:sz w:val="23"/>
                <w:szCs w:val="23"/>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(2.2) %</w:t>
            </w:r>
          </w:p>
        </w:tc>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9"/>
              </w:rPr>
              <w:t>(5.3) %</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Diluted EPS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94.2</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5"/>
          </w:tcPr>
          <w:p>
            <w:pPr>
              <w:jc w:val="right"/>
              <w:ind w:right="20"/>
              <w:spacing w:after="0"/>
              <w:rPr>
                <w:sz w:val="20"/>
                <w:szCs w:val="20"/>
                <w:color w:val="auto"/>
              </w:rPr>
            </w:pPr>
            <w:r>
              <w:rPr>
                <w:rFonts w:ascii="Arial" w:cs="Arial" w:eastAsia="Arial" w:hAnsi="Arial"/>
                <w:sz w:val="18"/>
                <w:szCs w:val="18"/>
                <w:color w:val="auto"/>
              </w:rPr>
              <w:t>(0.9) %</w:t>
            </w:r>
          </w:p>
        </w:tc>
        <w:tc>
          <w:tcPr>
            <w:tcW w:w="40" w:type="dxa"/>
            <w:vAlign w:val="bottom"/>
          </w:tcPr>
          <w:p>
            <w:pPr>
              <w:spacing w:after="0"/>
              <w:rPr>
                <w:sz w:val="21"/>
                <w:szCs w:val="21"/>
                <w:color w:val="auto"/>
              </w:rPr>
            </w:pPr>
          </w:p>
        </w:tc>
        <w:tc>
          <w:tcPr>
            <w:tcW w:w="1460" w:type="dxa"/>
            <w:vAlign w:val="bottom"/>
            <w:gridSpan w:val="3"/>
          </w:tcPr>
          <w:p>
            <w:pPr>
              <w:ind w:left="860"/>
              <w:spacing w:after="0"/>
              <w:rPr>
                <w:sz w:val="20"/>
                <w:szCs w:val="20"/>
                <w:color w:val="auto"/>
              </w:rPr>
            </w:pPr>
            <w:r>
              <w:rPr>
                <w:rFonts w:ascii="Arial" w:cs="Arial" w:eastAsia="Arial" w:hAnsi="Arial"/>
                <w:sz w:val="18"/>
                <w:szCs w:val="18"/>
                <w:color w:val="auto"/>
                <w:w w:val="99"/>
              </w:rPr>
              <w:t>(4.1)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885" w:right="67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u w:val="single" w:color="auto"/>
          <w:color w:val="auto"/>
        </w:rPr>
        <w:t>Third Quarter Commentary</w:t>
      </w:r>
    </w:p>
    <w:p>
      <w:pPr>
        <w:spacing w:after="0" w:line="362" w:lineRule="exact"/>
        <w:rPr>
          <w:sz w:val="20"/>
          <w:szCs w:val="20"/>
          <w:color w:val="auto"/>
        </w:rPr>
      </w:pPr>
    </w:p>
    <w:p>
      <w:pPr>
        <w:jc w:val="both"/>
        <w:ind w:left="660" w:hanging="328"/>
        <w:spacing w:after="0" w:line="37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Net revenues </w:t>
      </w:r>
      <w:r>
        <w:rPr>
          <w:rFonts w:ascii="Arial" w:cs="Arial" w:eastAsia="Arial" w:hAnsi="Arial"/>
          <w:sz w:val="20"/>
          <w:szCs w:val="20"/>
          <w:color w:val="auto"/>
        </w:rPr>
        <w:t>increased 2.3 percent driven by our underlying Organic Net Revenue growth of 2.1 percent and favorable</w:t>
      </w:r>
      <w:r>
        <w:rPr>
          <w:rFonts w:ascii="Arial" w:cs="Arial" w:eastAsia="Arial" w:hAnsi="Arial"/>
          <w:sz w:val="20"/>
          <w:szCs w:val="20"/>
          <w:b w:val="1"/>
          <w:bCs w:val="1"/>
          <w:color w:val="auto"/>
        </w:rPr>
        <w:t xml:space="preserve"> </w:t>
      </w:r>
      <w:r>
        <w:rPr>
          <w:rFonts w:ascii="Arial" w:cs="Arial" w:eastAsia="Arial" w:hAnsi="Arial"/>
          <w:sz w:val="20"/>
          <w:szCs w:val="20"/>
          <w:color w:val="auto"/>
        </w:rPr>
        <w:t>currency-related items, partially offset by lapping prior year net revenue from a divestiture. Organic Net Revenue growth was driven by favorable volume/mix and higher net pricing.</w:t>
      </w:r>
    </w:p>
    <w:p>
      <w:pPr>
        <w:spacing w:after="0" w:line="188" w:lineRule="exact"/>
        <w:rPr>
          <w:rFonts w:ascii="Arial" w:cs="Arial" w:eastAsia="Arial" w:hAnsi="Arial"/>
          <w:sz w:val="20"/>
          <w:szCs w:val="20"/>
          <w:color w:val="auto"/>
        </w:rPr>
      </w:pPr>
    </w:p>
    <w:p>
      <w:pPr>
        <w:jc w:val="both"/>
        <w:ind w:left="660" w:right="20" w:hanging="328"/>
        <w:spacing w:after="0" w:line="379" w:lineRule="auto"/>
        <w:tabs>
          <w:tab w:leader="none" w:pos="648"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Gross profit </w:t>
      </w:r>
      <w:r>
        <w:rPr>
          <w:rFonts w:ascii="Arial" w:cs="Arial" w:eastAsia="Arial" w:hAnsi="Arial"/>
          <w:sz w:val="19"/>
          <w:szCs w:val="19"/>
          <w:color w:val="auto"/>
        </w:rPr>
        <w:t>increased $1,312 million, and gross profit margin increased 1260 basis points to 39.4 percent primarily</w:t>
      </w:r>
      <w:r>
        <w:rPr>
          <w:rFonts w:ascii="Arial" w:cs="Arial" w:eastAsia="Arial" w:hAnsi="Arial"/>
          <w:sz w:val="19"/>
          <w:szCs w:val="19"/>
          <w:b w:val="1"/>
          <w:bCs w:val="1"/>
          <w:color w:val="auto"/>
        </w:rPr>
        <w:t xml:space="preserve"> </w:t>
      </w:r>
      <w:r>
        <w:rPr>
          <w:rFonts w:ascii="Arial" w:cs="Arial" w:eastAsia="Arial" w:hAnsi="Arial"/>
          <w:sz w:val="19"/>
          <w:szCs w:val="19"/>
          <w:color w:val="auto"/>
        </w:rPr>
        <w:t>driven by a favorable year-over-year change in mark-to-market impacts from commodity and foreign currency derivatives</w:t>
      </w:r>
    </w:p>
    <w:p>
      <w:pPr>
        <w:jc w:val="both"/>
        <w:ind w:left="660"/>
        <w:spacing w:after="0" w:line="343" w:lineRule="auto"/>
        <w:rPr>
          <w:rFonts w:ascii="Arial" w:cs="Arial" w:eastAsia="Arial" w:hAnsi="Arial"/>
          <w:sz w:val="19"/>
          <w:szCs w:val="19"/>
          <w:b w:val="1"/>
          <w:bCs w:val="1"/>
          <w:color w:val="auto"/>
        </w:rPr>
      </w:pPr>
      <w:r>
        <w:rPr>
          <w:rFonts w:ascii="Arial" w:cs="Arial" w:eastAsia="Arial" w:hAnsi="Arial"/>
          <w:sz w:val="20"/>
          <w:szCs w:val="20"/>
          <w:color w:val="auto"/>
        </w:rPr>
        <w:t>and an increase in Adjusted Gross Profit</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margin, partially offset by incremental costs due to geopolitical conflicts. Adjusted Gross Profit increased $414 million at constant currency and Adjusted Gross Profit margin increased 380 basis points to 34.2 percent driven primarily by lower raw material costs, lower manufacturing costs driven by productivity, favorable volume/mix and higher net pricing.</w:t>
      </w:r>
    </w:p>
    <w:p>
      <w:pPr>
        <w:spacing w:after="0" w:line="221" w:lineRule="exact"/>
        <w:rPr>
          <w:rFonts w:ascii="Arial" w:cs="Arial" w:eastAsia="Arial" w:hAnsi="Arial"/>
          <w:sz w:val="19"/>
          <w:szCs w:val="19"/>
          <w:b w:val="1"/>
          <w:bCs w:val="1"/>
          <w:color w:val="auto"/>
        </w:rPr>
      </w:pPr>
    </w:p>
    <w:p>
      <w:pPr>
        <w:jc w:val="both"/>
        <w:ind w:left="660" w:hanging="328"/>
        <w:spacing w:after="0" w:line="360" w:lineRule="auto"/>
        <w:tabs>
          <w:tab w:leader="none" w:pos="648"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Operating income </w:t>
      </w:r>
      <w:r>
        <w:rPr>
          <w:rFonts w:ascii="Arial" w:cs="Arial" w:eastAsia="Arial" w:hAnsi="Arial"/>
          <w:sz w:val="20"/>
          <w:szCs w:val="20"/>
          <w:color w:val="auto"/>
        </w:rPr>
        <w:t>increased $1,014 million, and operating income margin was 17.6 percent, up 1000 basis points due</w:t>
      </w:r>
      <w:r>
        <w:rPr>
          <w:rFonts w:ascii="Arial" w:cs="Arial" w:eastAsia="Arial" w:hAnsi="Arial"/>
          <w:sz w:val="20"/>
          <w:szCs w:val="20"/>
          <w:b w:val="1"/>
          <w:bCs w:val="1"/>
          <w:color w:val="auto"/>
        </w:rPr>
        <w:t xml:space="preserve"> </w:t>
      </w:r>
      <w:r>
        <w:rPr>
          <w:rFonts w:ascii="Arial" w:cs="Arial" w:eastAsia="Arial" w:hAnsi="Arial"/>
          <w:sz w:val="20"/>
          <w:szCs w:val="20"/>
          <w:color w:val="auto"/>
        </w:rPr>
        <w:t>primarily to a favorable year-over-year change in mark-to-market impacts from commodity and foreign currency</w:t>
      </w:r>
    </w:p>
    <w:p>
      <w:pPr>
        <w:jc w:val="both"/>
        <w:ind w:left="660"/>
        <w:spacing w:after="0" w:line="350" w:lineRule="auto"/>
        <w:rPr>
          <w:rFonts w:ascii="Arial" w:cs="Arial" w:eastAsia="Arial" w:hAnsi="Arial"/>
          <w:sz w:val="20"/>
          <w:szCs w:val="20"/>
          <w:b w:val="1"/>
          <w:bCs w:val="1"/>
          <w:i w:val="1"/>
          <w:iCs w:val="1"/>
          <w:color w:val="auto"/>
        </w:rPr>
      </w:pPr>
      <w:r>
        <w:rPr>
          <w:rFonts w:ascii="Arial" w:cs="Arial" w:eastAsia="Arial" w:hAnsi="Arial"/>
          <w:sz w:val="20"/>
          <w:szCs w:val="20"/>
          <w:color w:val="auto"/>
        </w:rPr>
        <w:t>derivatives, higher Adjusted Operating Income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margin and a favorable year-over-year change in acquisition-related items, partially offset by higher restructuring charges, higher intangible asset impairment charges, incremental costs due to geopolitical conflicts and higher costs incurred for the ERP System Implementation program. Adjusted Operating Income increased $199 million at constant currency and Adjusted Operating Income margin increased 190 basis points to 13.9 percent, driven primarily by lower raw material costs, lower manufacturing costs driven by productivity, higher net pricing and favorable volume/mix, partially offset by higher other selling, general and administrative expenses and higher advertising and consumer promotion costs.</w:t>
      </w:r>
    </w:p>
    <w:p>
      <w:pPr>
        <w:spacing w:after="0" w:line="225" w:lineRule="exact"/>
        <w:rPr>
          <w:rFonts w:ascii="Arial" w:cs="Arial" w:eastAsia="Arial" w:hAnsi="Arial"/>
          <w:sz w:val="20"/>
          <w:szCs w:val="20"/>
          <w:b w:val="1"/>
          <w:bCs w:val="1"/>
          <w:i w:val="1"/>
          <w:iCs w:val="1"/>
          <w:color w:val="auto"/>
        </w:rPr>
      </w:pPr>
    </w:p>
    <w:p>
      <w:pPr>
        <w:jc w:val="both"/>
        <w:ind w:left="660" w:hanging="328"/>
        <w:spacing w:after="0" w:line="364" w:lineRule="auto"/>
        <w:tabs>
          <w:tab w:leader="none" w:pos="648"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Diluted EPS </w:t>
      </w:r>
      <w:r>
        <w:rPr>
          <w:rFonts w:ascii="Arial" w:cs="Arial" w:eastAsia="Arial" w:hAnsi="Arial"/>
          <w:sz w:val="20"/>
          <w:szCs w:val="20"/>
          <w:color w:val="auto"/>
        </w:rPr>
        <w:t>was $1.02, up 78.9 percent, primarily driven by a favorable year-over-year change in mark-to-market</w:t>
      </w:r>
      <w:r>
        <w:rPr>
          <w:rFonts w:ascii="Arial" w:cs="Arial" w:eastAsia="Arial" w:hAnsi="Arial"/>
          <w:sz w:val="20"/>
          <w:szCs w:val="20"/>
          <w:b w:val="1"/>
          <w:bCs w:val="1"/>
          <w:color w:val="auto"/>
        </w:rPr>
        <w:t xml:space="preserve"> </w:t>
      </w:r>
      <w:r>
        <w:rPr>
          <w:rFonts w:ascii="Arial" w:cs="Arial" w:eastAsia="Arial" w:hAnsi="Arial"/>
          <w:sz w:val="20"/>
          <w:szCs w:val="20"/>
          <w:color w:val="auto"/>
        </w:rPr>
        <w:t>impacts from commodity and foreign currency derivatives, a favorable year-over-year change in acquisition-related items and lapping prior year pension participation charges. These favorable items were partially offset by lapping a prior year gain on equity method investment transactions, higher restructuring charges, higher costs incurred for the ERP System Implementation program, higher intangible asset impairment charges, lapping a prior year favorable resolution of tax matters and incremental costs due to geopolitical conflicts.</w:t>
      </w:r>
    </w:p>
    <w:p>
      <w:pPr>
        <w:spacing w:after="0" w:line="215" w:lineRule="exact"/>
        <w:rPr>
          <w:rFonts w:ascii="Arial" w:cs="Arial" w:eastAsia="Arial" w:hAnsi="Arial"/>
          <w:sz w:val="20"/>
          <w:szCs w:val="20"/>
          <w:b w:val="1"/>
          <w:bCs w:val="1"/>
          <w:i w:val="1"/>
          <w:iCs w:val="1"/>
          <w:color w:val="auto"/>
        </w:rPr>
      </w:pPr>
    </w:p>
    <w:p>
      <w:pPr>
        <w:jc w:val="both"/>
        <w:ind w:left="660" w:hanging="328"/>
        <w:spacing w:after="0" w:line="334" w:lineRule="auto"/>
        <w:tabs>
          <w:tab w:leader="none" w:pos="64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Adjusted EPS </w:t>
      </w:r>
      <w:r>
        <w:rPr>
          <w:rFonts w:ascii="Arial" w:cs="Arial" w:eastAsia="Arial" w:hAnsi="Arial"/>
          <w:sz w:val="20"/>
          <w:szCs w:val="20"/>
          <w:color w:val="auto"/>
        </w:rPr>
        <w:t>was $0.78, up 5.5 percent on a constant currency basis. The increase in Adjusted EPS</w:t>
      </w:r>
      <w:r>
        <w:rPr>
          <w:rFonts w:ascii="Arial" w:cs="Arial" w:eastAsia="Arial" w:hAnsi="Arial"/>
          <w:sz w:val="25"/>
          <w:szCs w:val="25"/>
          <w:color w:val="auto"/>
          <w:vertAlign w:val="superscript"/>
        </w:rPr>
        <w:t>1</w:t>
      </w:r>
      <w:r>
        <w:rPr>
          <w:rFonts w:ascii="Arial" w:cs="Arial" w:eastAsia="Arial" w:hAnsi="Arial"/>
          <w:sz w:val="20"/>
          <w:szCs w:val="20"/>
          <w:b w:val="1"/>
          <w:bCs w:val="1"/>
          <w:color w:val="auto"/>
        </w:rPr>
        <w:t xml:space="preserve"> </w:t>
      </w:r>
      <w:r>
        <w:rPr>
          <w:rFonts w:ascii="Arial" w:cs="Arial" w:eastAsia="Arial" w:hAnsi="Arial"/>
          <w:sz w:val="20"/>
          <w:szCs w:val="20"/>
          <w:color w:val="auto"/>
        </w:rPr>
        <w:t>was driven by</w:t>
      </w:r>
      <w:r>
        <w:rPr>
          <w:rFonts w:ascii="Arial" w:cs="Arial" w:eastAsia="Arial" w:hAnsi="Arial"/>
          <w:sz w:val="20"/>
          <w:szCs w:val="20"/>
          <w:b w:val="1"/>
          <w:bCs w:val="1"/>
          <w:color w:val="auto"/>
        </w:rPr>
        <w:t xml:space="preserve"> </w:t>
      </w:r>
      <w:r>
        <w:rPr>
          <w:rFonts w:ascii="Arial" w:cs="Arial" w:eastAsia="Arial" w:hAnsi="Arial"/>
          <w:sz w:val="20"/>
          <w:szCs w:val="20"/>
          <w:color w:val="auto"/>
        </w:rPr>
        <w:t>operating increases and fewer shares outstanding, partially offset by higher income tax, higher interest and other expense and lower equity method investment net earnings.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41" w:right="339" w:bottom="1440" w:gutter="0" w:footer="0" w:header="0"/>
        </w:sectPr>
      </w:pPr>
    </w:p>
    <w:bookmarkStart w:id="6" w:name="page7"/>
    <w:bookmarkEnd w:id="6"/>
    <w:p>
      <w:pPr>
        <w:ind w:left="660" w:right="20" w:hanging="328"/>
        <w:spacing w:after="0" w:line="400"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Capital Return</w:t>
      </w:r>
      <w:r>
        <w:rPr>
          <w:rFonts w:ascii="Arial" w:cs="Arial" w:eastAsia="Arial" w:hAnsi="Arial"/>
          <w:sz w:val="20"/>
          <w:szCs w:val="20"/>
          <w:color w:val="auto"/>
        </w:rPr>
        <w:t>: The company returned $2.8 billion to shareholders in cash dividends and share repurchases in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nine months of 2026.</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4F2170"/>
        </w:rPr>
        <w:t>2026 Outlook</w:t>
      </w:r>
    </w:p>
    <w:p>
      <w:pPr>
        <w:spacing w:after="0" w:line="118" w:lineRule="exact"/>
        <w:rPr>
          <w:sz w:val="20"/>
          <w:szCs w:val="20"/>
          <w:color w:val="auto"/>
        </w:rPr>
      </w:pPr>
    </w:p>
    <w:p>
      <w:pPr>
        <w:jc w:val="both"/>
        <w:ind w:firstLine="648"/>
        <w:spacing w:after="0" w:line="375" w:lineRule="auto"/>
        <w:rPr>
          <w:sz w:val="20"/>
          <w:szCs w:val="20"/>
          <w:color w:val="auto"/>
        </w:rPr>
      </w:pPr>
      <w:r>
        <w:rPr>
          <w:rFonts w:ascii="Arial" w:cs="Arial" w:eastAsia="Arial" w:hAnsi="Arial"/>
          <w:sz w:val="20"/>
          <w:szCs w:val="20"/>
          <w:color w:val="auto"/>
        </w:rPr>
        <w:t>Mondelēz International provides its outlook on a non-GAAP basis, as the company cannot predict some elements that are included in reported GAAP results, including future changes in foreign currency rates. Refer to the Outlook section in the discussion of non-GAAP financial measures below for more details.</w:t>
      </w:r>
    </w:p>
    <w:p>
      <w:pPr>
        <w:spacing w:after="0" w:line="56" w:lineRule="exact"/>
        <w:rPr>
          <w:sz w:val="20"/>
          <w:szCs w:val="20"/>
          <w:color w:val="auto"/>
        </w:rPr>
      </w:pPr>
    </w:p>
    <w:p>
      <w:pPr>
        <w:ind w:right="320" w:firstLine="648"/>
        <w:spacing w:after="0" w:line="339" w:lineRule="auto"/>
        <w:rPr>
          <w:sz w:val="20"/>
          <w:szCs w:val="20"/>
          <w:color w:val="auto"/>
        </w:rPr>
      </w:pPr>
      <w:r>
        <w:rPr>
          <w:rFonts w:ascii="Arial" w:cs="Arial" w:eastAsia="Arial" w:hAnsi="Arial"/>
          <w:sz w:val="20"/>
          <w:szCs w:val="20"/>
          <w:color w:val="auto"/>
        </w:rPr>
        <w:t>For 2026, the company reaffirms Organic Net Revenue growth of at least 2 percent and Adjusted EPS growth in the range of flat to 5 percent on a constant currency basis. The company also expects 2026 Free Cash Flow of approximately $3 billion. The company currently estimates currency translation would increase 2026 net revenue growth by approximately 1.5 percent</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and increase Adjusted EPS by $0.04</w:t>
      </w:r>
      <w:r>
        <w:rPr>
          <w:rFonts w:ascii="Arial" w:cs="Arial" w:eastAsia="Arial" w:hAnsi="Arial"/>
          <w:sz w:val="25"/>
          <w:szCs w:val="25"/>
          <w:color w:val="auto"/>
          <w:vertAlign w:val="superscript"/>
        </w:rPr>
        <w:t>3</w:t>
      </w:r>
      <w:r>
        <w:rPr>
          <w:rFonts w:ascii="Arial" w:cs="Arial" w:eastAsia="Arial" w:hAnsi="Arial"/>
          <w:sz w:val="20"/>
          <w:szCs w:val="20"/>
          <w:color w:val="auto"/>
        </w:rPr>
        <w:t>.</w:t>
      </w:r>
    </w:p>
    <w:p>
      <w:pPr>
        <w:spacing w:after="0" w:line="3"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20"/>
          <w:szCs w:val="20"/>
          <w:color w:val="auto"/>
        </w:rPr>
        <w:t>Outlook is provided in the context of greater than usual volatility, including geopolitical, trade and regulatory uncertainty and commodity prices. This outlook does not reflect any potential tariff changes to United States-Mexico-Canada Agreement ("USMCA") compliant trade.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4F2170"/>
        </w:rPr>
        <w:t>Conference Call</w:t>
      </w:r>
    </w:p>
    <w:p>
      <w:pPr>
        <w:spacing w:after="0" w:line="118" w:lineRule="exact"/>
        <w:rPr>
          <w:sz w:val="20"/>
          <w:szCs w:val="20"/>
          <w:color w:val="auto"/>
        </w:rPr>
      </w:pPr>
    </w:p>
    <w:p>
      <w:pPr>
        <w:jc w:val="both"/>
        <w:ind w:firstLine="648"/>
        <w:spacing w:after="0" w:line="384" w:lineRule="auto"/>
        <w:rPr>
          <w:sz w:val="20"/>
          <w:szCs w:val="20"/>
          <w:color w:val="auto"/>
        </w:rPr>
      </w:pPr>
      <w:r>
        <w:rPr>
          <w:rFonts w:ascii="Arial" w:cs="Arial" w:eastAsia="Arial" w:hAnsi="Arial"/>
          <w:sz w:val="20"/>
          <w:szCs w:val="20"/>
          <w:color w:val="auto"/>
        </w:rPr>
        <w:t xml:space="preserve">Mondelēz International will host a conference call for investors at 5 p.m. ET today. A listen-only webcast will be provided at </w:t>
      </w:r>
      <w:r>
        <w:rPr>
          <w:rFonts w:ascii="Arial" w:cs="Arial" w:eastAsia="Arial" w:hAnsi="Arial"/>
          <w:sz w:val="20"/>
          <w:szCs w:val="20"/>
          <w:u w:val="single" w:color="auto"/>
          <w:color w:val="3051F2"/>
        </w:rPr>
        <w:t>www.mondelezinternational.com</w:t>
      </w:r>
      <w:r>
        <w:rPr>
          <w:rFonts w:ascii="Arial" w:cs="Arial" w:eastAsia="Arial" w:hAnsi="Arial"/>
          <w:sz w:val="20"/>
          <w:szCs w:val="20"/>
          <w:color w:val="auto"/>
        </w:rPr>
        <w:t>. An archive of the webcast will be available on the company’s web site.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4F2170"/>
        </w:rPr>
        <w:t>About Mondelēz International</w:t>
      </w:r>
    </w:p>
    <w:p>
      <w:pPr>
        <w:spacing w:after="0" w:line="226"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20"/>
          <w:szCs w:val="20"/>
          <w:color w:val="auto"/>
        </w:rPr>
        <w:t xml:space="preserve">Mondelēz International, Inc. (Nasdaq: MDLZ) empowers people to snack right in over 150 countries around the world. With 2025 net revenues of approximately $38.5 billion, MDLZ is leading the future of snacking with iconic global and local brands such as Oreo, Ritz, LU, Clif Bar and Tate's Bake Shop biscuits and baked snacks, as well as Cadbury Dairy Milk, Milka and Toblerone chocolate. Mondelēz International is a proud member of the Dow Jones Best-in-Class North America and World Indices, formerly Dow Jones Sustainability Indices. Visit </w:t>
      </w:r>
      <w:r>
        <w:rPr>
          <w:rFonts w:ascii="Arial" w:cs="Arial" w:eastAsia="Arial" w:hAnsi="Arial"/>
          <w:sz w:val="20"/>
          <w:szCs w:val="20"/>
          <w:u w:val="single" w:color="auto"/>
          <w:color w:val="0000FF"/>
        </w:rPr>
        <w:t>www.mondelezinternational.com</w:t>
      </w:r>
      <w:r>
        <w:rPr>
          <w:rFonts w:ascii="Arial" w:cs="Arial" w:eastAsia="Arial" w:hAnsi="Arial"/>
          <w:sz w:val="20"/>
          <w:szCs w:val="20"/>
          <w:color w:val="auto"/>
        </w:rPr>
        <w:t xml:space="preserve"> or follow the company on X at </w:t>
      </w:r>
      <w:r>
        <w:rPr>
          <w:rFonts w:ascii="Arial" w:cs="Arial" w:eastAsia="Arial" w:hAnsi="Arial"/>
          <w:sz w:val="20"/>
          <w:szCs w:val="20"/>
          <w:u w:val="single" w:color="auto"/>
          <w:color w:val="3051F2"/>
        </w:rPr>
        <w:t>x.com/MDLZ</w:t>
      </w:r>
      <w:r>
        <w:rPr>
          <w:rFonts w:ascii="Arial" w:cs="Arial" w:eastAsia="Arial" w:hAnsi="Arial"/>
          <w:sz w:val="20"/>
          <w:szCs w:val="20"/>
          <w:color w:val="000000"/>
        </w:rPr>
        <w: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4F2170"/>
        </w:rPr>
        <w:t>End Notes</w:t>
      </w:r>
    </w:p>
    <w:p>
      <w:pPr>
        <w:spacing w:after="0" w:line="226" w:lineRule="exact"/>
        <w:rPr>
          <w:sz w:val="20"/>
          <w:szCs w:val="20"/>
          <w:color w:val="auto"/>
        </w:rPr>
      </w:pPr>
    </w:p>
    <w:p>
      <w:pPr>
        <w:jc w:val="both"/>
        <w:ind w:left="1300" w:hanging="644"/>
        <w:spacing w:after="0" w:line="367" w:lineRule="auto"/>
        <w:tabs>
          <w:tab w:leader="none" w:pos="1289" w:val="left"/>
        </w:tabs>
        <w:numPr>
          <w:ilvl w:val="0"/>
          <w:numId w:val="4"/>
        </w:numPr>
        <w:rPr>
          <w:rFonts w:ascii="Arial" w:cs="Arial" w:eastAsia="Arial" w:hAnsi="Arial"/>
          <w:sz w:val="20"/>
          <w:szCs w:val="20"/>
          <w:color w:val="auto"/>
        </w:rPr>
      </w:pPr>
      <w:r>
        <w:rPr>
          <w:rFonts w:ascii="Arial" w:cs="Arial" w:eastAsia="Arial" w:hAnsi="Arial"/>
          <w:sz w:val="20"/>
          <w:szCs w:val="20"/>
          <w:color w:val="auto"/>
        </w:rPr>
        <w:t>Organic Net Revenue, Adjusted Gross Profit (and Adjusted Gross Profit margin), Adjusted Operating Income (and Adjusted Operating Income margin), Adjusted EPS, Free Cash Flow and presentation of amounts in both reported and constant currency are non-GAAP financial measures. Please see discussion of non-GAAP financial measures at the end of this press release for more information.</w:t>
      </w:r>
    </w:p>
    <w:p>
      <w:pPr>
        <w:spacing w:after="0" w:line="24"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earnings attributable to Mondelēz International.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39" w:right="339" w:bottom="1440" w:gutter="0" w:footer="0" w:header="0"/>
        </w:sectPr>
      </w:pPr>
    </w:p>
    <w:bookmarkStart w:id="7" w:name="page8"/>
    <w:bookmarkEnd w:id="7"/>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Currency estimate is based on published rates from XE.com on October 22, 2026.</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4F2170"/>
        </w:rPr>
        <w:t>Additional Definitions</w:t>
      </w:r>
    </w:p>
    <w:p>
      <w:pPr>
        <w:spacing w:after="0" w:line="118" w:lineRule="exact"/>
        <w:rPr>
          <w:sz w:val="20"/>
          <w:szCs w:val="20"/>
          <w:color w:val="auto"/>
        </w:rPr>
      </w:pPr>
    </w:p>
    <w:p>
      <w:pPr>
        <w:jc w:val="both"/>
        <w:ind w:firstLine="648"/>
        <w:spacing w:after="0" w:line="375" w:lineRule="auto"/>
        <w:rPr>
          <w:sz w:val="20"/>
          <w:szCs w:val="20"/>
          <w:color w:val="auto"/>
        </w:rPr>
      </w:pPr>
      <w:r>
        <w:rPr>
          <w:rFonts w:ascii="Arial" w:cs="Arial" w:eastAsia="Arial" w:hAnsi="Arial"/>
          <w:sz w:val="20"/>
          <w:szCs w:val="20"/>
          <w:color w:val="auto"/>
        </w:rPr>
        <w:t>Emerging markets consist of the entire Latin America region; the Asia, Middle East and Africa region excluding Australia, New Zealand and Japan; and the following countries from the Europe region: Russia, Ukraine, Türkiye, Kazakhstan, Georgia, Poland, Czech Republic, Slovak Republic, Hungary, Bulgaria, Romania, the Baltics and the East Adriatic countries.</w:t>
      </w:r>
    </w:p>
    <w:p>
      <w:pPr>
        <w:spacing w:after="0" w:line="56" w:lineRule="exact"/>
        <w:rPr>
          <w:sz w:val="20"/>
          <w:szCs w:val="20"/>
          <w:color w:val="auto"/>
        </w:rPr>
      </w:pPr>
    </w:p>
    <w:p>
      <w:pPr>
        <w:jc w:val="both"/>
        <w:ind w:right="20" w:firstLine="363"/>
        <w:spacing w:after="0" w:line="398" w:lineRule="auto"/>
        <w:rPr>
          <w:sz w:val="20"/>
          <w:szCs w:val="20"/>
          <w:color w:val="auto"/>
        </w:rPr>
      </w:pPr>
      <w:r>
        <w:rPr>
          <w:rFonts w:ascii="Arial" w:cs="Arial" w:eastAsia="Arial" w:hAnsi="Arial"/>
          <w:sz w:val="20"/>
          <w:szCs w:val="20"/>
          <w:color w:val="auto"/>
        </w:rPr>
        <w:t>Developed markets include the entire North America region, the Europe region excluding the countries included in the emerging markets definition, and Australia, New Zealand and Japan from the Asia, Middle East and Africa region.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4F2170"/>
        </w:rPr>
        <w:t>Forward-Looking Statements</w:t>
      </w:r>
    </w:p>
    <w:p>
      <w:pPr>
        <w:spacing w:after="0" w:line="213"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(the "Exchange Act").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the words, “will,” “may,” “expect,” “would,” “could,” “might,” “intend,” “plan,” “believe,” “likely,” “estimate,” “anticipate,” “objective,” “predict,” “project,” “drive,” “seek,” “aim,” “target,” "remain," “potential,” “commitment,” “outlook,” “continue” or any other similar words.</w:t>
      </w:r>
    </w:p>
    <w:p>
      <w:pPr>
        <w:spacing w:after="0" w:line="221"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and are amplified by ongoing macroeconomic volatility and uncertainty, including current and potential trade and tariff actions affecting the countries where we operate. Important factors that could cause our actual results or performance to differ materially from those contained in or implied by our forward-looking statements include, but are not limited to, the following:</w:t>
      </w:r>
    </w:p>
    <w:p>
      <w:pPr>
        <w:spacing w:after="0" w:line="204" w:lineRule="exact"/>
        <w:rPr>
          <w:sz w:val="20"/>
          <w:szCs w:val="20"/>
          <w:color w:val="auto"/>
        </w:rPr>
      </w:pPr>
    </w:p>
    <w:p>
      <w:pPr>
        <w:ind w:left="660" w:hanging="328"/>
        <w:spacing w:after="0" w:line="398"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weakness and/or volatility in macroeconomic conditions in our markets, including as a result of inflation (and related monetary policy actions by governments in response to inflation) and the instability of certain financial institutions;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41" w:right="339" w:bottom="1440" w:gutter="0" w:footer="0" w:header="0"/>
        </w:sectPr>
      </w:pPr>
    </w:p>
    <w:bookmarkStart w:id="8" w:name="page9"/>
    <w:bookmarkEnd w:id="8"/>
    <w:p>
      <w:pPr>
        <w:ind w:left="328" w:right="20" w:hanging="328"/>
        <w:spacing w:after="0" w:line="359" w:lineRule="auto"/>
        <w:tabs>
          <w:tab w:leader="none" w:pos="316" w:val="left"/>
        </w:tabs>
        <w:numPr>
          <w:ilvl w:val="0"/>
          <w:numId w:val="7"/>
        </w:numPr>
        <w:rPr>
          <w:rFonts w:ascii="Arial" w:cs="Arial" w:eastAsia="Arial" w:hAnsi="Arial"/>
          <w:sz w:val="20"/>
          <w:szCs w:val="20"/>
          <w:color w:val="auto"/>
        </w:rPr>
      </w:pPr>
      <w:r>
        <w:rPr>
          <w:rFonts w:ascii="Arial" w:cs="Arial" w:eastAsia="Arial" w:hAnsi="Arial"/>
          <w:sz w:val="20"/>
          <w:szCs w:val="20"/>
          <w:color w:val="auto"/>
        </w:rPr>
        <w:t>risks from operating globally including geopolitical, trade, tariff and regulatory uncertainties affecting developed and emerging markets;</w:t>
      </w:r>
    </w:p>
    <w:p>
      <w:pPr>
        <w:ind w:left="328" w:right="20" w:hanging="328"/>
        <w:spacing w:after="0" w:line="359" w:lineRule="auto"/>
        <w:tabs>
          <w:tab w:leader="none" w:pos="316" w:val="left"/>
        </w:tabs>
        <w:numPr>
          <w:ilvl w:val="0"/>
          <w:numId w:val="7"/>
        </w:numPr>
        <w:rPr>
          <w:rFonts w:ascii="Arial" w:cs="Arial" w:eastAsia="Arial" w:hAnsi="Arial"/>
          <w:sz w:val="20"/>
          <w:szCs w:val="20"/>
          <w:color w:val="auto"/>
        </w:rPr>
      </w:pPr>
      <w:r>
        <w:rPr>
          <w:rFonts w:ascii="Arial" w:cs="Arial" w:eastAsia="Arial" w:hAnsi="Arial"/>
          <w:sz w:val="20"/>
          <w:szCs w:val="20"/>
          <w:color w:val="auto"/>
        </w:rPr>
        <w:t>volatility of cocoa and other commodity input costs, our ability to effectively hedge such costs and the availability of commodities;</w:t>
      </w:r>
    </w:p>
    <w:p>
      <w:pPr>
        <w:jc w:val="both"/>
        <w:ind w:left="328" w:hanging="328"/>
        <w:spacing w:after="0" w:line="361" w:lineRule="auto"/>
        <w:tabs>
          <w:tab w:leader="none" w:pos="316" w:val="left"/>
        </w:tabs>
        <w:numPr>
          <w:ilvl w:val="0"/>
          <w:numId w:val="7"/>
        </w:numPr>
        <w:rPr>
          <w:rFonts w:ascii="Arial" w:cs="Arial" w:eastAsia="Arial" w:hAnsi="Arial"/>
          <w:sz w:val="20"/>
          <w:szCs w:val="20"/>
          <w:color w:val="auto"/>
        </w:rPr>
      </w:pPr>
      <w:r>
        <w:rPr>
          <w:rFonts w:ascii="Arial" w:cs="Arial" w:eastAsia="Arial" w:hAnsi="Arial"/>
          <w:sz w:val="20"/>
          <w:szCs w:val="20"/>
          <w:color w:val="auto"/>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spacing w:after="0" w:line="1" w:lineRule="exact"/>
        <w:rPr>
          <w:rFonts w:ascii="Arial" w:cs="Arial" w:eastAsia="Arial" w:hAnsi="Arial"/>
          <w:sz w:val="20"/>
          <w:szCs w:val="20"/>
          <w:color w:val="auto"/>
        </w:rPr>
      </w:pP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competition and our response to channel shifts and pricing and other competitive pressures;</w:t>
      </w:r>
    </w:p>
    <w:p>
      <w:pPr>
        <w:spacing w:after="0" w:line="107" w:lineRule="exact"/>
        <w:rPr>
          <w:rFonts w:ascii="Arial" w:cs="Arial" w:eastAsia="Arial" w:hAnsi="Arial"/>
          <w:sz w:val="20"/>
          <w:szCs w:val="20"/>
          <w:color w:val="auto"/>
        </w:rPr>
      </w:pP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pricing actions and customer and consumer responses to such actions;</w:t>
      </w:r>
    </w:p>
    <w:p>
      <w:pPr>
        <w:spacing w:after="0" w:line="121" w:lineRule="exact"/>
        <w:rPr>
          <w:rFonts w:ascii="Arial" w:cs="Arial" w:eastAsia="Arial" w:hAnsi="Arial"/>
          <w:sz w:val="20"/>
          <w:szCs w:val="20"/>
          <w:color w:val="auto"/>
        </w:rPr>
      </w:pP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promotion and protection of our reputation and brand image;</w:t>
      </w:r>
    </w:p>
    <w:p>
      <w:pPr>
        <w:spacing w:after="0" w:line="107" w:lineRule="exact"/>
        <w:rPr>
          <w:rFonts w:ascii="Arial" w:cs="Arial" w:eastAsia="Arial" w:hAnsi="Arial"/>
          <w:sz w:val="20"/>
          <w:szCs w:val="20"/>
          <w:color w:val="auto"/>
        </w:rPr>
      </w:pPr>
    </w:p>
    <w:p>
      <w:pPr>
        <w:ind w:left="328" w:right="20" w:hanging="328"/>
        <w:spacing w:after="0" w:line="359" w:lineRule="auto"/>
        <w:tabs>
          <w:tab w:leader="none" w:pos="316" w:val="left"/>
        </w:tabs>
        <w:numPr>
          <w:ilvl w:val="0"/>
          <w:numId w:val="7"/>
        </w:numPr>
        <w:rPr>
          <w:rFonts w:ascii="Arial" w:cs="Arial" w:eastAsia="Arial" w:hAnsi="Arial"/>
          <w:sz w:val="20"/>
          <w:szCs w:val="20"/>
          <w:color w:val="auto"/>
        </w:rPr>
      </w:pPr>
      <w:r>
        <w:rPr>
          <w:rFonts w:ascii="Arial" w:cs="Arial" w:eastAsia="Arial" w:hAnsi="Arial"/>
          <w:sz w:val="20"/>
          <w:szCs w:val="20"/>
          <w:color w:val="auto"/>
        </w:rPr>
        <w:t>weakness in consumer spending and/or changes in consumer preferences and demand, including evolving health and wellness trends, and our ability to predict, identify, interpret and meet these changes;</w:t>
      </w: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outcome and effects on us of legal and tax proceedings and government investigations;</w:t>
      </w:r>
    </w:p>
    <w:p>
      <w:pPr>
        <w:spacing w:after="0" w:line="121" w:lineRule="exact"/>
        <w:rPr>
          <w:rFonts w:ascii="Arial" w:cs="Arial" w:eastAsia="Arial" w:hAnsi="Arial"/>
          <w:sz w:val="20"/>
          <w:szCs w:val="20"/>
          <w:color w:val="auto"/>
        </w:rPr>
      </w:pP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use of information technology and third party service providers;</w:t>
      </w:r>
    </w:p>
    <w:p>
      <w:pPr>
        <w:spacing w:after="0" w:line="107" w:lineRule="exact"/>
        <w:rPr>
          <w:rFonts w:ascii="Arial" w:cs="Arial" w:eastAsia="Arial" w:hAnsi="Arial"/>
          <w:sz w:val="20"/>
          <w:szCs w:val="20"/>
          <w:color w:val="auto"/>
        </w:rPr>
      </w:pPr>
    </w:p>
    <w:p>
      <w:pPr>
        <w:ind w:left="328" w:hanging="328"/>
        <w:spacing w:after="0" w:line="359" w:lineRule="auto"/>
        <w:tabs>
          <w:tab w:leader="none" w:pos="316" w:val="left"/>
        </w:tabs>
        <w:numPr>
          <w:ilvl w:val="0"/>
          <w:numId w:val="7"/>
        </w:numPr>
        <w:rPr>
          <w:rFonts w:ascii="Arial" w:cs="Arial" w:eastAsia="Arial" w:hAnsi="Arial"/>
          <w:sz w:val="20"/>
          <w:szCs w:val="20"/>
          <w:color w:val="auto"/>
        </w:rPr>
      </w:pPr>
      <w:r>
        <w:rPr>
          <w:rFonts w:ascii="Arial" w:cs="Arial" w:eastAsia="Arial" w:hAnsi="Arial"/>
          <w:sz w:val="20"/>
          <w:szCs w:val="20"/>
          <w:color w:val="auto"/>
        </w:rPr>
        <w:t>unanticipated disruptions to our business, such as malware incidents, cyberattacks or other security breaches, and supply, commodity, labor and transportation constraints;</w:t>
      </w:r>
    </w:p>
    <w:p>
      <w:pPr>
        <w:jc w:val="both"/>
        <w:ind w:left="328" w:hanging="328"/>
        <w:spacing w:after="0" w:line="361" w:lineRule="auto"/>
        <w:tabs>
          <w:tab w:leader="none" w:pos="316"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identify, complete, manage and realize the full extent of the benefits, cost savings, efficiencies and/or synergies presented by strategic acquisitions and other transactions as well as other strategic initiatives, such as our ERP System Implementation program;</w:t>
      </w:r>
    </w:p>
    <w:p>
      <w:pPr>
        <w:spacing w:after="0" w:line="1" w:lineRule="exact"/>
        <w:rPr>
          <w:rFonts w:ascii="Arial" w:cs="Arial" w:eastAsia="Arial" w:hAnsi="Arial"/>
          <w:sz w:val="20"/>
          <w:szCs w:val="20"/>
          <w:color w:val="auto"/>
        </w:rPr>
      </w:pP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investments and our ownership interests in those investments;</w:t>
      </w:r>
    </w:p>
    <w:p>
      <w:pPr>
        <w:spacing w:after="0" w:line="107" w:lineRule="exact"/>
        <w:rPr>
          <w:rFonts w:ascii="Arial" w:cs="Arial" w:eastAsia="Arial" w:hAnsi="Arial"/>
          <w:sz w:val="20"/>
          <w:szCs w:val="20"/>
          <w:color w:val="auto"/>
        </w:rPr>
      </w:pP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restructuring actions and other transformation initiatives not yielding the anticipated benefits;</w:t>
      </w:r>
    </w:p>
    <w:p>
      <w:pPr>
        <w:spacing w:after="0" w:line="121" w:lineRule="exact"/>
        <w:rPr>
          <w:rFonts w:ascii="Arial" w:cs="Arial" w:eastAsia="Arial" w:hAnsi="Arial"/>
          <w:sz w:val="20"/>
          <w:szCs w:val="20"/>
          <w:color w:val="auto"/>
        </w:rPr>
      </w:pP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changes in the assumptions on which restructuring actions or other transformation initiatives are based;</w:t>
      </w:r>
    </w:p>
    <w:p>
      <w:pPr>
        <w:spacing w:after="0" w:line="107" w:lineRule="exact"/>
        <w:rPr>
          <w:rFonts w:ascii="Arial" w:cs="Arial" w:eastAsia="Arial" w:hAnsi="Arial"/>
          <w:sz w:val="20"/>
          <w:szCs w:val="20"/>
          <w:color w:val="auto"/>
        </w:rPr>
      </w:pP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impact of climate change on our supply chain and operations;</w:t>
      </w:r>
    </w:p>
    <w:p>
      <w:pPr>
        <w:spacing w:after="0" w:line="121" w:lineRule="exact"/>
        <w:rPr>
          <w:rFonts w:ascii="Arial" w:cs="Arial" w:eastAsia="Arial" w:hAnsi="Arial"/>
          <w:sz w:val="20"/>
          <w:szCs w:val="20"/>
          <w:color w:val="auto"/>
        </w:rPr>
      </w:pP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global or regional health pandemics or epidemics;</w:t>
      </w:r>
    </w:p>
    <w:p>
      <w:pPr>
        <w:spacing w:after="0" w:line="107" w:lineRule="exact"/>
        <w:rPr>
          <w:rFonts w:ascii="Arial" w:cs="Arial" w:eastAsia="Arial" w:hAnsi="Arial"/>
          <w:sz w:val="20"/>
          <w:szCs w:val="20"/>
          <w:color w:val="auto"/>
        </w:rPr>
      </w:pP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consolidation of retail customers and competition with retailer and other economy brands;</w:t>
      </w:r>
    </w:p>
    <w:p>
      <w:pPr>
        <w:spacing w:after="0" w:line="121" w:lineRule="exact"/>
        <w:rPr>
          <w:rFonts w:ascii="Arial" w:cs="Arial" w:eastAsia="Arial" w:hAnsi="Arial"/>
          <w:sz w:val="20"/>
          <w:szCs w:val="20"/>
          <w:color w:val="auto"/>
        </w:rPr>
      </w:pP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changes in our relationships with customers, suppliers or distributors;</w:t>
      </w:r>
    </w:p>
    <w:p>
      <w:pPr>
        <w:spacing w:after="0" w:line="107" w:lineRule="exact"/>
        <w:rPr>
          <w:rFonts w:ascii="Arial" w:cs="Arial" w:eastAsia="Arial" w:hAnsi="Arial"/>
          <w:sz w:val="20"/>
          <w:szCs w:val="20"/>
          <w:color w:val="auto"/>
        </w:rPr>
      </w:pP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management of our workforce and shifts in labor availability or labor costs;</w:t>
      </w:r>
    </w:p>
    <w:p>
      <w:pPr>
        <w:spacing w:after="0" w:line="121" w:lineRule="exact"/>
        <w:rPr>
          <w:rFonts w:ascii="Arial" w:cs="Arial" w:eastAsia="Arial" w:hAnsi="Arial"/>
          <w:sz w:val="20"/>
          <w:szCs w:val="20"/>
          <w:color w:val="auto"/>
        </w:rPr>
      </w:pPr>
    </w:p>
    <w:p>
      <w:pPr>
        <w:jc w:val="both"/>
        <w:ind w:left="328" w:hanging="328"/>
        <w:spacing w:after="0" w:line="356" w:lineRule="auto"/>
        <w:tabs>
          <w:tab w:leader="none" w:pos="316" w:val="left"/>
        </w:tabs>
        <w:numPr>
          <w:ilvl w:val="0"/>
          <w:numId w:val="7"/>
        </w:numPr>
        <w:rPr>
          <w:rFonts w:ascii="Arial" w:cs="Arial" w:eastAsia="Arial" w:hAnsi="Arial"/>
          <w:sz w:val="20"/>
          <w:szCs w:val="20"/>
          <w:color w:val="auto"/>
        </w:rPr>
      </w:pPr>
      <w:r>
        <w:rPr>
          <w:rFonts w:ascii="Arial" w:cs="Arial" w:eastAsia="Arial" w:hAnsi="Arial"/>
          <w:sz w:val="20"/>
          <w:szCs w:val="20"/>
          <w:color w:val="auto"/>
        </w:rPr>
        <w:t>compliance with legal, regulatory, tax and benefit laws and related changes, claims or actions, including evolving and potentially inconsistent federal, state, local and foreign requirements regarding food ingredients, additives, labeling and marketing;</w:t>
      </w:r>
    </w:p>
    <w:p>
      <w:pPr>
        <w:spacing w:after="0" w:line="2" w:lineRule="exact"/>
        <w:rPr>
          <w:rFonts w:ascii="Arial" w:cs="Arial" w:eastAsia="Arial" w:hAnsi="Arial"/>
          <w:sz w:val="20"/>
          <w:szCs w:val="20"/>
          <w:color w:val="auto"/>
        </w:rPr>
      </w:pPr>
    </w:p>
    <w:p>
      <w:pPr>
        <w:ind w:left="328" w:right="20" w:hanging="328"/>
        <w:spacing w:after="0" w:line="366" w:lineRule="auto"/>
        <w:tabs>
          <w:tab w:leader="none" w:pos="316" w:val="left"/>
        </w:tabs>
        <w:numPr>
          <w:ilvl w:val="0"/>
          <w:numId w:val="7"/>
        </w:numPr>
        <w:rPr>
          <w:rFonts w:ascii="Arial" w:cs="Arial" w:eastAsia="Arial" w:hAnsi="Arial"/>
          <w:sz w:val="20"/>
          <w:szCs w:val="20"/>
          <w:color w:val="auto"/>
        </w:rPr>
      </w:pPr>
      <w:r>
        <w:rPr>
          <w:rFonts w:ascii="Arial" w:cs="Arial" w:eastAsia="Arial" w:hAnsi="Arial"/>
          <w:sz w:val="20"/>
          <w:szCs w:val="20"/>
          <w:color w:val="auto"/>
        </w:rPr>
        <w:t>perceived or actual product quality issues or product recalls, or changing consumer, media, governmental or scientific perceptions of our products or their ingredients;</w:t>
      </w: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failure to maintain effective internal control over financial reporting or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8"/>
          </w:cols>
          <w:pgMar w:left="652" w:top="941" w:right="339" w:bottom="1440" w:gutter="0" w:footer="0" w:header="0"/>
        </w:sectPr>
      </w:pPr>
    </w:p>
    <w:bookmarkStart w:id="9" w:name="page10"/>
    <w:bookmarkEnd w:id="9"/>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protect our intellectual property and intangible assets;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tax matters including changes in tax laws and rates, disagreements with taxing authorities and imposition of new taxes;</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currency exchange rates, controls and restrictions;</w:t>
      </w:r>
    </w:p>
    <w:p>
      <w:pPr>
        <w:spacing w:after="0" w:line="121" w:lineRule="exact"/>
        <w:rPr>
          <w:rFonts w:ascii="Arial" w:cs="Arial" w:eastAsia="Arial" w:hAnsi="Arial"/>
          <w:sz w:val="20"/>
          <w:szCs w:val="20"/>
          <w:color w:val="auto"/>
        </w:rPr>
      </w:pPr>
    </w:p>
    <w:p>
      <w:pPr>
        <w:ind w:left="660" w:right="20" w:hanging="328"/>
        <w:spacing w:after="0" w:line="35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volatility of and access to capital or other markets, interest rates, the effectiveness of our cash management programs and our liquidity;</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pension costs;</w:t>
      </w:r>
    </w:p>
    <w:p>
      <w:pPr>
        <w:spacing w:after="0" w:line="107" w:lineRule="exact"/>
        <w:rPr>
          <w:rFonts w:ascii="Arial" w:cs="Arial" w:eastAsia="Arial" w:hAnsi="Arial"/>
          <w:sz w:val="20"/>
          <w:szCs w:val="20"/>
          <w:color w:val="auto"/>
        </w:rPr>
      </w:pPr>
    </w:p>
    <w:p>
      <w:pPr>
        <w:ind w:left="660" w:hanging="328"/>
        <w:spacing w:after="0" w:line="35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significant changes in valuation factors that may adversely affect our impairment testing of goodwill and intangible assets; and</w:t>
      </w:r>
    </w:p>
    <w:p>
      <w:pPr>
        <w:jc w:val="both"/>
        <w:ind w:left="660" w:hanging="328"/>
        <w:spacing w:after="0" w:line="375"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risks and uncertainties, as they may be amended from time to time, set forth in our filings with the U.S. Securities and Exchange Commission, including our Annual Report on Form 10-K for the year ended December 31, 2025 and subsequent Quarterly Reports on Form 10-Q.</w:t>
      </w:r>
    </w:p>
    <w:p>
      <w:pPr>
        <w:spacing w:after="0" w:line="204"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press release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4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u w:val="single" w:color="auto"/>
          <w:color w:val="auto"/>
        </w:rPr>
        <w:t>Schedule 1</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millions of U.S. dollars and shares, except per share data)</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rPr>
              <w:t>For the Three Months Ended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28,041</w:t>
            </w:r>
          </w:p>
        </w:tc>
        <w:tc>
          <w:tcPr>
            <w:tcW w:w="0" w:type="dxa"/>
            <w:vAlign w:val="bottom"/>
          </w:tcPr>
          <w:p>
            <w:pPr>
              <w:spacing w:after="0"/>
              <w:rPr>
                <w:sz w:val="1"/>
                <w:szCs w:val="1"/>
                <w:color w:val="auto"/>
              </w:rPr>
            </w:pPr>
          </w:p>
        </w:tc>
      </w:tr>
      <w:tr>
        <w:trPr>
          <w:trHeight w:val="215"/>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(7,132)</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(20,062)</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7,979</w:t>
            </w:r>
          </w:p>
        </w:tc>
        <w:tc>
          <w:tcPr>
            <w:tcW w:w="0" w:type="dxa"/>
            <w:vAlign w:val="bottom"/>
          </w:tcPr>
          <w:p>
            <w:pPr>
              <w:spacing w:after="0"/>
              <w:rPr>
                <w:sz w:val="1"/>
                <w:szCs w:val="1"/>
                <w:color w:val="auto"/>
              </w:rPr>
            </w:pP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(5,231)</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impairments and exit costs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Gain on divestiture</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9"/>
        </w:trPr>
        <w:tc>
          <w:tcPr>
            <w:tcW w:w="580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2,596</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plan non-service income/(expense)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5"/>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 net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Earnings before income taxes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w:t>
            </w:r>
          </w:p>
        </w:tc>
        <w:tc>
          <w:tcPr>
            <w:tcW w:w="0" w:type="dxa"/>
            <w:vAlign w:val="bottom"/>
          </w:tcPr>
          <w:p>
            <w:pPr>
              <w:spacing w:after="0"/>
              <w:rPr>
                <w:sz w:val="1"/>
                <w:szCs w:val="1"/>
                <w:color w:val="auto"/>
              </w:rPr>
            </w:pP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Gain/(loss) on equity method investment transactions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5"/>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method investment net earnings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0" w:type="dxa"/>
            <w:vAlign w:val="bottom"/>
          </w:tcPr>
          <w:p>
            <w:pPr>
              <w:spacing w:after="0"/>
              <w:rPr>
                <w:sz w:val="1"/>
                <w:szCs w:val="1"/>
                <w:color w:val="auto"/>
              </w:rPr>
            </w:pPr>
          </w:p>
        </w:tc>
      </w:tr>
      <w:tr>
        <w:trPr>
          <w:trHeight w:val="215"/>
        </w:trPr>
        <w:tc>
          <w:tcPr>
            <w:tcW w:w="5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less: Noncontrolling interest earnings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5"/>
        </w:trPr>
        <w:tc>
          <w:tcPr>
            <w:tcW w:w="5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earnings attributable to Mondelēz International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Per share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 earnings per share attributable to Mondelēz International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0" w:type="dxa"/>
            <w:vAlign w:val="bottom"/>
          </w:tcPr>
          <w:p>
            <w:pPr>
              <w:ind w:left="360"/>
              <w:spacing w:after="0"/>
              <w:rPr>
                <w:sz w:val="20"/>
                <w:szCs w:val="20"/>
                <w:color w:val="auto"/>
              </w:rPr>
            </w:pPr>
            <w:r>
              <w:rPr>
                <w:rFonts w:ascii="Arial" w:cs="Arial" w:eastAsia="Arial" w:hAnsi="Arial"/>
                <w:sz w:val="16"/>
                <w:szCs w:val="16"/>
                <w:color w:val="auto"/>
              </w:rPr>
              <w:t>Diluted earnings per share attributable to Mondelēz International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400" w:top="890"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u w:val="single" w:color="auto"/>
          <w:color w:val="auto"/>
        </w:rPr>
        <w:t>Schedule 2</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2026</w:t>
            </w:r>
          </w:p>
        </w:tc>
        <w:tc>
          <w:tcPr>
            <w:tcW w:w="140" w:type="dxa"/>
            <w:vAlign w:val="bottom"/>
          </w:tcPr>
          <w:p>
            <w:pPr>
              <w:spacing w:after="0"/>
              <w:rPr>
                <w:sz w:val="18"/>
                <w:szCs w:val="18"/>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31, 2025</w:t>
            </w:r>
          </w:p>
        </w:tc>
      </w:tr>
      <w:tr>
        <w:trPr>
          <w:trHeight w:val="196"/>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5"/>
        </w:trPr>
        <w:tc>
          <w:tcPr>
            <w:tcW w:w="5340" w:type="dxa"/>
            <w:vAlign w:val="bottom"/>
          </w:tcPr>
          <w:p>
            <w:pPr>
              <w:ind w:left="5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1,628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2,125</w:t>
            </w:r>
          </w:p>
        </w:tc>
      </w:tr>
      <w:tr>
        <w:trPr>
          <w:trHeight w:val="217"/>
        </w:trPr>
        <w:tc>
          <w:tcPr>
            <w:tcW w:w="5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Trade receivables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3,903</w:t>
            </w:r>
          </w:p>
        </w:tc>
      </w:tr>
      <w:tr>
        <w:trPr>
          <w:trHeight w:val="215"/>
        </w:trPr>
        <w:tc>
          <w:tcPr>
            <w:tcW w:w="5340" w:type="dxa"/>
            <w:vAlign w:val="bottom"/>
          </w:tcPr>
          <w:p>
            <w:pPr>
              <w:ind w:left="520"/>
              <w:spacing w:after="0"/>
              <w:rPr>
                <w:sz w:val="20"/>
                <w:szCs w:val="20"/>
                <w:color w:val="auto"/>
              </w:rPr>
            </w:pPr>
            <w:r>
              <w:rPr>
                <w:rFonts w:ascii="Arial" w:cs="Arial" w:eastAsia="Arial" w:hAnsi="Arial"/>
                <w:sz w:val="16"/>
                <w:szCs w:val="16"/>
                <w:color w:val="auto"/>
              </w:rPr>
              <w:t>Other receivables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955</w:t>
            </w:r>
          </w:p>
        </w:tc>
      </w:tr>
      <w:tr>
        <w:trPr>
          <w:trHeight w:val="217"/>
        </w:trPr>
        <w:tc>
          <w:tcPr>
            <w:tcW w:w="5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4,419</w:t>
            </w:r>
          </w:p>
        </w:tc>
      </w:tr>
      <w:tr>
        <w:trPr>
          <w:trHeight w:val="215"/>
        </w:trPr>
        <w:tc>
          <w:tcPr>
            <w:tcW w:w="53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w:t>
            </w:r>
          </w:p>
        </w:tc>
      </w:tr>
      <w:tr>
        <w:trPr>
          <w:trHeight w:val="210"/>
        </w:trPr>
        <w:tc>
          <w:tcPr>
            <w:tcW w:w="5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12,951</w:t>
            </w:r>
          </w:p>
        </w:tc>
      </w:tr>
      <w:tr>
        <w:trPr>
          <w:trHeight w:val="215"/>
        </w:trPr>
        <w:tc>
          <w:tcPr>
            <w:tcW w:w="5340" w:type="dxa"/>
            <w:vAlign w:val="bottom"/>
          </w:tcPr>
          <w:p>
            <w:pPr>
              <w:ind w:left="5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10,620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10,667</w:t>
            </w:r>
          </w:p>
        </w:tc>
      </w:tr>
      <w:tr>
        <w:trPr>
          <w:trHeight w:val="217"/>
        </w:trPr>
        <w:tc>
          <w:tcPr>
            <w:tcW w:w="5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r>
      <w:tr>
        <w:trPr>
          <w:trHeight w:val="215"/>
        </w:trPr>
        <w:tc>
          <w:tcPr>
            <w:tcW w:w="5340" w:type="dxa"/>
            <w:vAlign w:val="bottom"/>
          </w:tcPr>
          <w:p>
            <w:pPr>
              <w:ind w:left="5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24,025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24,336</w:t>
            </w:r>
          </w:p>
        </w:tc>
      </w:tr>
      <w:tr>
        <w:trPr>
          <w:trHeight w:val="217"/>
        </w:trPr>
        <w:tc>
          <w:tcPr>
            <w:tcW w:w="5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19,628</w:t>
            </w:r>
          </w:p>
        </w:tc>
      </w:tr>
      <w:tr>
        <w:trPr>
          <w:trHeight w:val="215"/>
        </w:trPr>
        <w:tc>
          <w:tcPr>
            <w:tcW w:w="5340" w:type="dxa"/>
            <w:vAlign w:val="bottom"/>
          </w:tcPr>
          <w:p>
            <w:pPr>
              <w:ind w:left="520"/>
              <w:spacing w:after="0"/>
              <w:rPr>
                <w:sz w:val="20"/>
                <w:szCs w:val="20"/>
                <w:color w:val="auto"/>
              </w:rPr>
            </w:pPr>
            <w:r>
              <w:rPr>
                <w:rFonts w:ascii="Arial" w:cs="Arial" w:eastAsia="Arial" w:hAnsi="Arial"/>
                <w:sz w:val="16"/>
                <w:szCs w:val="16"/>
                <w:color w:val="auto"/>
              </w:rPr>
              <w:t>Prepaid pension assets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1,220</w:t>
            </w:r>
          </w:p>
        </w:tc>
      </w:tr>
      <w:tr>
        <w:trPr>
          <w:trHeight w:val="217"/>
        </w:trPr>
        <w:tc>
          <w:tcPr>
            <w:tcW w:w="5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r>
      <w:tr>
        <w:trPr>
          <w:trHeight w:val="215"/>
        </w:trPr>
        <w:tc>
          <w:tcPr>
            <w:tcW w:w="5340" w:type="dxa"/>
            <w:vAlign w:val="bottom"/>
          </w:tcPr>
          <w:p>
            <w:pPr>
              <w:ind w:left="520"/>
              <w:spacing w:after="0"/>
              <w:rPr>
                <w:sz w:val="20"/>
                <w:szCs w:val="20"/>
                <w:color w:val="auto"/>
              </w:rPr>
            </w:pPr>
            <w:r>
              <w:rPr>
                <w:rFonts w:ascii="Arial" w:cs="Arial" w:eastAsia="Arial" w:hAnsi="Arial"/>
                <w:sz w:val="16"/>
                <w:szCs w:val="16"/>
                <w:color w:val="auto"/>
              </w:rPr>
              <w:t>Equity method investments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667</w:t>
            </w:r>
          </w:p>
        </w:tc>
      </w:tr>
      <w:tr>
        <w:trPr>
          <w:trHeight w:val="216"/>
        </w:trPr>
        <w:tc>
          <w:tcPr>
            <w:tcW w:w="5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w:t>
            </w:r>
          </w:p>
        </w:tc>
      </w:tr>
      <w:tr>
        <w:trPr>
          <w:trHeight w:val="210"/>
        </w:trPr>
        <w:tc>
          <w:tcPr>
            <w:tcW w:w="5340" w:type="dxa"/>
            <w:vAlign w:val="bottom"/>
          </w:tcPr>
          <w:p>
            <w:pPr>
              <w:ind w:left="12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71,776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71,487</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83"/>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15"/>
        </w:trPr>
        <w:tc>
          <w:tcPr>
            <w:tcW w:w="5340" w:type="dxa"/>
            <w:vAlign w:val="bottom"/>
          </w:tcPr>
          <w:p>
            <w:pPr>
              <w:ind w:left="520"/>
              <w:spacing w:after="0"/>
              <w:rPr>
                <w:sz w:val="20"/>
                <w:szCs w:val="20"/>
                <w:color w:val="auto"/>
              </w:rPr>
            </w:pPr>
            <w:r>
              <w:rPr>
                <w:rFonts w:ascii="Arial" w:cs="Arial" w:eastAsia="Arial" w:hAnsi="Arial"/>
                <w:sz w:val="16"/>
                <w:szCs w:val="16"/>
                <w:color w:val="auto"/>
              </w:rPr>
              <w:t>Short-term borrowings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3,653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2,688</w:t>
            </w:r>
          </w:p>
        </w:tc>
      </w:tr>
      <w:tr>
        <w:trPr>
          <w:trHeight w:val="217"/>
        </w:trPr>
        <w:tc>
          <w:tcPr>
            <w:tcW w:w="5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w:t>
            </w:r>
          </w:p>
        </w:tc>
      </w:tr>
      <w:tr>
        <w:trPr>
          <w:trHeight w:val="215"/>
        </w:trPr>
        <w:tc>
          <w:tcPr>
            <w:tcW w:w="534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9,510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10,139</w:t>
            </w:r>
          </w:p>
        </w:tc>
      </w:tr>
      <w:tr>
        <w:trPr>
          <w:trHeight w:val="217"/>
        </w:trPr>
        <w:tc>
          <w:tcPr>
            <w:tcW w:w="5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Accrued marketing</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w:t>
            </w:r>
          </w:p>
        </w:tc>
      </w:tr>
      <w:tr>
        <w:trPr>
          <w:trHeight w:val="215"/>
        </w:trPr>
        <w:tc>
          <w:tcPr>
            <w:tcW w:w="5340" w:type="dxa"/>
            <w:vAlign w:val="bottom"/>
          </w:tcPr>
          <w:p>
            <w:pPr>
              <w:ind w:left="500"/>
              <w:spacing w:after="0"/>
              <w:rPr>
                <w:sz w:val="20"/>
                <w:szCs w:val="20"/>
                <w:color w:val="auto"/>
              </w:rPr>
            </w:pPr>
            <w:r>
              <w:rPr>
                <w:rFonts w:ascii="Arial" w:cs="Arial" w:eastAsia="Arial" w:hAnsi="Arial"/>
                <w:sz w:val="16"/>
                <w:szCs w:val="16"/>
                <w:color w:val="auto"/>
              </w:rPr>
              <w:t>Accrued employment costs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7"/>
        </w:trPr>
        <w:tc>
          <w:tcPr>
            <w:tcW w:w="5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3,955</w:t>
            </w:r>
          </w:p>
        </w:tc>
      </w:tr>
      <w:tr>
        <w:trPr>
          <w:trHeight w:val="209"/>
        </w:trPr>
        <w:tc>
          <w:tcPr>
            <w:tcW w:w="5340" w:type="dxa"/>
            <w:vAlign w:val="bottom"/>
          </w:tcPr>
          <w:p>
            <w:pPr>
              <w:ind w:left="102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22,399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21,864</w:t>
            </w:r>
          </w:p>
        </w:tc>
      </w:tr>
      <w:tr>
        <w:trPr>
          <w:trHeight w:val="217"/>
        </w:trPr>
        <w:tc>
          <w:tcPr>
            <w:tcW w:w="5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17,222</w:t>
            </w:r>
          </w:p>
        </w:tc>
      </w:tr>
      <w:tr>
        <w:trPr>
          <w:trHeight w:val="215"/>
        </w:trPr>
        <w:tc>
          <w:tcPr>
            <w:tcW w:w="5340" w:type="dxa"/>
            <w:vAlign w:val="bottom"/>
          </w:tcPr>
          <w:p>
            <w:pPr>
              <w:ind w:left="520"/>
              <w:spacing w:after="0"/>
              <w:rPr>
                <w:sz w:val="20"/>
                <w:szCs w:val="20"/>
                <w:color w:val="auto"/>
              </w:rPr>
            </w:pPr>
            <w:r>
              <w:rPr>
                <w:rFonts w:ascii="Arial" w:cs="Arial" w:eastAsia="Arial" w:hAnsi="Arial"/>
                <w:sz w:val="16"/>
                <w:szCs w:val="16"/>
                <w:color w:val="auto"/>
              </w:rPr>
              <w:t>Long-term operating lease liabilities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217"/>
        </w:trPr>
        <w:tc>
          <w:tcPr>
            <w:tcW w:w="5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w:t>
            </w:r>
          </w:p>
        </w:tc>
      </w:tr>
      <w:tr>
        <w:trPr>
          <w:trHeight w:val="215"/>
        </w:trPr>
        <w:tc>
          <w:tcPr>
            <w:tcW w:w="5340" w:type="dxa"/>
            <w:vAlign w:val="bottom"/>
          </w:tcPr>
          <w:p>
            <w:pPr>
              <w:ind w:left="500"/>
              <w:spacing w:after="0"/>
              <w:rPr>
                <w:sz w:val="20"/>
                <w:szCs w:val="20"/>
                <w:color w:val="auto"/>
              </w:rPr>
            </w:pPr>
            <w:r>
              <w:rPr>
                <w:rFonts w:ascii="Arial" w:cs="Arial" w:eastAsia="Arial" w:hAnsi="Arial"/>
                <w:sz w:val="16"/>
                <w:szCs w:val="16"/>
                <w:color w:val="auto"/>
              </w:rPr>
              <w:t>Accrued pension costs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422</w:t>
            </w:r>
          </w:p>
        </w:tc>
      </w:tr>
      <w:tr>
        <w:trPr>
          <w:trHeight w:val="217"/>
        </w:trPr>
        <w:tc>
          <w:tcPr>
            <w:tcW w:w="5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Accrued postretirement health care costs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5"/>
        </w:trPr>
        <w:tc>
          <w:tcPr>
            <w:tcW w:w="53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w:t>
            </w:r>
          </w:p>
        </w:tc>
      </w:tr>
      <w:tr>
        <w:trPr>
          <w:trHeight w:val="210"/>
        </w:trPr>
        <w:tc>
          <w:tcPr>
            <w:tcW w:w="5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45,596</w:t>
            </w:r>
          </w:p>
        </w:tc>
      </w:tr>
      <w:tr>
        <w:trPr>
          <w:trHeight w:val="195"/>
        </w:trPr>
        <w:tc>
          <w:tcPr>
            <w:tcW w:w="5340" w:type="dxa"/>
            <w:vAlign w:val="bottom"/>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7"/>
        </w:trPr>
        <w:tc>
          <w:tcPr>
            <w:tcW w:w="5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Common Stock</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34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32,377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32,322</w:t>
            </w:r>
          </w:p>
        </w:tc>
      </w:tr>
      <w:tr>
        <w:trPr>
          <w:trHeight w:val="217"/>
        </w:trPr>
        <w:tc>
          <w:tcPr>
            <w:tcW w:w="5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36,413</w:t>
            </w:r>
          </w:p>
        </w:tc>
      </w:tr>
      <w:tr>
        <w:trPr>
          <w:trHeight w:val="215"/>
        </w:trPr>
        <w:tc>
          <w:tcPr>
            <w:tcW w:w="5340" w:type="dxa"/>
            <w:vAlign w:val="bottom"/>
          </w:tcPr>
          <w:p>
            <w:pPr>
              <w:ind w:left="500"/>
              <w:spacing w:after="0"/>
              <w:rPr>
                <w:sz w:val="20"/>
                <w:szCs w:val="20"/>
                <w:color w:val="auto"/>
              </w:rPr>
            </w:pPr>
            <w:r>
              <w:rPr>
                <w:rFonts w:ascii="Arial" w:cs="Arial" w:eastAsia="Arial" w:hAnsi="Arial"/>
                <w:sz w:val="16"/>
                <w:szCs w:val="16"/>
                <w:color w:val="auto"/>
              </w:rPr>
              <w:t>Accumulated other comprehensive losses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(11,364)</w:t>
            </w:r>
          </w:p>
        </w:tc>
      </w:tr>
      <w:tr>
        <w:trPr>
          <w:trHeight w:val="217"/>
        </w:trPr>
        <w:tc>
          <w:tcPr>
            <w:tcW w:w="5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Treasury stock, at cost</w:t>
            </w: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(31,533)</w:t>
            </w:r>
          </w:p>
        </w:tc>
      </w:tr>
      <w:tr>
        <w:trPr>
          <w:trHeight w:val="209"/>
        </w:trPr>
        <w:tc>
          <w:tcPr>
            <w:tcW w:w="5340" w:type="dxa"/>
            <w:vAlign w:val="bottom"/>
          </w:tcPr>
          <w:p>
            <w:pPr>
              <w:ind w:left="1020"/>
              <w:spacing w:after="0"/>
              <w:rPr>
                <w:sz w:val="20"/>
                <w:szCs w:val="20"/>
                <w:color w:val="auto"/>
              </w:rPr>
            </w:pPr>
            <w:r>
              <w:rPr>
                <w:rFonts w:ascii="Arial" w:cs="Arial" w:eastAsia="Arial" w:hAnsi="Arial"/>
                <w:sz w:val="16"/>
                <w:szCs w:val="16"/>
                <w:color w:val="auto"/>
              </w:rPr>
              <w:t>Total Mondelēz International Shareholders' Equity</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26,608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25,838</w:t>
            </w:r>
          </w:p>
        </w:tc>
      </w:tr>
      <w:tr>
        <w:trPr>
          <w:trHeight w:val="217"/>
        </w:trPr>
        <w:tc>
          <w:tcPr>
            <w:tcW w:w="5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09"/>
        </w:trPr>
        <w:tc>
          <w:tcPr>
            <w:tcW w:w="5340" w:type="dxa"/>
            <w:vAlign w:val="bottom"/>
            <w:tcBorders>
              <w:bottom w:val="single" w:sz="8" w:color="CCEEFF"/>
            </w:tcBorders>
          </w:tcPr>
          <w:p>
            <w:pPr>
              <w:ind w:left="102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25,891</w:t>
            </w:r>
          </w:p>
        </w:tc>
      </w:tr>
      <w:tr>
        <w:trPr>
          <w:trHeight w:val="235"/>
        </w:trPr>
        <w:tc>
          <w:tcPr>
            <w:tcW w:w="534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71,487</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1340" w:top="890"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u w:val="single" w:color="auto"/>
          <w:color w:val="auto"/>
        </w:rPr>
        <w:t>Schedule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68"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For the Nine Months Ended September</w:t>
      </w:r>
    </w:p>
    <w:p>
      <w:pPr>
        <w:jc w:val="center"/>
        <w:ind w:left="7920"/>
        <w:spacing w:after="0"/>
        <w:rPr>
          <w:sz w:val="20"/>
          <w:szCs w:val="20"/>
          <w:color w:val="auto"/>
        </w:rPr>
      </w:pPr>
      <w:r>
        <w:rPr>
          <w:rFonts w:ascii="Arial" w:cs="Arial" w:eastAsia="Arial" w:hAnsi="Arial"/>
          <w:sz w:val="16"/>
          <w:szCs w:val="16"/>
          <w:b w:val="1"/>
          <w:bCs w:val="1"/>
          <w:color w:val="auto"/>
        </w:rPr>
        <w:t>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19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OPERATING ACTIVITIES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Net earnings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3,424</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1,797</w:t>
            </w:r>
          </w:p>
        </w:tc>
      </w:tr>
      <w:tr>
        <w:trPr>
          <w:trHeight w:val="217"/>
        </w:trPr>
        <w:tc>
          <w:tcPr>
            <w:tcW w:w="79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Adjustments to reconcile net earnings to operating cash flows: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980" w:type="dxa"/>
            <w:vAlign w:val="bottom"/>
          </w:tcPr>
          <w:p>
            <w:pPr>
              <w:ind w:left="104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217"/>
        </w:trPr>
        <w:tc>
          <w:tcPr>
            <w:tcW w:w="79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Stock-based compensation expense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5"/>
        </w:trPr>
        <w:tc>
          <w:tcPr>
            <w:tcW w:w="7980" w:type="dxa"/>
            <w:vAlign w:val="bottom"/>
          </w:tcPr>
          <w:p>
            <w:pPr>
              <w:ind w:left="1040"/>
              <w:spacing w:after="0"/>
              <w:rPr>
                <w:sz w:val="20"/>
                <w:szCs w:val="20"/>
                <w:color w:val="auto"/>
              </w:rPr>
            </w:pPr>
            <w:r>
              <w:rPr>
                <w:rFonts w:ascii="Arial" w:cs="Arial" w:eastAsia="Arial" w:hAnsi="Arial"/>
                <w:sz w:val="16"/>
                <w:szCs w:val="16"/>
                <w:color w:val="auto"/>
              </w:rPr>
              <w:t>Deferred income tax provision/(benefit)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7"/>
        </w:trPr>
        <w:tc>
          <w:tcPr>
            <w:tcW w:w="79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Asset impairments and accelerated depreciation</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5"/>
        </w:trPr>
        <w:tc>
          <w:tcPr>
            <w:tcW w:w="7980" w:type="dxa"/>
            <w:vAlign w:val="bottom"/>
          </w:tcPr>
          <w:p>
            <w:pPr>
              <w:ind w:left="1040"/>
              <w:spacing w:after="0"/>
              <w:rPr>
                <w:sz w:val="20"/>
                <w:szCs w:val="20"/>
                <w:color w:val="auto"/>
              </w:rPr>
            </w:pPr>
            <w:r>
              <w:rPr>
                <w:rFonts w:ascii="Arial" w:cs="Arial" w:eastAsia="Arial" w:hAnsi="Arial"/>
                <w:sz w:val="16"/>
                <w:szCs w:val="16"/>
                <w:color w:val="auto"/>
              </w:rPr>
              <w:t>Gain on divestiture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Loss on equity method investment transactions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Pr>
          <w:p>
            <w:pPr>
              <w:ind w:left="1040"/>
              <w:spacing w:after="0"/>
              <w:rPr>
                <w:sz w:val="20"/>
                <w:szCs w:val="20"/>
                <w:color w:val="auto"/>
              </w:rPr>
            </w:pPr>
            <w:r>
              <w:rPr>
                <w:rFonts w:ascii="Arial" w:cs="Arial" w:eastAsia="Arial" w:hAnsi="Arial"/>
                <w:sz w:val="16"/>
                <w:szCs w:val="16"/>
                <w:color w:val="auto"/>
              </w:rPr>
              <w:t>Equity method investment net earnings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79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Distributions from equity method investments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5"/>
        </w:trPr>
        <w:tc>
          <w:tcPr>
            <w:tcW w:w="7980" w:type="dxa"/>
            <w:vAlign w:val="bottom"/>
          </w:tcPr>
          <w:p>
            <w:pPr>
              <w:ind w:left="1040"/>
              <w:spacing w:after="0"/>
              <w:rPr>
                <w:sz w:val="20"/>
                <w:szCs w:val="20"/>
                <w:color w:val="auto"/>
              </w:rPr>
            </w:pPr>
            <w:r>
              <w:rPr>
                <w:rFonts w:ascii="Arial" w:cs="Arial" w:eastAsia="Arial" w:hAnsi="Arial"/>
                <w:sz w:val="16"/>
                <w:szCs w:val="16"/>
                <w:color w:val="auto"/>
              </w:rPr>
              <w:t>Unrealized (gain)/loss on derivative contracts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1,161</w:t>
            </w:r>
          </w:p>
        </w:tc>
      </w:tr>
      <w:tr>
        <w:trPr>
          <w:trHeight w:val="217"/>
        </w:trPr>
        <w:tc>
          <w:tcPr>
            <w:tcW w:w="79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Contingent consideration adjustments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7980" w:type="dxa"/>
            <w:vAlign w:val="bottom"/>
          </w:tcPr>
          <w:p>
            <w:pPr>
              <w:ind w:left="1040"/>
              <w:spacing w:after="0"/>
              <w:rPr>
                <w:sz w:val="20"/>
                <w:szCs w:val="20"/>
                <w:color w:val="auto"/>
              </w:rPr>
            </w:pPr>
            <w:r>
              <w:rPr>
                <w:rFonts w:ascii="Arial" w:cs="Arial" w:eastAsia="Arial" w:hAnsi="Arial"/>
                <w:sz w:val="16"/>
                <w:szCs w:val="16"/>
                <w:color w:val="auto"/>
              </w:rPr>
              <w:t>Other non-cash items, net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7"/>
        </w:trPr>
        <w:tc>
          <w:tcPr>
            <w:tcW w:w="79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Changes in assets and liabilities, net of acquisitions and divestitures: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980" w:type="dxa"/>
            <w:vAlign w:val="bottom"/>
          </w:tcPr>
          <w:p>
            <w:pPr>
              <w:ind w:left="1660"/>
              <w:spacing w:after="0"/>
              <w:rPr>
                <w:sz w:val="20"/>
                <w:szCs w:val="20"/>
                <w:color w:val="auto"/>
              </w:rPr>
            </w:pPr>
            <w:r>
              <w:rPr>
                <w:rFonts w:ascii="Arial" w:cs="Arial" w:eastAsia="Arial" w:hAnsi="Arial"/>
                <w:sz w:val="16"/>
                <w:szCs w:val="16"/>
                <w:color w:val="auto"/>
              </w:rPr>
              <w:t>Receivables, net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7"/>
        </w:trPr>
        <w:tc>
          <w:tcPr>
            <w:tcW w:w="79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Inventories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r>
      <w:tr>
        <w:trPr>
          <w:trHeight w:val="215"/>
        </w:trPr>
        <w:tc>
          <w:tcPr>
            <w:tcW w:w="7980" w:type="dxa"/>
            <w:vAlign w:val="bottom"/>
          </w:tcPr>
          <w:p>
            <w:pPr>
              <w:ind w:left="1660"/>
              <w:spacing w:after="0"/>
              <w:rPr>
                <w:sz w:val="20"/>
                <w:szCs w:val="20"/>
                <w:color w:val="auto"/>
              </w:rPr>
            </w:pPr>
            <w:r>
              <w:rPr>
                <w:rFonts w:ascii="Arial" w:cs="Arial" w:eastAsia="Arial" w:hAnsi="Arial"/>
                <w:sz w:val="16"/>
                <w:szCs w:val="16"/>
                <w:color w:val="auto"/>
              </w:rPr>
              <w:t>Accounts payable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7"/>
        </w:trPr>
        <w:tc>
          <w:tcPr>
            <w:tcW w:w="79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Other current assets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7980" w:type="dxa"/>
            <w:vAlign w:val="bottom"/>
          </w:tcPr>
          <w:p>
            <w:pPr>
              <w:ind w:left="1660"/>
              <w:spacing w:after="0"/>
              <w:rPr>
                <w:sz w:val="20"/>
                <w:szCs w:val="20"/>
                <w:color w:val="auto"/>
              </w:rPr>
            </w:pPr>
            <w:r>
              <w:rPr>
                <w:rFonts w:ascii="Arial" w:cs="Arial" w:eastAsia="Arial" w:hAnsi="Arial"/>
                <w:sz w:val="16"/>
                <w:szCs w:val="16"/>
                <w:color w:val="auto"/>
              </w:rPr>
              <w:t>Other current liabilities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(903)</w:t>
            </w:r>
          </w:p>
        </w:tc>
      </w:tr>
      <w:tr>
        <w:trPr>
          <w:trHeight w:val="217"/>
        </w:trPr>
        <w:tc>
          <w:tcPr>
            <w:tcW w:w="79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Change in pension and postretirement assets and liabilities, net</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09"/>
        </w:trPr>
        <w:tc>
          <w:tcPr>
            <w:tcW w:w="7980" w:type="dxa"/>
            <w:vAlign w:val="bottom"/>
            <w:tcBorders>
              <w:bottom w:val="single" w:sz="8" w:color="CCEEFF"/>
            </w:tcBorders>
          </w:tcPr>
          <w:p>
            <w:pPr>
              <w:ind w:left="166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w:t>
            </w:r>
          </w:p>
        </w:tc>
      </w:tr>
      <w:tr>
        <w:trPr>
          <w:trHeight w:val="19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INVESTING ACTIVITIES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Capital expenditures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(881)</w:t>
            </w:r>
          </w:p>
        </w:tc>
      </w:tr>
      <w:tr>
        <w:trPr>
          <w:trHeight w:val="217"/>
        </w:trPr>
        <w:tc>
          <w:tcPr>
            <w:tcW w:w="79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Acquisitions, net of cash received</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Proceeds from divestitures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7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Proceeds from derivative settlements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Payments for derivative settlements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17"/>
        </w:trPr>
        <w:tc>
          <w:tcPr>
            <w:tcW w:w="7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Proceeds from investments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5"/>
        </w:trPr>
        <w:tc>
          <w:tcPr>
            <w:tcW w:w="79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Proceeds from sales of property, plant and equipment and other</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9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w:t>
            </w:r>
          </w:p>
        </w:tc>
      </w:tr>
      <w:tr>
        <w:trPr>
          <w:trHeight w:val="195"/>
        </w:trPr>
        <w:tc>
          <w:tcPr>
            <w:tcW w:w="7980" w:type="dxa"/>
            <w:vAlign w:val="bottom"/>
          </w:tcPr>
          <w:p>
            <w:pPr>
              <w:ind w:left="20"/>
              <w:spacing w:after="0"/>
              <w:rPr>
                <w:sz w:val="20"/>
                <w:szCs w:val="20"/>
                <w:color w:val="auto"/>
              </w:rPr>
            </w:pPr>
            <w:r>
              <w:rPr>
                <w:rFonts w:ascii="Arial" w:cs="Arial" w:eastAsia="Arial" w:hAnsi="Arial"/>
                <w:sz w:val="16"/>
                <w:szCs w:val="16"/>
                <w:color w:val="auto"/>
              </w:rPr>
              <w:t>CASH PROVIDED BY/(USED IN) FINANCING ACTIVITIES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7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Issuances of commercial paper, maturities greater than 90 days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Repayments of commercial paper, maturities greater than 90 days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issuance of short-term borrowings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w:t>
            </w: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Long-term debt proceeds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1,594</w:t>
            </w:r>
          </w:p>
        </w:tc>
      </w:tr>
      <w:tr>
        <w:trPr>
          <w:trHeight w:val="217"/>
        </w:trPr>
        <w:tc>
          <w:tcPr>
            <w:tcW w:w="7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Long-term debt repayments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w:t>
            </w: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Repurchases of Common Stock</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(1,893)</w:t>
            </w:r>
          </w:p>
        </w:tc>
      </w:tr>
      <w:tr>
        <w:trPr>
          <w:trHeight w:val="217"/>
        </w:trPr>
        <w:tc>
          <w:tcPr>
            <w:tcW w:w="7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Dividends paid</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r>
      <w:tr>
        <w:trPr>
          <w:trHeight w:val="215"/>
        </w:trPr>
        <w:tc>
          <w:tcPr>
            <w:tcW w:w="79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9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19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(Decrease)/increase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6"/>
        </w:trPr>
        <w:tc>
          <w:tcPr>
            <w:tcW w:w="7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Balance at 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r>
      <w:tr>
        <w:trPr>
          <w:trHeight w:val="210"/>
        </w:trPr>
        <w:tc>
          <w:tcPr>
            <w:tcW w:w="7980" w:type="dxa"/>
            <w:vAlign w:val="bottom"/>
          </w:tcPr>
          <w:p>
            <w:pPr>
              <w:ind w:left="540"/>
              <w:spacing w:after="0"/>
              <w:rPr>
                <w:sz w:val="20"/>
                <w:szCs w:val="20"/>
                <w:color w:val="auto"/>
              </w:rPr>
            </w:pPr>
            <w:r>
              <w:rPr>
                <w:rFonts w:ascii="Arial" w:cs="Arial" w:eastAsia="Arial" w:hAnsi="Arial"/>
                <w:sz w:val="16"/>
                <w:szCs w:val="16"/>
                <w:color w:val="auto"/>
              </w:rPr>
              <w:t>Balance at end of period</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890"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and Non-GAAP Financial Measures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discussing its financial results and guidance, the company presents the following financial measures that are not in accordance with U.S. generally accepted accounting principles (“U.S. GAAP”): Organic Net Revenue growth, Adjusted Gross Profit, Adjusted Operating Income, Adjusted Earnings Per Share (“EPS”) and Free Cash Flow. The company also presents financial information, including certain of these non-GAAP financial measures, on a constant currency basis.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uses non-GAAP financial measures internally to make operating and strategic decisions, including the preparation of our annual operating plan, evaluation of business performance and as a factor in determining incentive compensation. The company believes that non-GAAP financial measures, when used in connection with results reported in accordance with U.S. GAAP, provide additional information to facilitate comparisons of our historical operating results and to enable a more comprehensive understanding of trends in our underlying operating results. The company also believes that presenting these measures allows investors to view the company's performance using the same measures that management and our Board of Directors use in evaluating the company’s business performance and trends. However, non-GAAP financial measures should be considered in addition to, and not as substitutes for, financial information prepared in accordance with U.S. GAAP. In addition, the company’s non-GAAP financial measures may not be the same as or comparable to similar non-GAAP measures presented by other companies.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THE COMPANY’S NON-GAAP FINANCIAL MEASURES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primary non-GAAP financial measures and corresponding metrics, listed below, reflect how we evaluate our current and prior year operating results. As new events or circumstances arise, these definitions could change. When our definitions change, the company provides the updated definitions and presents the related non-GAAP historical results on a comparable basis. When items no longer impact the company’s current or future presentation of non-GAAP operating results, the company removes these items from its non-GAAP definitions.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“Organic Net Revenue” is defined as net revenues (the most comparable U.S. GAAP financial measure) excluding, when they occur, the impacts of acquisitions, divestitures and currency-related items. The company believes that Organic net revenue reflects the underlying growth from the ongoing activities of our business and provides improved comparability of results. Organic Net Revenue growth is presented on a consolidated basis, for each of our segments and for our emerging markets and developed markets, and these underlying measures are also reconciled to the most comparable U.S. GAAP financial measures.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Gross Profit” is defined as gross profit (the most comparable U.S. GAAP financial measure) excluding, when they occur, the impacts of: restructuring charges, certain acquisition-related items, certain divestiture-related items, mark-to-market impacts from commodity and foreign currency derivative contracts economically hedging forecasted transactions, incremental costs due to geopolitical conflicts and certain operating costs from the ERP System Implementation program. The company also presents Adjusted Gross Profit margin, which is subject to the same adjustments as Adjusted Gross Profit. The company also evaluates growth in the company’s Adjusted Gross Profit on a constant currency basis.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Operating Income” is defined as operating income (the most comparable U.S. GAAP financial measure) excluding, when they occur, the impacts of: restructuring charges; intangible asset impairment charges; divestiture-related items; acquisition-related items; remeasurement of net monetary position of highly inflationary countries; mark-to-market impacts from commodity and foreign currency derivative contracts economically hedging forecasted transactions; resolution of tax matters; incremental costs due to geopolitical conflicts and operating costs from the ERP System Implementation program. The company also presents Adjusted Operating Income margin, which is subject to the same adjustments as Adjusted Operating Income. The company also evaluates growth in our Adjusted Operating Income on a constant currency basis.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EPS” is defined as diluted EPS attributable to Mondelēz International (the most comparable U.S. GAAP financial measure) from continuing operations excluding, when they occur, the impacts of the items listed in the Adjusted Operating Income definition as well as pension participation changes, initial impacts from enacted tax law changes and gains or losses on equity method investment transactions. The tax impacts of the items excluded from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90" w:right="339" w:bottom="144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8"/>
          <w:szCs w:val="18"/>
          <w:color w:val="auto"/>
        </w:rPr>
        <w:t>the company’s U.S. GAAP results were computed based on the facts and tax assumptions associated with each item, and such impacts have also been excluded from Adjusted EPS. The company also evaluates growth in the company’s Adjusted EPS on a constant currency basis.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“Free Cash Flow” is defined as net cash provided by operating activities (the most comparable U.S. GAAP financial measure) less capital expenditures. Free Cash Flow is the company’s primary measure used to monitor its cash flow performance.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See the attached schedules for supplemental financial data and corresponding reconciliations of the non-GAAP financial measures referred to above to the most comparable U.S. GAAP financial measures for the three and nine months ended September 30, 2026 and September 30, 2025. See Items Impacting Comparability of Operating Results below for more information about the items referenced in these definitions that specifically impacted the company’s results.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IMPACTING COMPARABILITY OF FINANCIAL RESULTS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considers quantitative and qualitative factors in assessing whether to adjust for the impact of items that may be significant or that could affect an understanding of its ongoing financial and business performance and trends. The company identifies these based on how management views the company’s business; makes financial, operating and planning decisions; and evaluates the company’s ongoing performance. The below items are adjusted for in the company’s non-GAAP financial measures to better facilitate comparisons of its underlying performance across periods, as they are highly variable or unusual and of a size that may substantially impact its reported operations for a period. In addition, the company discloses the impact of currency-related items on its financial results to reflect results on a constant currency basis. See below for a description of adjustments to the company’s U.S. GAAP financial measures included herein.</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Restructuring charges </w:t>
      </w:r>
      <w:r>
        <w:rPr>
          <w:rFonts w:ascii="Arial" w:cs="Arial" w:eastAsia="Arial" w:hAnsi="Arial"/>
          <w:sz w:val="18"/>
          <w:szCs w:val="18"/>
          <w:color w:val="auto"/>
        </w:rPr>
        <w:t>– Beginning in the fourth quarter of 2025, the company initiated new restructuring actions to reduce its cost 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and streamline its operations. The charges associated with those actions primarily relate to severance and other implementation costs. The company completed its previous Simplify to Grow Program in 2024. Following the completion of that earlier restructuring program, any adjustments to the liabilities for previously recorded charges, which were immaterial for each period presented, continue to be reflected within this item.</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Intangible asset impairment charges </w:t>
      </w:r>
      <w:r>
        <w:rPr>
          <w:rFonts w:ascii="Arial" w:cs="Arial" w:eastAsia="Arial" w:hAnsi="Arial"/>
          <w:sz w:val="18"/>
          <w:szCs w:val="18"/>
          <w:color w:val="auto"/>
        </w:rPr>
        <w:t>– Reflects non-cash impairments of certain of the company's brands in connection with our indefinite-life intangible asset impairment testing.</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Mark-to-market impacts from derivatives </w:t>
      </w:r>
      <w:r>
        <w:rPr>
          <w:rFonts w:ascii="Arial" w:cs="Arial" w:eastAsia="Arial" w:hAnsi="Arial"/>
          <w:sz w:val="18"/>
          <w:szCs w:val="18"/>
          <w:color w:val="auto"/>
        </w:rPr>
        <w:t>– The company excludes unrealized gains and losses (mark-to-market impacts) from commodity</w:t>
      </w:r>
      <w:r>
        <w:rPr>
          <w:rFonts w:ascii="Arial" w:cs="Arial" w:eastAsia="Arial" w:hAnsi="Arial"/>
          <w:sz w:val="18"/>
          <w:szCs w:val="18"/>
          <w:b w:val="1"/>
          <w:bCs w:val="1"/>
          <w:color w:val="auto"/>
        </w:rPr>
        <w:t xml:space="preserve"> </w:t>
      </w:r>
      <w:r>
        <w:rPr>
          <w:rFonts w:ascii="Arial" w:cs="Arial" w:eastAsia="Arial" w:hAnsi="Arial"/>
          <w:sz w:val="18"/>
          <w:szCs w:val="18"/>
          <w:color w:val="auto"/>
        </w:rPr>
        <w:t>and foreign currency derivative contracts economically hedging forecasted transactions from its non-GAAP earnings measures. The mark-to-market impacts of those derivatives are excluded until the related gains or losses are realized. Since the company purchases commodity and foreign currency derivative contracts to mitigate price volatility primarily for inventory requirements in future periods, the company makes this adjustment to remove the volatility of these future inventory purchases on current operating results to facilitate comparisons of its underlying operating performance across periods.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Acquisition-related items </w:t>
      </w:r>
      <w:r>
        <w:rPr>
          <w:rFonts w:ascii="Arial" w:cs="Arial" w:eastAsia="Arial" w:hAnsi="Arial"/>
          <w:sz w:val="18"/>
          <w:szCs w:val="18"/>
          <w:color w:val="auto"/>
        </w:rPr>
        <w:t>– Includes acquisition-related costs, acquisition integration costs, contingent consideration adjustments,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step-ups and gains from acquisitions. Acquisition-related costs include third-party advisor, investment banking and legal fees. Acquisition integration costs include costs related to the integration of operations from acquisitions. Contingent consideration adjustments include any changes made to contingent compensation liabilities for earn-outs related to acquisitions that do not relate to recurring employee compensation expense. Other acquisition-related items include incremental costs from inventory step-ups associated with acquired companies related to the fair market valuation of the acquired inventory and acquisition gains from the remeasurement of an existing noncontrolling investment to fair value when the company acquires a controlling interest in the investee.</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Divestiture-related items </w:t>
      </w:r>
      <w:r>
        <w:rPr>
          <w:rFonts w:ascii="Arial" w:cs="Arial" w:eastAsia="Arial" w:hAnsi="Arial"/>
          <w:sz w:val="18"/>
          <w:szCs w:val="18"/>
          <w:color w:val="auto"/>
        </w:rPr>
        <w:t>– Includes operating results from divestitures, divestiture-related costs and gains or losses on divestitures.</w:t>
      </w:r>
      <w:r>
        <w:rPr>
          <w:rFonts w:ascii="Arial" w:cs="Arial" w:eastAsia="Arial" w:hAnsi="Arial"/>
          <w:sz w:val="18"/>
          <w:szCs w:val="18"/>
          <w:b w:val="1"/>
          <w:bCs w:val="1"/>
          <w:color w:val="auto"/>
        </w:rPr>
        <w:t xml:space="preserve"> </w:t>
      </w:r>
      <w:r>
        <w:rPr>
          <w:rFonts w:ascii="Arial" w:cs="Arial" w:eastAsia="Arial" w:hAnsi="Arial"/>
          <w:sz w:val="18"/>
          <w:szCs w:val="18"/>
          <w:color w:val="auto"/>
        </w:rPr>
        <w:t>Divestitures may include sales of businesses, exits of major product lines upon completion of a sale or licensing agreement, or sales of equity method investments. Divestiture-related costs include costs incurred in relation to the preparation and completion of divestiture transactions (including one-time costs such as severance related to the elimination of stranded costs) as well as costs incurred associated with publicly announced processes to sell businesses.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Incremental costs due to geopolitical conflicts </w:t>
      </w:r>
      <w:r>
        <w:rPr>
          <w:rFonts w:ascii="Arial" w:cs="Arial" w:eastAsia="Arial" w:hAnsi="Arial"/>
          <w:sz w:val="18"/>
          <w:szCs w:val="18"/>
          <w:color w:val="auto"/>
        </w:rPr>
        <w:t>– Reflects impacts related to the ongoing conflicts in the Middle East and Ukraine.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Includes costs related to conflict-related destruction of inventory, transportation surcharges, evacuation costs and committed compensation.</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ERP System Implementation costs </w:t>
      </w:r>
      <w:r>
        <w:rPr>
          <w:rFonts w:ascii="Arial" w:cs="Arial" w:eastAsia="Arial" w:hAnsi="Arial"/>
          <w:sz w:val="18"/>
          <w:szCs w:val="18"/>
          <w:color w:val="auto"/>
        </w:rPr>
        <w:t>– In July 2024, the company's Board of Directors approved funding of $1.2 billion for a multi-year</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transformation program to upgrade the company global ERP and supply chain systems, which is comprised of both capital expenditures and operating expenses, of which a majority is expected to be operating expenses. The operating expenses associated with the ERP System Implementation represent incremental transformational costs above the normal ongoing level of spending on information technology to support operations. These expenses include third-party consulting fees, direct labor costs associated with the program, accelerated depreciation of our existing SAP financial systems and various other expenses, all associated with the implementation of our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information technology upgrades. During the quarter ended September 30, 2026, the company completed the implementation of the new ERP system for our North America and Latin America segments, which was the first phase of the multi-phase global ERP implementation</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program. The new ERP systems for the remaining segments continue to be implemented in future phases, with expected completion by year-end 2028.</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Remeasurement of net monetary position of highly inflationary countries </w:t>
      </w:r>
      <w:r>
        <w:rPr>
          <w:rFonts w:ascii="Arial" w:cs="Arial" w:eastAsia="Arial" w:hAnsi="Arial"/>
          <w:sz w:val="18"/>
          <w:szCs w:val="18"/>
          <w:color w:val="auto"/>
        </w:rPr>
        <w:t>– The company’s operations in Argentina, Türkiye, Egypt and</w:t>
      </w:r>
      <w:r>
        <w:rPr>
          <w:rFonts w:ascii="Arial" w:cs="Arial" w:eastAsia="Arial" w:hAnsi="Arial"/>
          <w:sz w:val="18"/>
          <w:szCs w:val="18"/>
          <w:b w:val="1"/>
          <w:bCs w:val="1"/>
          <w:color w:val="auto"/>
        </w:rPr>
        <w:t xml:space="preserve"> </w:t>
      </w:r>
      <w:r>
        <w:rPr>
          <w:rFonts w:ascii="Arial" w:cs="Arial" w:eastAsia="Arial" w:hAnsi="Arial"/>
          <w:sz w:val="18"/>
          <w:szCs w:val="18"/>
          <w:color w:val="auto"/>
        </w:rPr>
        <w:t>Nigeria are currently accounted for as highly inflationary. The company excludes remeasurement gains and losses of the monetary assets and liabilities of its subsidiaries in highly inflationary economies and the realized gains and losses from derivatives that mitigate the foreign currency volatility related to the remeasurement of the respective monetary assets or liabilities from its non-GAAP earnings measures.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Pension participation changes </w:t>
      </w:r>
      <w:r>
        <w:rPr>
          <w:rFonts w:ascii="Arial" w:cs="Arial" w:eastAsia="Arial" w:hAnsi="Arial"/>
          <w:sz w:val="18"/>
          <w:szCs w:val="18"/>
          <w:color w:val="auto"/>
        </w:rPr>
        <w:t>– Consists of the charges incurred, primarily gains or losses from pension curtailments and settlements,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settlement losses from the full or partial buy-out of the company's pension plans, as well as costs incurred when employee groups</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are withdrawn from multiemployer pension plans. The company </w:t>
      </w:r>
      <w:r>
        <w:rPr>
          <w:rFonts w:ascii="Arial" w:cs="Arial" w:eastAsia="Arial" w:hAnsi="Arial"/>
          <w:sz w:val="17"/>
          <w:szCs w:val="17"/>
          <w:color w:val="auto"/>
        </w:rPr>
        <w:t>excludes these charges from its non-GAAP results because those amounts do</w:t>
      </w:r>
      <w:r>
        <w:rPr>
          <w:rFonts w:ascii="Arial" w:cs="Arial" w:eastAsia="Arial" w:hAnsi="Arial"/>
          <w:sz w:val="18"/>
          <w:szCs w:val="18"/>
          <w:color w:val="auto"/>
        </w:rPr>
        <w:t xml:space="preserve"> </w:t>
      </w:r>
      <w:r>
        <w:rPr>
          <w:rFonts w:ascii="Arial" w:cs="Arial" w:eastAsia="Arial" w:hAnsi="Arial"/>
          <w:sz w:val="17"/>
          <w:szCs w:val="17"/>
          <w:color w:val="auto"/>
        </w:rPr>
        <w:t>not reflect the company's ongoing pension obligations.</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Resolution of tax matters </w:t>
      </w:r>
      <w:r>
        <w:rPr>
          <w:rFonts w:ascii="Arial" w:cs="Arial" w:eastAsia="Arial" w:hAnsi="Arial"/>
          <w:sz w:val="18"/>
          <w:szCs w:val="18"/>
          <w:color w:val="auto"/>
        </w:rPr>
        <w:t>– Consists of the reversals and settlements of unusual and significant indirect tax matters. Due to the unique</w:t>
      </w:r>
      <w:r>
        <w:rPr>
          <w:rFonts w:ascii="Arial" w:cs="Arial" w:eastAsia="Arial" w:hAnsi="Arial"/>
          <w:sz w:val="18"/>
          <w:szCs w:val="18"/>
          <w:b w:val="1"/>
          <w:bCs w:val="1"/>
          <w:color w:val="auto"/>
        </w:rPr>
        <w:t xml:space="preserve"> </w:t>
      </w:r>
      <w:r>
        <w:rPr>
          <w:rFonts w:ascii="Arial" w:cs="Arial" w:eastAsia="Arial" w:hAnsi="Arial"/>
          <w:sz w:val="18"/>
          <w:szCs w:val="18"/>
          <w:color w:val="auto"/>
        </w:rPr>
        <w:t>nature of these resolutions, the company believes it to be infrequent and therefore excludes it from our non-GAAP earnings measures to better facilitate comparisons of the company's underlying operating performance across periods.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Initial impacts from enacted tax law changes </w:t>
      </w:r>
      <w:r>
        <w:rPr>
          <w:rFonts w:ascii="Arial" w:cs="Arial" w:eastAsia="Arial" w:hAnsi="Arial"/>
          <w:sz w:val="18"/>
          <w:szCs w:val="18"/>
          <w:color w:val="auto"/>
        </w:rPr>
        <w:t>– Initial impacts from enacted tax law changes include items such as the remeasurement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tax balances and transition taxes from tax reforms. The company excludes initial impacts from enacted tax law changes from the non-GAAP financial measures as they do not reflect the company's ongoing tax obligations under the enacted tax law.</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Gains and losses on equity method investment transactions </w:t>
      </w:r>
      <w:r>
        <w:rPr>
          <w:rFonts w:ascii="Arial" w:cs="Arial" w:eastAsia="Arial" w:hAnsi="Arial"/>
          <w:sz w:val="18"/>
          <w:szCs w:val="18"/>
          <w:color w:val="auto"/>
        </w:rPr>
        <w:t>– The company excludes gains and losses from partial or full sales of equity</w:t>
      </w:r>
      <w:r>
        <w:rPr>
          <w:rFonts w:ascii="Arial" w:cs="Arial" w:eastAsia="Arial" w:hAnsi="Arial"/>
          <w:sz w:val="18"/>
          <w:szCs w:val="18"/>
          <w:b w:val="1"/>
          <w:bCs w:val="1"/>
          <w:color w:val="auto"/>
        </w:rPr>
        <w:t xml:space="preserve"> </w:t>
      </w:r>
      <w:r>
        <w:rPr>
          <w:rFonts w:ascii="Arial" w:cs="Arial" w:eastAsia="Arial" w:hAnsi="Arial"/>
          <w:sz w:val="18"/>
          <w:szCs w:val="18"/>
          <w:color w:val="auto"/>
        </w:rPr>
        <w:t>method investments, as well as impairments or other non-routine transactions related to those investments.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Currency-related items </w:t>
      </w:r>
      <w:r>
        <w:rPr>
          <w:rFonts w:ascii="Arial" w:cs="Arial" w:eastAsia="Arial" w:hAnsi="Arial"/>
          <w:sz w:val="18"/>
          <w:szCs w:val="18"/>
          <w:color w:val="auto"/>
        </w:rPr>
        <w:t>– Management also evaluates the operating performance of the company and its international subsidiaries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constant currency basis. The company's non-GAAP measures presented on a constant currency basis exclude the effects of currency translation rate changes and extreme pricing increases in Argentina.</w:t>
      </w:r>
    </w:p>
    <w:p>
      <w:pPr>
        <w:spacing w:after="0" w:line="1" w:lineRule="exact"/>
        <w:rPr>
          <w:sz w:val="20"/>
          <w:szCs w:val="20"/>
          <w:color w:val="auto"/>
        </w:rPr>
      </w:pPr>
    </w:p>
    <w:p>
      <w:pPr>
        <w:jc w:val="both"/>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translation rate changes – the company determines its constant currency operating results by dividing or multiplying, as appropriate, the current period local currency operating results by the currency exchange rates used to translate the company’s financial statements in the comparable prior year period to determine what the current-period U.S. dollar operating results would have been if the currency exchange rates had not changed from the comparable prior year period. Therefore, currency translation rate changes are equal to current period local currency operating results multiplied by the change in average foreign currency exchange rates between the current fiscal period and the corresponding period of the prior fiscal year.</w:t>
      </w:r>
    </w:p>
    <w:p>
      <w:pPr>
        <w:spacing w:after="0" w:line="2"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Extreme Pricing – during December 2023, the Argentinean peso significantly devalued. The peso's devaluation and potential resulting distortion on the company's non-GAAP Organic Net Revenue, Organic Net Revenue growth and other constant currency growth rate measures resulted in our decision to exclude the impact of pricing increases in excess of 26% year-over-year ("extreme pricing") in Argentina, from these measures beginning in the first quarter of 2024. The benchmark of 26% represents the minimum annual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90" w:right="339" w:bottom="1440" w:gutter="0" w:footer="0" w:header="0"/>
        </w:sectPr>
      </w:pPr>
    </w:p>
    <w:bookmarkStart w:id="16" w:name="page17"/>
    <w:bookmarkEnd w:id="16"/>
    <w:p>
      <w:pPr>
        <w:ind w:left="660" w:right="20"/>
        <w:spacing w:after="0" w:line="287" w:lineRule="auto"/>
        <w:rPr>
          <w:sz w:val="20"/>
          <w:szCs w:val="20"/>
          <w:color w:val="auto"/>
        </w:rPr>
      </w:pPr>
      <w:r>
        <w:rPr>
          <w:rFonts w:ascii="Arial" w:cs="Arial" w:eastAsia="Arial" w:hAnsi="Arial"/>
          <w:sz w:val="18"/>
          <w:szCs w:val="18"/>
          <w:color w:val="auto"/>
        </w:rPr>
        <w:t>inflation rate for each year over a 3-year period which would result in a cumulative inflation rate in excess of 100%, the level at which an economy is considered hyperinflationary under U.S. GAAP.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Organic Net Revenue growth, Adjusted EPS growth on a constant currency basis, Adjusted Interest Expense, Adjusted Effective Tax Rate and Free Cash Flow for full-year 2026 are non-GAAP financial measures that exclude or otherwise adjust for items impacting comparability of financial results such as the impact of changes in currency exchange rates, intangible asset impairment charges, acquisitions and divestitures. Because GAAP financial measures on a forward-looking basis are not accessible and reconciling information is not available without unreasonable effort, the company has not provided that information with regard to the non-GAAP financial measures in the outlook. The company is not able to reconcile its projected Organic Net Revenue growth to its projected reported net revenue growth for the full-year 2026 because the company is unable to predict during this period the impacts from potential acquisitions or divestitures, as well as the impact of currency translation due to the unpredictability of future changes in currency exchange rates, which could be material as a significant portion of the company’s operations are outside the U.S. The company is not able to reconcile the projected Adjusted EPS growth on a constant currency basis, Adjusted Interest Expense and Adjusted Effective Tax Rate to the company's projected reported diluted EPS growth, reported interest and other expense, net, and reported effective tax rate, respectively, for full-year 2026 due to several factors, which could include: the company's ability to predict during this period mark-to-market impacts from commodity and foreign currency derivative contracts, impacts of any impairment charges that may arise in a future period and impacts from potential acquisitions or divestitures as well as the impact of currency translation due to the unpredictability of future changes in currency exchange rates, which could be material as a significant portion of the company's operations are outside the U.S. The company is not able to reconcile the projected Free Cash Flow to the projected net cash from operating activities for full-year 2026 because the company is unable to predict during this period the timing and amount of capital expenditures impacting cash flow. Therefore, because of the uncertainty and variability of the nature and amounts of future adjustments, which could be significant, the company is unable to provide a reconciliation of these measures without unreasonable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0"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4"/>
          <w:szCs w:val="14"/>
          <w:u w:val="single" w:color="auto"/>
          <w:color w:val="auto"/>
        </w:rPr>
        <w:t>Schedule 4</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Mondelēz International,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GAAP to Non-GAAP Measures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Net Revenues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of U.S. dollars)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(Unaudited</w:t>
            </w:r>
            <w:r>
              <w:rPr>
                <w:rFonts w:ascii="Arial" w:cs="Arial" w:eastAsia="Arial" w:hAnsi="Arial"/>
                <w:sz w:val="16"/>
                <w:szCs w:val="16"/>
                <w:b w:val="1"/>
                <w:bCs w:val="1"/>
                <w:color w:val="auto"/>
              </w:rPr>
              <w: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Latin America</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AMEA</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Europe</w:t>
            </w:r>
          </w:p>
        </w:tc>
        <w:tc>
          <w:tcPr>
            <w:tcW w:w="14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North America</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Mondelēz</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Emerging</w:t>
            </w: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Developed</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5"/>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60" w:type="dxa"/>
            <w:vAlign w:val="bottom"/>
            <w:gridSpan w:val="5"/>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For the Three Months Ended</w:t>
            </w:r>
          </w:p>
        </w:tc>
        <w:tc>
          <w:tcPr>
            <w:tcW w:w="1460" w:type="dxa"/>
            <w:vAlign w:val="bottom"/>
            <w:gridSpan w:val="5"/>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60" w:type="dxa"/>
            <w:vAlign w:val="bottom"/>
            <w:gridSpan w:val="5"/>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International</w:t>
            </w:r>
          </w:p>
        </w:tc>
        <w:tc>
          <w:tcPr>
            <w:tcW w:w="1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Markets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 2026</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Reported (GAAP)</w:t>
            </w:r>
          </w:p>
        </w:tc>
        <w:tc>
          <w:tcPr>
            <w:tcW w:w="760" w:type="dxa"/>
            <w:vAlign w:val="bottom"/>
            <w:gridSpan w:val="3"/>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2,182</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3,552</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2,846</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9,967</w:t>
            </w:r>
          </w:p>
        </w:tc>
        <w:tc>
          <w:tcPr>
            <w:tcW w:w="1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4,072</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21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Currency-related items</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45</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Organic (Non-GAAP)</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1,323</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2,172</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3,597</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2,850</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9,942</w:t>
            </w:r>
          </w:p>
        </w:tc>
        <w:tc>
          <w:tcPr>
            <w:tcW w:w="16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4,042</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5,900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100" w:type="dxa"/>
            <w:vAlign w:val="bottom"/>
            <w:tcBorders>
              <w:top w:val="single" w:sz="8" w:color="CCEEFF"/>
              <w:bottom w:val="single" w:sz="8" w:color="CCEEFF"/>
            </w:tcBorders>
            <w:gridSpan w:val="4"/>
            <w:vMerge w:val="restart"/>
          </w:tcPr>
          <w:p>
            <w:pPr>
              <w:spacing w:after="0" w:line="149" w:lineRule="exact"/>
              <w:rPr>
                <w:sz w:val="20"/>
                <w:szCs w:val="20"/>
                <w:color w:val="auto"/>
              </w:rPr>
            </w:pPr>
            <w:r>
              <w:rPr>
                <w:rFonts w:ascii="Arial" w:cs="Arial" w:eastAsia="Arial" w:hAnsi="Arial"/>
                <w:sz w:val="14"/>
                <w:szCs w:val="14"/>
                <w:b w:val="1"/>
                <w:bCs w:val="1"/>
                <w:color w:val="auto"/>
              </w:rPr>
              <w:t>For the Three Months Ended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210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Reported (GAAP)</w:t>
            </w:r>
          </w:p>
        </w:tc>
        <w:tc>
          <w:tcPr>
            <w:tcW w:w="760" w:type="dxa"/>
            <w:vAlign w:val="bottom"/>
            <w:gridSpan w:val="3"/>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1,238</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3,674</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2,815</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9,744</w:t>
            </w:r>
          </w:p>
        </w:tc>
        <w:tc>
          <w:tcPr>
            <w:tcW w:w="1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3,881</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21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Divestitures</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Organic (Non-GAAP)</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1,238</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3,674</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2,806</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9,735</w:t>
            </w:r>
          </w:p>
        </w:tc>
        <w:tc>
          <w:tcPr>
            <w:tcW w:w="16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3,881</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5,854</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4"/>
                <w:szCs w:val="14"/>
                <w:b w:val="1"/>
                <w:bCs w:val="1"/>
                <w:color w:val="auto"/>
              </w:rPr>
              <w:t>% Change - Reported (GAAP)</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(3.3)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0.5</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Divestitures</w:t>
            </w:r>
          </w:p>
        </w:tc>
        <w:tc>
          <w:tcPr>
            <w:tcW w:w="32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 pp</w:t>
            </w: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 pp</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pp</w:t>
            </w:r>
          </w:p>
        </w:tc>
        <w:tc>
          <w:tcPr>
            <w:tcW w:w="32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4"/>
                <w:szCs w:val="14"/>
                <w:color w:val="auto"/>
              </w:rPr>
              <w:t>0.3 pp</w:t>
            </w:r>
          </w:p>
        </w:tc>
        <w:tc>
          <w:tcPr>
            <w:tcW w:w="13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0.1 pp</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 pp</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 pp</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21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Currency-related items</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2100" w:type="dxa"/>
            <w:vAlign w:val="bottom"/>
            <w:gridSpan w:val="4"/>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 Change - Organic (Non-</w:t>
            </w:r>
          </w:p>
        </w:tc>
        <w:tc>
          <w:tcPr>
            <w:tcW w:w="3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 %</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w:t>
            </w: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2100" w:type="dxa"/>
            <w:vAlign w:val="bottom"/>
            <w:tcBorders>
              <w:bottom w:val="single" w:sz="8" w:color="CCEEFF"/>
            </w:tcBorders>
            <w:gridSpan w:val="4"/>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GAAP)</w:t>
            </w:r>
          </w:p>
        </w:tc>
        <w:tc>
          <w:tcPr>
            <w:tcW w:w="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4"/>
                <w:szCs w:val="14"/>
                <w:color w:val="auto"/>
              </w:rPr>
              <w:t>Vol/Mix</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4"/>
          </w:tcPr>
          <w:p>
            <w:pPr>
              <w:jc w:val="right"/>
              <w:ind w:right="340"/>
              <w:spacing w:after="0"/>
              <w:rPr>
                <w:sz w:val="20"/>
                <w:szCs w:val="20"/>
                <w:color w:val="auto"/>
              </w:rPr>
            </w:pPr>
            <w:r>
              <w:rPr>
                <w:rFonts w:ascii="Arial" w:cs="Arial" w:eastAsia="Arial" w:hAnsi="Arial"/>
                <w:sz w:val="14"/>
                <w:szCs w:val="14"/>
                <w:color w:val="auto"/>
              </w:rPr>
              <w:t>0.8 pp</w:t>
            </w:r>
          </w:p>
        </w:tc>
        <w:tc>
          <w:tcPr>
            <w:tcW w:w="1220" w:type="dxa"/>
            <w:vAlign w:val="bottom"/>
            <w:gridSpan w:val="4"/>
          </w:tcPr>
          <w:p>
            <w:pPr>
              <w:jc w:val="right"/>
              <w:ind w:right="340"/>
              <w:spacing w:after="0"/>
              <w:rPr>
                <w:sz w:val="20"/>
                <w:szCs w:val="20"/>
                <w:color w:val="auto"/>
              </w:rPr>
            </w:pPr>
            <w:r>
              <w:rPr>
                <w:rFonts w:ascii="Arial" w:cs="Arial" w:eastAsia="Arial" w:hAnsi="Arial"/>
                <w:sz w:val="14"/>
                <w:szCs w:val="14"/>
                <w:color w:val="auto"/>
              </w:rPr>
              <w:t>5.5 pp</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1.6 pp</w:t>
            </w:r>
          </w:p>
        </w:tc>
        <w:tc>
          <w:tcPr>
            <w:tcW w:w="320" w:type="dxa"/>
            <w:vAlign w:val="bottom"/>
          </w:tcPr>
          <w:p>
            <w:pPr>
              <w:spacing w:after="0"/>
              <w:rPr>
                <w:sz w:val="15"/>
                <w:szCs w:val="15"/>
                <w:color w:val="auto"/>
              </w:rPr>
            </w:pPr>
          </w:p>
        </w:tc>
        <w:tc>
          <w:tcPr>
            <w:tcW w:w="1140" w:type="dxa"/>
            <w:vAlign w:val="bottom"/>
            <w:gridSpan w:val="4"/>
          </w:tcPr>
          <w:p>
            <w:pPr>
              <w:jc w:val="right"/>
              <w:ind w:right="360"/>
              <w:spacing w:after="0"/>
              <w:rPr>
                <w:sz w:val="20"/>
                <w:szCs w:val="20"/>
                <w:color w:val="auto"/>
              </w:rPr>
            </w:pPr>
            <w:r>
              <w:rPr>
                <w:rFonts w:ascii="Arial" w:cs="Arial" w:eastAsia="Arial" w:hAnsi="Arial"/>
                <w:sz w:val="14"/>
                <w:szCs w:val="14"/>
                <w:color w:val="auto"/>
              </w:rPr>
              <w:t>— pp</w:t>
            </w:r>
          </w:p>
        </w:tc>
        <w:tc>
          <w:tcPr>
            <w:tcW w:w="13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1.8 pp</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4"/>
          </w:tcPr>
          <w:p>
            <w:pPr>
              <w:jc w:val="right"/>
              <w:ind w:right="320"/>
              <w:spacing w:after="0"/>
              <w:rPr>
                <w:sz w:val="20"/>
                <w:szCs w:val="20"/>
                <w:color w:val="auto"/>
              </w:rPr>
            </w:pPr>
            <w:r>
              <w:rPr>
                <w:rFonts w:ascii="Arial" w:cs="Arial" w:eastAsia="Arial" w:hAnsi="Arial"/>
                <w:sz w:val="14"/>
                <w:szCs w:val="14"/>
                <w:color w:val="auto"/>
              </w:rPr>
              <w:t>2.2 pp</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1.5 pp</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Pricing</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Latin America</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AMEA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Europe</w:t>
            </w:r>
          </w:p>
        </w:tc>
        <w:tc>
          <w:tcPr>
            <w:tcW w:w="14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North America</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Mondelēz</w:t>
            </w:r>
          </w:p>
        </w:tc>
        <w:tc>
          <w:tcPr>
            <w:tcW w:w="1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Developed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For the Nine Months Ended</w:t>
            </w:r>
          </w:p>
        </w:tc>
        <w:tc>
          <w:tcPr>
            <w:tcW w:w="1460" w:type="dxa"/>
            <w:vAlign w:val="bottom"/>
            <w:gridSpan w:val="5"/>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60" w:type="dxa"/>
            <w:vAlign w:val="bottom"/>
            <w:gridSpan w:val="5"/>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International</w:t>
            </w:r>
          </w:p>
        </w:tc>
        <w:tc>
          <w:tcPr>
            <w:tcW w:w="1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Markets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September 30, 2026</w:t>
            </w:r>
          </w:p>
        </w:tc>
        <w:tc>
          <w:tcPr>
            <w:tcW w:w="22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Reported (GAAP)</w:t>
            </w:r>
          </w:p>
        </w:tc>
        <w:tc>
          <w:tcPr>
            <w:tcW w:w="760" w:type="dxa"/>
            <w:vAlign w:val="bottom"/>
            <w:gridSpan w:val="3"/>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4,109</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6,457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10,800</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8,036</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29,402</w:t>
            </w:r>
          </w:p>
        </w:tc>
        <w:tc>
          <w:tcPr>
            <w:tcW w:w="1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12,130</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17,272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21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Currency-related items</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Organic (Non-GAAP)</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3,881</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6,366</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10,418</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8,030</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28,695</w:t>
            </w:r>
          </w:p>
        </w:tc>
        <w:tc>
          <w:tcPr>
            <w:tcW w:w="16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11,796</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16,899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100" w:type="dxa"/>
            <w:vAlign w:val="bottom"/>
            <w:tcBorders>
              <w:top w:val="single" w:sz="8" w:color="CCEEFF"/>
              <w:bottom w:val="single" w:sz="8" w:color="CCEEFF"/>
            </w:tcBorders>
            <w:gridSpan w:val="4"/>
            <w:vMerge w:val="restart"/>
          </w:tcPr>
          <w:p>
            <w:pPr>
              <w:spacing w:after="0" w:line="149" w:lineRule="exact"/>
              <w:rPr>
                <w:sz w:val="20"/>
                <w:szCs w:val="20"/>
                <w:color w:val="auto"/>
              </w:rPr>
            </w:pPr>
            <w:r>
              <w:rPr>
                <w:rFonts w:ascii="Arial" w:cs="Arial" w:eastAsia="Arial" w:hAnsi="Arial"/>
                <w:sz w:val="14"/>
                <w:szCs w:val="14"/>
                <w:b w:val="1"/>
                <w:bCs w:val="1"/>
                <w:color w:val="auto"/>
              </w:rPr>
              <w:t>For the Nine Months Ended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210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September 30, 2025</w:t>
            </w:r>
          </w:p>
        </w:tc>
        <w:tc>
          <w:tcPr>
            <w:tcW w:w="22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Reported (GAAP)</w:t>
            </w:r>
          </w:p>
        </w:tc>
        <w:tc>
          <w:tcPr>
            <w:tcW w:w="760" w:type="dxa"/>
            <w:vAlign w:val="bottom"/>
            <w:gridSpan w:val="3"/>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3,635</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5,854</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10,636</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7,916</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28,041</w:t>
            </w:r>
          </w:p>
        </w:tc>
        <w:tc>
          <w:tcPr>
            <w:tcW w:w="1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11,242</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16,799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21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Divestitures</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Organic (Non-GAAP)</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3,635</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5,854</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10,636</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7,886</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28,011</w:t>
            </w:r>
          </w:p>
        </w:tc>
        <w:tc>
          <w:tcPr>
            <w:tcW w:w="16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11,242</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16,769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4"/>
                <w:szCs w:val="14"/>
                <w:b w:val="1"/>
                <w:bCs w:val="1"/>
                <w:color w:val="auto"/>
              </w:rPr>
              <w:t>% Change - Reported (GAAP)</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13.0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Divestitures</w:t>
            </w:r>
          </w:p>
        </w:tc>
        <w:tc>
          <w:tcPr>
            <w:tcW w:w="32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 pp</w:t>
            </w: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 pp</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pp</w:t>
            </w:r>
          </w:p>
        </w:tc>
        <w:tc>
          <w:tcPr>
            <w:tcW w:w="32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4"/>
                <w:szCs w:val="14"/>
                <w:color w:val="auto"/>
              </w:rPr>
              <w:t>0.4 pp</w:t>
            </w:r>
          </w:p>
        </w:tc>
        <w:tc>
          <w:tcPr>
            <w:tcW w:w="13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0.1 pp</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 pp</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 pp</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21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Currency-related items</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2100" w:type="dxa"/>
            <w:vAlign w:val="bottom"/>
            <w:gridSpan w:val="4"/>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 Change - Organic (Non-</w:t>
            </w:r>
          </w:p>
        </w:tc>
        <w:tc>
          <w:tcPr>
            <w:tcW w:w="3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 %</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w:t>
            </w: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2100" w:type="dxa"/>
            <w:vAlign w:val="bottom"/>
            <w:tcBorders>
              <w:bottom w:val="single" w:sz="8" w:color="CCEEFF"/>
            </w:tcBorders>
            <w:gridSpan w:val="4"/>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GAAP)</w:t>
            </w:r>
          </w:p>
        </w:tc>
        <w:tc>
          <w:tcPr>
            <w:tcW w:w="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4"/>
                <w:szCs w:val="14"/>
                <w:color w:val="auto"/>
              </w:rPr>
              <w:t>Vol/Mix</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4"/>
          </w:tcPr>
          <w:p>
            <w:pPr>
              <w:jc w:val="right"/>
              <w:ind w:right="340"/>
              <w:spacing w:after="0"/>
              <w:rPr>
                <w:sz w:val="20"/>
                <w:szCs w:val="20"/>
                <w:color w:val="auto"/>
              </w:rPr>
            </w:pPr>
            <w:r>
              <w:rPr>
                <w:rFonts w:ascii="Arial" w:cs="Arial" w:eastAsia="Arial" w:hAnsi="Arial"/>
                <w:sz w:val="14"/>
                <w:szCs w:val="14"/>
                <w:color w:val="auto"/>
              </w:rPr>
              <w:t>(0.6)pp</w:t>
            </w:r>
          </w:p>
        </w:tc>
        <w:tc>
          <w:tcPr>
            <w:tcW w:w="1220" w:type="dxa"/>
            <w:vAlign w:val="bottom"/>
            <w:gridSpan w:val="4"/>
          </w:tcPr>
          <w:p>
            <w:pPr>
              <w:jc w:val="right"/>
              <w:ind w:right="340"/>
              <w:spacing w:after="0"/>
              <w:rPr>
                <w:sz w:val="20"/>
                <w:szCs w:val="20"/>
                <w:color w:val="auto"/>
              </w:rPr>
            </w:pPr>
            <w:r>
              <w:rPr>
                <w:rFonts w:ascii="Arial" w:cs="Arial" w:eastAsia="Arial" w:hAnsi="Arial"/>
                <w:sz w:val="14"/>
                <w:szCs w:val="14"/>
                <w:color w:val="auto"/>
              </w:rPr>
              <w:t>5.5 pp</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(1.2)pp</w:t>
            </w:r>
          </w:p>
        </w:tc>
        <w:tc>
          <w:tcPr>
            <w:tcW w:w="320" w:type="dxa"/>
            <w:vAlign w:val="bottom"/>
          </w:tcPr>
          <w:p>
            <w:pPr>
              <w:spacing w:after="0"/>
              <w:rPr>
                <w:sz w:val="15"/>
                <w:szCs w:val="15"/>
                <w:color w:val="auto"/>
              </w:rPr>
            </w:pPr>
          </w:p>
        </w:tc>
        <w:tc>
          <w:tcPr>
            <w:tcW w:w="1140" w:type="dxa"/>
            <w:vAlign w:val="bottom"/>
            <w:gridSpan w:val="4"/>
          </w:tcPr>
          <w:p>
            <w:pPr>
              <w:jc w:val="right"/>
              <w:ind w:right="360"/>
              <w:spacing w:after="0"/>
              <w:rPr>
                <w:sz w:val="20"/>
                <w:szCs w:val="20"/>
                <w:color w:val="auto"/>
              </w:rPr>
            </w:pPr>
            <w:r>
              <w:rPr>
                <w:rFonts w:ascii="Arial" w:cs="Arial" w:eastAsia="Arial" w:hAnsi="Arial"/>
                <w:sz w:val="14"/>
                <w:szCs w:val="14"/>
                <w:color w:val="auto"/>
              </w:rPr>
              <w:t>0.2 pp</w:t>
            </w:r>
          </w:p>
        </w:tc>
        <w:tc>
          <w:tcPr>
            <w:tcW w:w="13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0.6 pp</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4"/>
          </w:tcPr>
          <w:p>
            <w:pPr>
              <w:jc w:val="right"/>
              <w:ind w:right="320"/>
              <w:spacing w:after="0"/>
              <w:rPr>
                <w:sz w:val="20"/>
                <w:szCs w:val="20"/>
                <w:color w:val="auto"/>
              </w:rPr>
            </w:pPr>
            <w:r>
              <w:rPr>
                <w:rFonts w:ascii="Arial" w:cs="Arial" w:eastAsia="Arial" w:hAnsi="Arial"/>
                <w:sz w:val="14"/>
                <w:szCs w:val="14"/>
                <w:color w:val="auto"/>
              </w:rPr>
              <w:t>1.4 pp</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0.2 pp</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Pricing</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-2395220</wp:posOffset>
            </wp:positionV>
            <wp:extent cx="71577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00"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3"/>
          <w:szCs w:val="13"/>
          <w:u w:val="single" w:color="auto"/>
          <w:color w:val="auto"/>
        </w:rPr>
        <w:t>Schedule 5</w:t>
      </w:r>
      <w:r>
        <w:rPr>
          <w:rFonts w:ascii="Arial" w:cs="Arial" w:eastAsia="Arial" w:hAnsi="Arial"/>
          <w:sz w:val="14"/>
          <w:szCs w:val="14"/>
          <w:u w:val="single" w:color="auto"/>
          <w:color w:val="auto"/>
        </w:rPr>
        <w:t>a</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Mondelēz International, Inc. and Subsidiaries</w:t>
      </w:r>
    </w:p>
    <w:p>
      <w:pPr>
        <w:jc w:val="center"/>
        <w:spacing w:after="0"/>
        <w:rPr>
          <w:sz w:val="20"/>
          <w:szCs w:val="20"/>
          <w:color w:val="auto"/>
        </w:rPr>
      </w:pPr>
      <w:r>
        <w:rPr>
          <w:rFonts w:ascii="Arial" w:cs="Arial" w:eastAsia="Arial" w:hAnsi="Arial"/>
          <w:sz w:val="13"/>
          <w:szCs w:val="13"/>
          <w:b w:val="1"/>
          <w:bCs w:val="1"/>
          <w:color w:val="auto"/>
        </w:rPr>
        <w:t>Reconciliation of GAAP to Non-GAAP Measures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Gross Profit / Operating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of U.S. dollars)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3"/>
                <w:szCs w:val="13"/>
                <w:b w:val="1"/>
                <w:bCs w:val="1"/>
                <w:color w:val="auto"/>
                <w:w w:val="98"/>
              </w:rPr>
              <w:t>Gross Profit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6"/>
          </w:tcPr>
          <w:p>
            <w:pPr>
              <w:ind w:left="60"/>
              <w:spacing w:after="0"/>
              <w:rPr>
                <w:sz w:val="20"/>
                <w:szCs w:val="20"/>
                <w:color w:val="auto"/>
              </w:rPr>
            </w:pPr>
            <w:r>
              <w:rPr>
                <w:rFonts w:ascii="Arial" w:cs="Arial" w:eastAsia="Arial" w:hAnsi="Arial"/>
                <w:sz w:val="13"/>
                <w:szCs w:val="13"/>
                <w:b w:val="1"/>
                <w:bCs w:val="1"/>
                <w:color w:val="auto"/>
              </w:rPr>
              <w:t>Operating Income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ind w:right="140"/>
              <w:spacing w:after="0" w:line="115" w:lineRule="exact"/>
              <w:rPr>
                <w:sz w:val="20"/>
                <w:szCs w:val="20"/>
                <w:color w:val="auto"/>
              </w:rPr>
            </w:pPr>
            <w:r>
              <w:rPr>
                <w:rFonts w:ascii="Arial" w:cs="Arial" w:eastAsia="Arial" w:hAnsi="Arial"/>
                <w:sz w:val="13"/>
                <w:szCs w:val="13"/>
                <w:b w:val="1"/>
                <w:bCs w:val="1"/>
                <w:color w:val="auto"/>
                <w:w w:val="97"/>
              </w:rPr>
              <w:t>Unrealized</w:t>
            </w: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9"/>
              </w:rPr>
              <w:t>General</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7"/>
              </w:rPr>
              <w:t>For the Three Months Ended</w:t>
            </w:r>
          </w:p>
        </w:tc>
        <w:tc>
          <w:tcPr>
            <w:tcW w:w="120" w:type="dxa"/>
            <w:vAlign w:val="bottom"/>
          </w:tcPr>
          <w:p>
            <w:pPr>
              <w:spacing w:after="0"/>
              <w:rPr>
                <w:sz w:val="10"/>
                <w:szCs w:val="10"/>
                <w:color w:val="auto"/>
              </w:rPr>
            </w:pPr>
          </w:p>
        </w:tc>
        <w:tc>
          <w:tcPr>
            <w:tcW w:w="720" w:type="dxa"/>
            <w:vAlign w:val="bottom"/>
            <w:vMerge w:val="restart"/>
          </w:tcPr>
          <w:p>
            <w:pPr>
              <w:jc w:val="center"/>
              <w:ind w:left="38"/>
              <w:spacing w:after="0"/>
              <w:rPr>
                <w:sz w:val="20"/>
                <w:szCs w:val="20"/>
                <w:color w:val="auto"/>
              </w:rPr>
            </w:pPr>
            <w:r>
              <w:rPr>
                <w:rFonts w:ascii="Arial" w:cs="Arial" w:eastAsia="Arial" w:hAnsi="Arial"/>
                <w:sz w:val="13"/>
                <w:szCs w:val="13"/>
                <w:b w:val="1"/>
                <w:bCs w:val="1"/>
                <w:color w:val="auto"/>
                <w:w w:val="97"/>
              </w:rPr>
              <w:t>Mondelēz</w:t>
            </w:r>
          </w:p>
        </w:tc>
        <w:tc>
          <w:tcPr>
            <w:tcW w:w="2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center"/>
              <w:ind w:left="58"/>
              <w:spacing w:after="0"/>
              <w:rPr>
                <w:sz w:val="20"/>
                <w:szCs w:val="20"/>
                <w:color w:val="auto"/>
              </w:rPr>
            </w:pPr>
            <w:r>
              <w:rPr>
                <w:rFonts w:ascii="Arial" w:cs="Arial" w:eastAsia="Arial" w:hAnsi="Arial"/>
                <w:sz w:val="13"/>
                <w:szCs w:val="13"/>
                <w:b w:val="1"/>
                <w:bCs w:val="1"/>
                <w:color w:val="auto"/>
                <w:w w:val="96"/>
              </w:rPr>
              <w:t>Latin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North</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G/(L) on</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14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6"/>
              </w:rPr>
              <w:t>Amortization of</w:t>
            </w:r>
          </w:p>
        </w:tc>
        <w:tc>
          <w:tcPr>
            <w:tcW w:w="5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0"/>
                <w:szCs w:val="10"/>
                <w:color w:val="auto"/>
              </w:rPr>
            </w:pPr>
          </w:p>
        </w:tc>
        <w:tc>
          <w:tcPr>
            <w:tcW w:w="720" w:type="dxa"/>
            <w:vAlign w:val="bottom"/>
            <w:vMerge w:val="restart"/>
          </w:tcPr>
          <w:p>
            <w:pPr>
              <w:jc w:val="center"/>
              <w:ind w:left="38"/>
              <w:spacing w:after="0"/>
              <w:rPr>
                <w:sz w:val="20"/>
                <w:szCs w:val="20"/>
                <w:color w:val="auto"/>
              </w:rPr>
            </w:pPr>
            <w:r>
              <w:rPr>
                <w:rFonts w:ascii="Arial" w:cs="Arial" w:eastAsia="Arial" w:hAnsi="Arial"/>
                <w:sz w:val="13"/>
                <w:szCs w:val="13"/>
                <w:b w:val="1"/>
                <w:bCs w:val="1"/>
                <w:color w:val="auto"/>
                <w:w w:val="97"/>
              </w:rPr>
              <w:t>Mondelēz</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9"/>
              </w:rPr>
              <w:t>Hedging</w:t>
            </w: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Corporate</w:t>
            </w:r>
          </w:p>
        </w:tc>
        <w:tc>
          <w:tcPr>
            <w:tcW w:w="1140" w:type="dxa"/>
            <w:vAlign w:val="bottom"/>
            <w:gridSpan w:val="3"/>
            <w:vMerge w:val="continue"/>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September 30, 2026</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Borders>
              <w:right w:val="single" w:sz="8" w:color="auto"/>
            </w:tcBorders>
            <w:gridSpan w:val="3"/>
          </w:tcPr>
          <w:p>
            <w:pPr>
              <w:jc w:val="center"/>
              <w:ind w:right="280"/>
              <w:spacing w:after="0" w:line="88" w:lineRule="exact"/>
              <w:rPr>
                <w:sz w:val="20"/>
                <w:szCs w:val="20"/>
                <w:color w:val="auto"/>
              </w:rPr>
            </w:pPr>
            <w:r>
              <w:rPr>
                <w:rFonts w:ascii="Arial" w:cs="Arial" w:eastAsia="Arial" w:hAnsi="Arial"/>
                <w:sz w:val="10"/>
                <w:szCs w:val="10"/>
                <w:b w:val="1"/>
                <w:bCs w:val="1"/>
                <w:color w:val="auto"/>
              </w:rPr>
              <w:t>International</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jc w:val="center"/>
              <w:ind w:right="240"/>
              <w:spacing w:after="0" w:line="88" w:lineRule="exact"/>
              <w:rPr>
                <w:sz w:val="20"/>
                <w:szCs w:val="20"/>
                <w:color w:val="auto"/>
              </w:rPr>
            </w:pPr>
            <w:r>
              <w:rPr>
                <w:rFonts w:ascii="Arial" w:cs="Arial" w:eastAsia="Arial" w:hAnsi="Arial"/>
                <w:sz w:val="10"/>
                <w:szCs w:val="10"/>
                <w:b w:val="1"/>
                <w:bCs w:val="1"/>
                <w:color w:val="auto"/>
              </w:rPr>
              <w:t>America</w:t>
            </w:r>
          </w:p>
        </w:tc>
        <w:tc>
          <w:tcPr>
            <w:tcW w:w="120" w:type="dxa"/>
            <w:vAlign w:val="bottom"/>
          </w:tcPr>
          <w:p>
            <w:pPr>
              <w:spacing w:after="0"/>
              <w:rPr>
                <w:sz w:val="9"/>
                <w:szCs w:val="9"/>
                <w:color w:val="auto"/>
              </w:rPr>
            </w:pPr>
          </w:p>
        </w:tc>
        <w:tc>
          <w:tcPr>
            <w:tcW w:w="740" w:type="dxa"/>
            <w:vAlign w:val="bottom"/>
            <w:gridSpan w:val="3"/>
          </w:tcPr>
          <w:p>
            <w:pPr>
              <w:ind w:left="40"/>
              <w:spacing w:after="0" w:line="88" w:lineRule="exact"/>
              <w:rPr>
                <w:sz w:val="20"/>
                <w:szCs w:val="20"/>
                <w:color w:val="auto"/>
              </w:rPr>
            </w:pPr>
            <w:r>
              <w:rPr>
                <w:rFonts w:ascii="Arial" w:cs="Arial" w:eastAsia="Arial" w:hAnsi="Arial"/>
                <w:sz w:val="10"/>
                <w:szCs w:val="10"/>
                <w:b w:val="1"/>
                <w:bCs w:val="1"/>
                <w:color w:val="auto"/>
              </w:rPr>
              <w:t>AMEA</w:t>
            </w:r>
          </w:p>
        </w:tc>
        <w:tc>
          <w:tcPr>
            <w:tcW w:w="100" w:type="dxa"/>
            <w:vAlign w:val="bottom"/>
          </w:tcPr>
          <w:p>
            <w:pPr>
              <w:spacing w:after="0"/>
              <w:rPr>
                <w:sz w:val="9"/>
                <w:szCs w:val="9"/>
                <w:color w:val="auto"/>
              </w:rPr>
            </w:pPr>
          </w:p>
        </w:tc>
        <w:tc>
          <w:tcPr>
            <w:tcW w:w="760" w:type="dxa"/>
            <w:vAlign w:val="bottom"/>
            <w:gridSpan w:val="3"/>
          </w:tcPr>
          <w:p>
            <w:pPr>
              <w:ind w:left="40"/>
              <w:spacing w:after="0" w:line="88" w:lineRule="exact"/>
              <w:rPr>
                <w:sz w:val="20"/>
                <w:szCs w:val="20"/>
                <w:color w:val="auto"/>
              </w:rPr>
            </w:pPr>
            <w:r>
              <w:rPr>
                <w:rFonts w:ascii="Arial" w:cs="Arial" w:eastAsia="Arial" w:hAnsi="Arial"/>
                <w:sz w:val="10"/>
                <w:szCs w:val="10"/>
                <w:b w:val="1"/>
                <w:bCs w:val="1"/>
                <w:color w:val="auto"/>
              </w:rPr>
              <w:t>Europe</w:t>
            </w:r>
          </w:p>
        </w:tc>
        <w:tc>
          <w:tcPr>
            <w:tcW w:w="100" w:type="dxa"/>
            <w:vAlign w:val="bottom"/>
          </w:tcPr>
          <w:p>
            <w:pPr>
              <w:spacing w:after="0"/>
              <w:rPr>
                <w:sz w:val="9"/>
                <w:szCs w:val="9"/>
                <w:color w:val="auto"/>
              </w:rPr>
            </w:pPr>
          </w:p>
        </w:tc>
        <w:tc>
          <w:tcPr>
            <w:tcW w:w="760" w:type="dxa"/>
            <w:vAlign w:val="bottom"/>
            <w:gridSpan w:val="3"/>
          </w:tcPr>
          <w:p>
            <w:pPr>
              <w:jc w:val="center"/>
              <w:ind w:right="260"/>
              <w:spacing w:after="0" w:line="88" w:lineRule="exact"/>
              <w:rPr>
                <w:sz w:val="20"/>
                <w:szCs w:val="20"/>
                <w:color w:val="auto"/>
              </w:rPr>
            </w:pPr>
            <w:r>
              <w:rPr>
                <w:rFonts w:ascii="Arial" w:cs="Arial" w:eastAsia="Arial" w:hAnsi="Arial"/>
                <w:sz w:val="10"/>
                <w:szCs w:val="10"/>
                <w:b w:val="1"/>
                <w:bCs w:val="1"/>
                <w:color w:val="auto"/>
              </w:rPr>
              <w:t>America</w:t>
            </w:r>
          </w:p>
        </w:tc>
        <w:tc>
          <w:tcPr>
            <w:tcW w:w="100" w:type="dxa"/>
            <w:vAlign w:val="bottom"/>
          </w:tcPr>
          <w:p>
            <w:pPr>
              <w:spacing w:after="0"/>
              <w:rPr>
                <w:sz w:val="9"/>
                <w:szCs w:val="9"/>
                <w:color w:val="auto"/>
              </w:rPr>
            </w:pPr>
          </w:p>
        </w:tc>
        <w:tc>
          <w:tcPr>
            <w:tcW w:w="800" w:type="dxa"/>
            <w:vAlign w:val="bottom"/>
            <w:gridSpan w:val="2"/>
          </w:tcPr>
          <w:p>
            <w:pPr>
              <w:jc w:val="center"/>
              <w:ind w:right="240"/>
              <w:spacing w:after="0" w:line="88" w:lineRule="exact"/>
              <w:rPr>
                <w:sz w:val="20"/>
                <w:szCs w:val="20"/>
                <w:color w:val="auto"/>
              </w:rPr>
            </w:pPr>
            <w:r>
              <w:rPr>
                <w:rFonts w:ascii="Arial" w:cs="Arial" w:eastAsia="Arial" w:hAnsi="Arial"/>
                <w:sz w:val="10"/>
                <w:szCs w:val="10"/>
                <w:b w:val="1"/>
                <w:bCs w:val="1"/>
                <w:color w:val="auto"/>
              </w:rPr>
              <w:t>Activities</w:t>
            </w:r>
          </w:p>
        </w:tc>
        <w:tc>
          <w:tcPr>
            <w:tcW w:w="100" w:type="dxa"/>
            <w:vAlign w:val="bottom"/>
          </w:tcPr>
          <w:p>
            <w:pPr>
              <w:spacing w:after="0"/>
              <w:rPr>
                <w:sz w:val="9"/>
                <w:szCs w:val="9"/>
                <w:color w:val="auto"/>
              </w:rPr>
            </w:pPr>
          </w:p>
        </w:tc>
        <w:tc>
          <w:tcPr>
            <w:tcW w:w="880" w:type="dxa"/>
            <w:vAlign w:val="bottom"/>
            <w:gridSpan w:val="2"/>
          </w:tcPr>
          <w:p>
            <w:pPr>
              <w:jc w:val="center"/>
              <w:ind w:right="240"/>
              <w:spacing w:after="0" w:line="88" w:lineRule="exact"/>
              <w:rPr>
                <w:sz w:val="20"/>
                <w:szCs w:val="20"/>
                <w:color w:val="auto"/>
              </w:rPr>
            </w:pPr>
            <w:r>
              <w:rPr>
                <w:rFonts w:ascii="Arial" w:cs="Arial" w:eastAsia="Arial" w:hAnsi="Arial"/>
                <w:sz w:val="10"/>
                <w:szCs w:val="10"/>
                <w:b w:val="1"/>
                <w:bCs w:val="1"/>
                <w:color w:val="auto"/>
              </w:rPr>
              <w:t>Expenses</w:t>
            </w:r>
          </w:p>
        </w:tc>
        <w:tc>
          <w:tcPr>
            <w:tcW w:w="120" w:type="dxa"/>
            <w:vAlign w:val="bottom"/>
          </w:tcPr>
          <w:p>
            <w:pPr>
              <w:spacing w:after="0"/>
              <w:rPr>
                <w:sz w:val="9"/>
                <w:szCs w:val="9"/>
                <w:color w:val="auto"/>
              </w:rPr>
            </w:pPr>
          </w:p>
        </w:tc>
        <w:tc>
          <w:tcPr>
            <w:tcW w:w="1020" w:type="dxa"/>
            <w:vAlign w:val="bottom"/>
            <w:gridSpan w:val="2"/>
          </w:tcPr>
          <w:p>
            <w:pPr>
              <w:jc w:val="center"/>
              <w:ind w:right="260"/>
              <w:spacing w:after="0" w:line="88" w:lineRule="exact"/>
              <w:rPr>
                <w:sz w:val="20"/>
                <w:szCs w:val="20"/>
                <w:color w:val="auto"/>
              </w:rPr>
            </w:pPr>
            <w:r>
              <w:rPr>
                <w:rFonts w:ascii="Arial" w:cs="Arial" w:eastAsia="Arial" w:hAnsi="Arial"/>
                <w:sz w:val="10"/>
                <w:szCs w:val="10"/>
                <w:b w:val="1"/>
                <w:bCs w:val="1"/>
                <w:color w:val="auto"/>
              </w:rPr>
              <w:t>Intangibles</w:t>
            </w:r>
          </w:p>
        </w:tc>
        <w:tc>
          <w:tcPr>
            <w:tcW w:w="580" w:type="dxa"/>
            <w:vAlign w:val="bottom"/>
            <w:gridSpan w:val="3"/>
          </w:tcPr>
          <w:p>
            <w:pPr>
              <w:ind w:left="60"/>
              <w:spacing w:after="0" w:line="88" w:lineRule="exact"/>
              <w:rPr>
                <w:sz w:val="20"/>
                <w:szCs w:val="20"/>
                <w:color w:val="auto"/>
              </w:rPr>
            </w:pPr>
            <w:r>
              <w:rPr>
                <w:rFonts w:ascii="Arial" w:cs="Arial" w:eastAsia="Arial" w:hAnsi="Arial"/>
                <w:sz w:val="10"/>
                <w:szCs w:val="10"/>
                <w:b w:val="1"/>
                <w:bCs w:val="1"/>
                <w:color w:val="auto"/>
              </w:rPr>
              <w:t>Items</w:t>
            </w:r>
          </w:p>
        </w:tc>
        <w:tc>
          <w:tcPr>
            <w:tcW w:w="120" w:type="dxa"/>
            <w:vAlign w:val="bottom"/>
          </w:tcPr>
          <w:p>
            <w:pPr>
              <w:spacing w:after="0"/>
              <w:rPr>
                <w:sz w:val="9"/>
                <w:szCs w:val="9"/>
                <w:color w:val="auto"/>
              </w:rPr>
            </w:pPr>
          </w:p>
        </w:tc>
        <w:tc>
          <w:tcPr>
            <w:tcW w:w="940" w:type="dxa"/>
            <w:vAlign w:val="bottom"/>
            <w:gridSpan w:val="2"/>
          </w:tcPr>
          <w:p>
            <w:pPr>
              <w:jc w:val="center"/>
              <w:ind w:right="37"/>
              <w:spacing w:after="0" w:line="88" w:lineRule="exact"/>
              <w:rPr>
                <w:sz w:val="20"/>
                <w:szCs w:val="20"/>
                <w:color w:val="auto"/>
              </w:rPr>
            </w:pPr>
            <w:r>
              <w:rPr>
                <w:rFonts w:ascii="Arial" w:cs="Arial" w:eastAsia="Arial" w:hAnsi="Arial"/>
                <w:sz w:val="10"/>
                <w:szCs w:val="10"/>
                <w:b w:val="1"/>
                <w:bCs w:val="1"/>
                <w:color w:val="auto"/>
              </w:rPr>
              <w:t>International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Reported (GAAP)</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3,924</w:t>
            </w:r>
          </w:p>
        </w:tc>
        <w:tc>
          <w:tcPr>
            <w:tcW w:w="1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170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372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339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448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543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ind w:right="178"/>
              <w:spacing w:after="0"/>
              <w:rPr>
                <w:sz w:val="20"/>
                <w:szCs w:val="20"/>
                <w:color w:val="auto"/>
              </w:rPr>
            </w:pPr>
            <w:r>
              <w:rPr>
                <w:rFonts w:ascii="Arial" w:cs="Arial" w:eastAsia="Arial" w:hAnsi="Arial"/>
                <w:sz w:val="13"/>
                <w:szCs w:val="13"/>
                <w:b w:val="1"/>
                <w:bCs w:val="1"/>
                <w:color w:val="auto"/>
              </w:rPr>
              <w:t>(88)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(26)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1,758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3"/>
                <w:szCs w:val="13"/>
                <w:color w:val="auto"/>
              </w:rPr>
              <w:t>Restructuring charges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57"/>
              <w:spacing w:after="0"/>
              <w:rPr>
                <w:sz w:val="20"/>
                <w:szCs w:val="20"/>
                <w:color w:val="auto"/>
              </w:rPr>
            </w:pPr>
            <w:r>
              <w:rPr>
                <w:rFonts w:ascii="Arial" w:cs="Arial" w:eastAsia="Arial" w:hAnsi="Arial"/>
                <w:sz w:val="13"/>
                <w:szCs w:val="13"/>
                <w:color w:val="auto"/>
              </w:rPr>
              <w:t>42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77"/>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740" w:type="dxa"/>
            <w:vAlign w:val="bottom"/>
            <w:gridSpan w:val="3"/>
            <w:shd w:val="clear" w:color="auto" w:fill="CCEEFF"/>
          </w:tcPr>
          <w:p>
            <w:pPr>
              <w:spacing w:after="0" w:line="126" w:lineRule="exact"/>
              <w:rPr>
                <w:sz w:val="20"/>
                <w:szCs w:val="20"/>
                <w:color w:val="auto"/>
              </w:rPr>
            </w:pPr>
            <w:r>
              <w:rPr>
                <w:rFonts w:ascii="Arial" w:cs="Arial" w:eastAsia="Arial" w:hAnsi="Arial"/>
                <w:sz w:val="13"/>
                <w:szCs w:val="13"/>
                <w:color w:val="auto"/>
              </w:rPr>
              <w:t>Intangible asset impairment</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charges</w:t>
            </w:r>
          </w:p>
        </w:tc>
        <w:tc>
          <w:tcPr>
            <w:tcW w:w="120" w:type="dxa"/>
            <w:vAlign w:val="bottom"/>
            <w:shd w:val="clear" w:color="auto" w:fill="CCEEFF"/>
          </w:tcPr>
          <w:p>
            <w:pPr>
              <w:spacing w:after="0"/>
              <w:rPr>
                <w:sz w:val="16"/>
                <w:szCs w:val="16"/>
                <w:color w:val="auto"/>
              </w:rPr>
            </w:pPr>
          </w:p>
        </w:tc>
        <w:tc>
          <w:tcPr>
            <w:tcW w:w="110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gridSpan w:val="3"/>
          </w:tcPr>
          <w:p>
            <w:pPr>
              <w:spacing w:after="0" w:line="122" w:lineRule="exact"/>
              <w:rPr>
                <w:sz w:val="20"/>
                <w:szCs w:val="20"/>
                <w:color w:val="auto"/>
              </w:rPr>
            </w:pPr>
            <w:r>
              <w:rPr>
                <w:rFonts w:ascii="Arial" w:cs="Arial" w:eastAsia="Arial" w:hAnsi="Arial"/>
                <w:sz w:val="13"/>
                <w:szCs w:val="13"/>
                <w:color w:val="auto"/>
              </w:rPr>
              <w:t>Mark-to-market (gains)/losses</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Arial" w:cs="Arial" w:eastAsia="Arial" w:hAnsi="Arial"/>
                <w:sz w:val="13"/>
                <w:szCs w:val="13"/>
                <w:color w:val="auto"/>
              </w:rPr>
              <w:t>from derivatives</w:t>
            </w:r>
          </w:p>
        </w:tc>
        <w:tc>
          <w:tcPr>
            <w:tcW w:w="120" w:type="dxa"/>
            <w:vAlign w:val="bottom"/>
          </w:tcPr>
          <w:p>
            <w:pPr>
              <w:spacing w:after="0"/>
              <w:rPr>
                <w:sz w:val="15"/>
                <w:szCs w:val="15"/>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(543)</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(543)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(543)</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Acquisition-related items</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3"/>
                <w:szCs w:val="13"/>
                <w:color w:val="auto"/>
              </w:rPr>
              <w:t>Divestiture-related items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740" w:type="dxa"/>
            <w:vAlign w:val="bottom"/>
            <w:gridSpan w:val="3"/>
            <w:shd w:val="clear" w:color="auto" w:fill="CCEEFF"/>
          </w:tcPr>
          <w:p>
            <w:pPr>
              <w:spacing w:after="0" w:line="126" w:lineRule="exact"/>
              <w:rPr>
                <w:sz w:val="20"/>
                <w:szCs w:val="20"/>
                <w:color w:val="auto"/>
              </w:rPr>
            </w:pPr>
            <w:r>
              <w:rPr>
                <w:rFonts w:ascii="Arial" w:cs="Arial" w:eastAsia="Arial" w:hAnsi="Arial"/>
                <w:sz w:val="13"/>
                <w:szCs w:val="13"/>
                <w:color w:val="auto"/>
              </w:rPr>
              <w:t>Incremental costs due to</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geopolitical conflicts</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gridSpan w:val="3"/>
          </w:tcPr>
          <w:p>
            <w:pPr>
              <w:spacing w:after="0" w:line="122" w:lineRule="exact"/>
              <w:rPr>
                <w:sz w:val="20"/>
                <w:szCs w:val="20"/>
                <w:color w:val="auto"/>
              </w:rPr>
            </w:pPr>
            <w:r>
              <w:rPr>
                <w:rFonts w:ascii="Arial" w:cs="Arial" w:eastAsia="Arial" w:hAnsi="Arial"/>
                <w:sz w:val="13"/>
                <w:szCs w:val="13"/>
                <w:color w:val="auto"/>
              </w:rPr>
              <w:t>ERP System Implementation</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Arial" w:cs="Arial" w:eastAsia="Arial" w:hAnsi="Arial"/>
                <w:sz w:val="13"/>
                <w:szCs w:val="13"/>
                <w:color w:val="auto"/>
              </w:rPr>
              <w:t>costs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57"/>
              <w:spacing w:after="0"/>
              <w:rPr>
                <w:sz w:val="20"/>
                <w:szCs w:val="20"/>
                <w:color w:val="auto"/>
              </w:rPr>
            </w:pPr>
            <w:r>
              <w:rPr>
                <w:rFonts w:ascii="Arial" w:cs="Arial" w:eastAsia="Arial" w:hAnsi="Arial"/>
                <w:sz w:val="13"/>
                <w:szCs w:val="13"/>
                <w:color w:val="auto"/>
              </w:rPr>
              <w:t>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57"/>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77"/>
              <w:spacing w:after="0"/>
              <w:rPr>
                <w:sz w:val="20"/>
                <w:szCs w:val="20"/>
                <w:color w:val="auto"/>
              </w:rPr>
            </w:pPr>
            <w:r>
              <w:rPr>
                <w:rFonts w:ascii="Arial" w:cs="Arial" w:eastAsia="Arial" w:hAnsi="Arial"/>
                <w:sz w:val="13"/>
                <w:szCs w:val="13"/>
                <w:color w:val="auto"/>
              </w:rPr>
              <w:t>27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ind w:right="178"/>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Remeasurement of net</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monetary position</w:t>
            </w:r>
          </w:p>
        </w:tc>
        <w:tc>
          <w:tcPr>
            <w:tcW w:w="120" w:type="dxa"/>
            <w:vAlign w:val="bottom"/>
            <w:shd w:val="clear" w:color="auto" w:fill="CCEEFF"/>
          </w:tcPr>
          <w:p>
            <w:pPr>
              <w:spacing w:after="0"/>
              <w:rPr>
                <w:sz w:val="16"/>
                <w:szCs w:val="16"/>
                <w:color w:val="auto"/>
              </w:rPr>
            </w:pPr>
          </w:p>
        </w:tc>
        <w:tc>
          <w:tcPr>
            <w:tcW w:w="110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3"/>
                <w:szCs w:val="13"/>
                <w:b w:val="1"/>
                <w:bCs w:val="1"/>
                <w:color w:val="auto"/>
              </w:rPr>
              <w:t>Adjusted (Non-GAAP)</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3,407</w:t>
            </w: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196</w:t>
            </w:r>
          </w:p>
        </w:tc>
        <w:tc>
          <w:tcPr>
            <w:tcW w:w="1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332</w:t>
            </w:r>
          </w:p>
        </w:tc>
        <w:tc>
          <w:tcPr>
            <w:tcW w:w="1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459</w:t>
            </w:r>
          </w:p>
        </w:tc>
        <w:tc>
          <w:tcPr>
            <w:tcW w:w="1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3"/>
                <w:szCs w:val="13"/>
                <w:b w:val="1"/>
                <w:bCs w:val="1"/>
                <w:color w:val="auto"/>
              </w:rPr>
              <w:t>511</w:t>
            </w:r>
          </w:p>
        </w:tc>
        <w:tc>
          <w:tcPr>
            <w:tcW w:w="1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(88)</w:t>
            </w:r>
          </w:p>
        </w:tc>
        <w:tc>
          <w:tcPr>
            <w:tcW w:w="1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(26)</w:t>
            </w:r>
          </w:p>
        </w:tc>
        <w:tc>
          <w:tcPr>
            <w:tcW w:w="1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1,384</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Currency-related items</w:t>
            </w: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6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7</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gridSpan w:val="3"/>
          </w:tcPr>
          <w:p>
            <w:pPr>
              <w:spacing w:after="0" w:line="102" w:lineRule="exact"/>
              <w:rPr>
                <w:sz w:val="20"/>
                <w:szCs w:val="20"/>
                <w:color w:val="auto"/>
              </w:rPr>
            </w:pPr>
            <w:r>
              <w:rPr>
                <w:rFonts w:ascii="Arial" w:cs="Arial" w:eastAsia="Arial" w:hAnsi="Arial"/>
                <w:sz w:val="10"/>
                <w:szCs w:val="10"/>
                <w:b w:val="1"/>
                <w:bCs w:val="1"/>
                <w:color w:val="auto"/>
              </w:rPr>
              <w:t>Adjusted @ Constant FX</w:t>
            </w: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3,378</w:t>
            </w:r>
          </w:p>
        </w:tc>
        <w:tc>
          <w:tcPr>
            <w:tcW w:w="16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180</w:t>
            </w:r>
          </w:p>
        </w:tc>
        <w:tc>
          <w:tcPr>
            <w:tcW w:w="16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324</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466</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gridSpan w:val="2"/>
            <w:vMerge w:val="restart"/>
          </w:tcPr>
          <w:p>
            <w:pPr>
              <w:jc w:val="right"/>
              <w:ind w:right="77"/>
              <w:spacing w:after="0"/>
              <w:rPr>
                <w:sz w:val="20"/>
                <w:szCs w:val="20"/>
                <w:color w:val="auto"/>
              </w:rPr>
            </w:pPr>
            <w:r>
              <w:rPr>
                <w:rFonts w:ascii="Arial" w:cs="Arial" w:eastAsia="Arial" w:hAnsi="Arial"/>
                <w:sz w:val="13"/>
                <w:szCs w:val="13"/>
                <w:b w:val="1"/>
                <w:bCs w:val="1"/>
                <w:color w:val="auto"/>
              </w:rPr>
              <w:t>511</w:t>
            </w:r>
          </w:p>
        </w:tc>
        <w:tc>
          <w:tcPr>
            <w:tcW w:w="14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vMerge w:val="restart"/>
          </w:tcPr>
          <w:p>
            <w:pPr>
              <w:jc w:val="right"/>
              <w:ind w:right="178"/>
              <w:spacing w:after="0"/>
              <w:rPr>
                <w:sz w:val="20"/>
                <w:szCs w:val="20"/>
                <w:color w:val="auto"/>
              </w:rPr>
            </w:pPr>
            <w:r>
              <w:rPr>
                <w:rFonts w:ascii="Arial" w:cs="Arial" w:eastAsia="Arial" w:hAnsi="Arial"/>
                <w:sz w:val="13"/>
                <w:szCs w:val="13"/>
                <w:b w:val="1"/>
                <w:bCs w:val="1"/>
                <w:color w:val="auto"/>
              </w:rPr>
              <w:t>(86)</w:t>
            </w:r>
          </w:p>
        </w:tc>
        <w:tc>
          <w:tcPr>
            <w:tcW w:w="14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auto"/>
              </w:rPr>
              <w:t>(25)</w:t>
            </w:r>
          </w:p>
        </w:tc>
        <w:tc>
          <w:tcPr>
            <w:tcW w:w="14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1,370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3"/>
                <w:szCs w:val="13"/>
                <w:b w:val="1"/>
                <w:bCs w:val="1"/>
                <w:color w:val="auto"/>
              </w:rPr>
              <w:t>(Non-GAAP)</w:t>
            </w:r>
          </w:p>
        </w:tc>
        <w:tc>
          <w:tcPr>
            <w:tcW w:w="1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shd w:val="clear" w:color="auto" w:fill="CCEEFF"/>
          </w:tcPr>
          <w:p>
            <w:pPr>
              <w:spacing w:after="0"/>
              <w:rPr>
                <w:sz w:val="7"/>
                <w:szCs w:val="7"/>
                <w:color w:val="auto"/>
              </w:rPr>
            </w:pPr>
          </w:p>
        </w:tc>
        <w:tc>
          <w:tcPr>
            <w:tcW w:w="1740" w:type="dxa"/>
            <w:vAlign w:val="bottom"/>
            <w:gridSpan w:val="3"/>
            <w:shd w:val="clear" w:color="auto" w:fill="CCEEFF"/>
          </w:tcPr>
          <w:p>
            <w:pPr>
              <w:spacing w:after="0" w:line="89" w:lineRule="exact"/>
              <w:rPr>
                <w:sz w:val="20"/>
                <w:szCs w:val="20"/>
                <w:color w:val="auto"/>
              </w:rPr>
            </w:pPr>
            <w:r>
              <w:rPr>
                <w:rFonts w:ascii="Arial" w:cs="Arial" w:eastAsia="Arial" w:hAnsi="Arial"/>
                <w:sz w:val="10"/>
                <w:szCs w:val="10"/>
                <w:b w:val="1"/>
                <w:bCs w:val="1"/>
                <w:color w:val="auto"/>
              </w:rPr>
              <w:t>% Change - Reported</w:t>
            </w: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tcBorders>
              <w:right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(GAAP)</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 %</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n/m</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18.8 %</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2"/>
              </w:rPr>
              <w:t>n/m</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 Change - Adjusted (Non-</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Arial" w:cs="Arial" w:eastAsia="Arial" w:hAnsi="Arial"/>
                <w:sz w:val="13"/>
                <w:szCs w:val="13"/>
                <w:b w:val="1"/>
                <w:bCs w:val="1"/>
                <w:color w:val="auto"/>
              </w:rPr>
              <w:t>GAAP)</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29.8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33.3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53.0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(6.4)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320"/>
              <w:spacing w:after="0"/>
              <w:rPr>
                <w:sz w:val="20"/>
                <w:szCs w:val="20"/>
                <w:color w:val="auto"/>
              </w:rPr>
            </w:pPr>
            <w:r>
              <w:rPr>
                <w:rFonts w:ascii="Arial" w:cs="Arial" w:eastAsia="Arial" w:hAnsi="Arial"/>
                <w:sz w:val="13"/>
                <w:szCs w:val="13"/>
                <w:color w:val="auto"/>
              </w:rPr>
              <w:t>n/m</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(104.7)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18.8 %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w w:val="92"/>
              </w:rPr>
              <w:t>n/m</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Change - Adjusted @</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Constant FX (Non-GAAP)</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n/m</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21.9 %</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2"/>
              </w:rPr>
              <w:t>n/m</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Arial" w:cs="Arial" w:eastAsia="Arial" w:hAnsi="Arial"/>
                <w:sz w:val="13"/>
                <w:szCs w:val="13"/>
                <w:b w:val="1"/>
                <w:bCs w:val="1"/>
                <w:color w:val="auto"/>
              </w:rPr>
              <w:t>Reported Margin %</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17.0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18"/>
              <w:spacing w:after="0"/>
              <w:rPr>
                <w:sz w:val="20"/>
                <w:szCs w:val="20"/>
                <w:color w:val="auto"/>
              </w:rPr>
            </w:pPr>
            <w:r>
              <w:rPr>
                <w:rFonts w:ascii="Arial" w:cs="Arial" w:eastAsia="Arial" w:hAnsi="Arial"/>
                <w:sz w:val="13"/>
                <w:szCs w:val="13"/>
                <w:color w:val="auto"/>
              </w:rPr>
              <w:t>15.7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Reported Margin pp change</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3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pp</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pp</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pp</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pp</w:t>
            </w: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(3.7) pp</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Arial" w:cs="Arial" w:eastAsia="Arial" w:hAnsi="Arial"/>
                <w:sz w:val="13"/>
                <w:szCs w:val="13"/>
                <w:b w:val="1"/>
                <w:bCs w:val="1"/>
                <w:color w:val="auto"/>
              </w:rPr>
              <w:t>Adjusted Margin %</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14.1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15.2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18"/>
              <w:spacing w:after="0"/>
              <w:rPr>
                <w:sz w:val="20"/>
                <w:szCs w:val="20"/>
                <w:color w:val="auto"/>
              </w:rPr>
            </w:pPr>
            <w:r>
              <w:rPr>
                <w:rFonts w:ascii="Arial" w:cs="Arial" w:eastAsia="Arial" w:hAnsi="Arial"/>
                <w:sz w:val="13"/>
                <w:szCs w:val="13"/>
                <w:color w:val="auto"/>
              </w:rPr>
              <w:t>18.0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Adjusted Margin pp change</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3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pp</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pp</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pp</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pp</w:t>
            </w: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(1.5) pp</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pp</w:t>
            </w: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3"/>
                <w:szCs w:val="13"/>
                <w:b w:val="1"/>
                <w:bCs w:val="1"/>
                <w:color w:val="auto"/>
                <w:w w:val="98"/>
              </w:rPr>
              <w:t>Gross Profit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6"/>
          </w:tcPr>
          <w:p>
            <w:pPr>
              <w:ind w:left="60"/>
              <w:spacing w:after="0"/>
              <w:rPr>
                <w:sz w:val="20"/>
                <w:szCs w:val="20"/>
                <w:color w:val="auto"/>
              </w:rPr>
            </w:pPr>
            <w:r>
              <w:rPr>
                <w:rFonts w:ascii="Arial" w:cs="Arial" w:eastAsia="Arial" w:hAnsi="Arial"/>
                <w:sz w:val="13"/>
                <w:szCs w:val="13"/>
                <w:b w:val="1"/>
                <w:bCs w:val="1"/>
                <w:color w:val="auto"/>
              </w:rPr>
              <w:t>Operating Income</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Unrealized</w:t>
            </w: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9"/>
              </w:rPr>
              <w:t>General</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7"/>
              </w:rPr>
              <w:t>For the Three Months Ended</w:t>
            </w:r>
          </w:p>
        </w:tc>
        <w:tc>
          <w:tcPr>
            <w:tcW w:w="120" w:type="dxa"/>
            <w:vAlign w:val="bottom"/>
          </w:tcPr>
          <w:p>
            <w:pPr>
              <w:spacing w:after="0"/>
              <w:rPr>
                <w:sz w:val="10"/>
                <w:szCs w:val="10"/>
                <w:color w:val="auto"/>
              </w:rPr>
            </w:pPr>
          </w:p>
        </w:tc>
        <w:tc>
          <w:tcPr>
            <w:tcW w:w="720" w:type="dxa"/>
            <w:vAlign w:val="bottom"/>
            <w:vMerge w:val="restart"/>
          </w:tcPr>
          <w:p>
            <w:pPr>
              <w:jc w:val="center"/>
              <w:ind w:left="38"/>
              <w:spacing w:after="0"/>
              <w:rPr>
                <w:sz w:val="20"/>
                <w:szCs w:val="20"/>
                <w:color w:val="auto"/>
              </w:rPr>
            </w:pPr>
            <w:r>
              <w:rPr>
                <w:rFonts w:ascii="Arial" w:cs="Arial" w:eastAsia="Arial" w:hAnsi="Arial"/>
                <w:sz w:val="13"/>
                <w:szCs w:val="13"/>
                <w:b w:val="1"/>
                <w:bCs w:val="1"/>
                <w:color w:val="auto"/>
                <w:w w:val="97"/>
              </w:rPr>
              <w:t>Mondelēz</w:t>
            </w:r>
          </w:p>
        </w:tc>
        <w:tc>
          <w:tcPr>
            <w:tcW w:w="2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center"/>
              <w:ind w:left="58"/>
              <w:spacing w:after="0"/>
              <w:rPr>
                <w:sz w:val="20"/>
                <w:szCs w:val="20"/>
                <w:color w:val="auto"/>
              </w:rPr>
            </w:pPr>
            <w:r>
              <w:rPr>
                <w:rFonts w:ascii="Arial" w:cs="Arial" w:eastAsia="Arial" w:hAnsi="Arial"/>
                <w:sz w:val="13"/>
                <w:szCs w:val="13"/>
                <w:b w:val="1"/>
                <w:bCs w:val="1"/>
                <w:color w:val="auto"/>
                <w:w w:val="96"/>
              </w:rPr>
              <w:t>Latin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North</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G/(L) on</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14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6"/>
              </w:rPr>
              <w:t>Amortization of</w:t>
            </w:r>
          </w:p>
        </w:tc>
        <w:tc>
          <w:tcPr>
            <w:tcW w:w="5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0"/>
                <w:szCs w:val="10"/>
                <w:color w:val="auto"/>
              </w:rPr>
            </w:pPr>
          </w:p>
        </w:tc>
        <w:tc>
          <w:tcPr>
            <w:tcW w:w="720" w:type="dxa"/>
            <w:vAlign w:val="bottom"/>
            <w:vMerge w:val="restart"/>
          </w:tcPr>
          <w:p>
            <w:pPr>
              <w:jc w:val="center"/>
              <w:ind w:left="38"/>
              <w:spacing w:after="0"/>
              <w:rPr>
                <w:sz w:val="20"/>
                <w:szCs w:val="20"/>
                <w:color w:val="auto"/>
              </w:rPr>
            </w:pPr>
            <w:r>
              <w:rPr>
                <w:rFonts w:ascii="Arial" w:cs="Arial" w:eastAsia="Arial" w:hAnsi="Arial"/>
                <w:sz w:val="13"/>
                <w:szCs w:val="13"/>
                <w:b w:val="1"/>
                <w:bCs w:val="1"/>
                <w:color w:val="auto"/>
                <w:w w:val="97"/>
              </w:rPr>
              <w:t>Mondelēz</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9"/>
              </w:rPr>
              <w:t>Hedging</w:t>
            </w: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Corporate</w:t>
            </w:r>
          </w:p>
        </w:tc>
        <w:tc>
          <w:tcPr>
            <w:tcW w:w="1140" w:type="dxa"/>
            <w:vAlign w:val="bottom"/>
            <w:gridSpan w:val="3"/>
            <w:vMerge w:val="continue"/>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September 30, 2025</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Borders>
              <w:right w:val="single" w:sz="8" w:color="auto"/>
            </w:tcBorders>
            <w:gridSpan w:val="3"/>
          </w:tcPr>
          <w:p>
            <w:pPr>
              <w:jc w:val="center"/>
              <w:ind w:right="280"/>
              <w:spacing w:after="0" w:line="88" w:lineRule="exact"/>
              <w:rPr>
                <w:sz w:val="20"/>
                <w:szCs w:val="20"/>
                <w:color w:val="auto"/>
              </w:rPr>
            </w:pPr>
            <w:r>
              <w:rPr>
                <w:rFonts w:ascii="Arial" w:cs="Arial" w:eastAsia="Arial" w:hAnsi="Arial"/>
                <w:sz w:val="10"/>
                <w:szCs w:val="10"/>
                <w:b w:val="1"/>
                <w:bCs w:val="1"/>
                <w:color w:val="auto"/>
              </w:rPr>
              <w:t>International</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jc w:val="center"/>
              <w:ind w:right="240"/>
              <w:spacing w:after="0" w:line="88" w:lineRule="exact"/>
              <w:rPr>
                <w:sz w:val="20"/>
                <w:szCs w:val="20"/>
                <w:color w:val="auto"/>
              </w:rPr>
            </w:pPr>
            <w:r>
              <w:rPr>
                <w:rFonts w:ascii="Arial" w:cs="Arial" w:eastAsia="Arial" w:hAnsi="Arial"/>
                <w:sz w:val="10"/>
                <w:szCs w:val="10"/>
                <w:b w:val="1"/>
                <w:bCs w:val="1"/>
                <w:color w:val="auto"/>
              </w:rPr>
              <w:t>America</w:t>
            </w:r>
          </w:p>
        </w:tc>
        <w:tc>
          <w:tcPr>
            <w:tcW w:w="120" w:type="dxa"/>
            <w:vAlign w:val="bottom"/>
          </w:tcPr>
          <w:p>
            <w:pPr>
              <w:spacing w:after="0"/>
              <w:rPr>
                <w:sz w:val="9"/>
                <w:szCs w:val="9"/>
                <w:color w:val="auto"/>
              </w:rPr>
            </w:pPr>
          </w:p>
        </w:tc>
        <w:tc>
          <w:tcPr>
            <w:tcW w:w="740" w:type="dxa"/>
            <w:vAlign w:val="bottom"/>
            <w:gridSpan w:val="3"/>
          </w:tcPr>
          <w:p>
            <w:pPr>
              <w:ind w:left="40"/>
              <w:spacing w:after="0" w:line="88" w:lineRule="exact"/>
              <w:rPr>
                <w:sz w:val="20"/>
                <w:szCs w:val="20"/>
                <w:color w:val="auto"/>
              </w:rPr>
            </w:pPr>
            <w:r>
              <w:rPr>
                <w:rFonts w:ascii="Arial" w:cs="Arial" w:eastAsia="Arial" w:hAnsi="Arial"/>
                <w:sz w:val="10"/>
                <w:szCs w:val="10"/>
                <w:b w:val="1"/>
                <w:bCs w:val="1"/>
                <w:color w:val="auto"/>
              </w:rPr>
              <w:t>AMEA</w:t>
            </w:r>
          </w:p>
        </w:tc>
        <w:tc>
          <w:tcPr>
            <w:tcW w:w="100" w:type="dxa"/>
            <w:vAlign w:val="bottom"/>
          </w:tcPr>
          <w:p>
            <w:pPr>
              <w:spacing w:after="0"/>
              <w:rPr>
                <w:sz w:val="9"/>
                <w:szCs w:val="9"/>
                <w:color w:val="auto"/>
              </w:rPr>
            </w:pPr>
          </w:p>
        </w:tc>
        <w:tc>
          <w:tcPr>
            <w:tcW w:w="760" w:type="dxa"/>
            <w:vAlign w:val="bottom"/>
            <w:gridSpan w:val="3"/>
          </w:tcPr>
          <w:p>
            <w:pPr>
              <w:ind w:left="40"/>
              <w:spacing w:after="0" w:line="88" w:lineRule="exact"/>
              <w:rPr>
                <w:sz w:val="20"/>
                <w:szCs w:val="20"/>
                <w:color w:val="auto"/>
              </w:rPr>
            </w:pPr>
            <w:r>
              <w:rPr>
                <w:rFonts w:ascii="Arial" w:cs="Arial" w:eastAsia="Arial" w:hAnsi="Arial"/>
                <w:sz w:val="10"/>
                <w:szCs w:val="10"/>
                <w:b w:val="1"/>
                <w:bCs w:val="1"/>
                <w:color w:val="auto"/>
              </w:rPr>
              <w:t>Europe</w:t>
            </w:r>
          </w:p>
        </w:tc>
        <w:tc>
          <w:tcPr>
            <w:tcW w:w="100" w:type="dxa"/>
            <w:vAlign w:val="bottom"/>
          </w:tcPr>
          <w:p>
            <w:pPr>
              <w:spacing w:after="0"/>
              <w:rPr>
                <w:sz w:val="9"/>
                <w:szCs w:val="9"/>
                <w:color w:val="auto"/>
              </w:rPr>
            </w:pPr>
          </w:p>
        </w:tc>
        <w:tc>
          <w:tcPr>
            <w:tcW w:w="760" w:type="dxa"/>
            <w:vAlign w:val="bottom"/>
            <w:gridSpan w:val="3"/>
          </w:tcPr>
          <w:p>
            <w:pPr>
              <w:jc w:val="center"/>
              <w:ind w:right="260"/>
              <w:spacing w:after="0" w:line="88" w:lineRule="exact"/>
              <w:rPr>
                <w:sz w:val="20"/>
                <w:szCs w:val="20"/>
                <w:color w:val="auto"/>
              </w:rPr>
            </w:pPr>
            <w:r>
              <w:rPr>
                <w:rFonts w:ascii="Arial" w:cs="Arial" w:eastAsia="Arial" w:hAnsi="Arial"/>
                <w:sz w:val="10"/>
                <w:szCs w:val="10"/>
                <w:b w:val="1"/>
                <w:bCs w:val="1"/>
                <w:color w:val="auto"/>
              </w:rPr>
              <w:t>America</w:t>
            </w:r>
          </w:p>
        </w:tc>
        <w:tc>
          <w:tcPr>
            <w:tcW w:w="100" w:type="dxa"/>
            <w:vAlign w:val="bottom"/>
          </w:tcPr>
          <w:p>
            <w:pPr>
              <w:spacing w:after="0"/>
              <w:rPr>
                <w:sz w:val="9"/>
                <w:szCs w:val="9"/>
                <w:color w:val="auto"/>
              </w:rPr>
            </w:pPr>
          </w:p>
        </w:tc>
        <w:tc>
          <w:tcPr>
            <w:tcW w:w="800" w:type="dxa"/>
            <w:vAlign w:val="bottom"/>
            <w:gridSpan w:val="2"/>
          </w:tcPr>
          <w:p>
            <w:pPr>
              <w:jc w:val="center"/>
              <w:ind w:right="240"/>
              <w:spacing w:after="0" w:line="88" w:lineRule="exact"/>
              <w:rPr>
                <w:sz w:val="20"/>
                <w:szCs w:val="20"/>
                <w:color w:val="auto"/>
              </w:rPr>
            </w:pPr>
            <w:r>
              <w:rPr>
                <w:rFonts w:ascii="Arial" w:cs="Arial" w:eastAsia="Arial" w:hAnsi="Arial"/>
                <w:sz w:val="10"/>
                <w:szCs w:val="10"/>
                <w:b w:val="1"/>
                <w:bCs w:val="1"/>
                <w:color w:val="auto"/>
              </w:rPr>
              <w:t>Activities</w:t>
            </w:r>
          </w:p>
        </w:tc>
        <w:tc>
          <w:tcPr>
            <w:tcW w:w="100" w:type="dxa"/>
            <w:vAlign w:val="bottom"/>
          </w:tcPr>
          <w:p>
            <w:pPr>
              <w:spacing w:after="0"/>
              <w:rPr>
                <w:sz w:val="9"/>
                <w:szCs w:val="9"/>
                <w:color w:val="auto"/>
              </w:rPr>
            </w:pPr>
          </w:p>
        </w:tc>
        <w:tc>
          <w:tcPr>
            <w:tcW w:w="880" w:type="dxa"/>
            <w:vAlign w:val="bottom"/>
            <w:gridSpan w:val="2"/>
          </w:tcPr>
          <w:p>
            <w:pPr>
              <w:jc w:val="center"/>
              <w:ind w:right="240"/>
              <w:spacing w:after="0" w:line="88" w:lineRule="exact"/>
              <w:rPr>
                <w:sz w:val="20"/>
                <w:szCs w:val="20"/>
                <w:color w:val="auto"/>
              </w:rPr>
            </w:pPr>
            <w:r>
              <w:rPr>
                <w:rFonts w:ascii="Arial" w:cs="Arial" w:eastAsia="Arial" w:hAnsi="Arial"/>
                <w:sz w:val="10"/>
                <w:szCs w:val="10"/>
                <w:b w:val="1"/>
                <w:bCs w:val="1"/>
                <w:color w:val="auto"/>
              </w:rPr>
              <w:t>Expenses</w:t>
            </w:r>
          </w:p>
        </w:tc>
        <w:tc>
          <w:tcPr>
            <w:tcW w:w="120" w:type="dxa"/>
            <w:vAlign w:val="bottom"/>
          </w:tcPr>
          <w:p>
            <w:pPr>
              <w:spacing w:after="0"/>
              <w:rPr>
                <w:sz w:val="9"/>
                <w:szCs w:val="9"/>
                <w:color w:val="auto"/>
              </w:rPr>
            </w:pPr>
          </w:p>
        </w:tc>
        <w:tc>
          <w:tcPr>
            <w:tcW w:w="1020" w:type="dxa"/>
            <w:vAlign w:val="bottom"/>
            <w:gridSpan w:val="2"/>
          </w:tcPr>
          <w:p>
            <w:pPr>
              <w:jc w:val="center"/>
              <w:ind w:right="260"/>
              <w:spacing w:after="0" w:line="88" w:lineRule="exact"/>
              <w:rPr>
                <w:sz w:val="20"/>
                <w:szCs w:val="20"/>
                <w:color w:val="auto"/>
              </w:rPr>
            </w:pPr>
            <w:r>
              <w:rPr>
                <w:rFonts w:ascii="Arial" w:cs="Arial" w:eastAsia="Arial" w:hAnsi="Arial"/>
                <w:sz w:val="10"/>
                <w:szCs w:val="10"/>
                <w:b w:val="1"/>
                <w:bCs w:val="1"/>
                <w:color w:val="auto"/>
              </w:rPr>
              <w:t>Intangibles</w:t>
            </w:r>
          </w:p>
        </w:tc>
        <w:tc>
          <w:tcPr>
            <w:tcW w:w="580" w:type="dxa"/>
            <w:vAlign w:val="bottom"/>
            <w:gridSpan w:val="3"/>
          </w:tcPr>
          <w:p>
            <w:pPr>
              <w:ind w:left="60"/>
              <w:spacing w:after="0" w:line="88" w:lineRule="exact"/>
              <w:rPr>
                <w:sz w:val="20"/>
                <w:szCs w:val="20"/>
                <w:color w:val="auto"/>
              </w:rPr>
            </w:pPr>
            <w:r>
              <w:rPr>
                <w:rFonts w:ascii="Arial" w:cs="Arial" w:eastAsia="Arial" w:hAnsi="Arial"/>
                <w:sz w:val="10"/>
                <w:szCs w:val="10"/>
                <w:b w:val="1"/>
                <w:bCs w:val="1"/>
                <w:color w:val="auto"/>
              </w:rPr>
              <w:t>Items</w:t>
            </w:r>
          </w:p>
        </w:tc>
        <w:tc>
          <w:tcPr>
            <w:tcW w:w="120" w:type="dxa"/>
            <w:vAlign w:val="bottom"/>
          </w:tcPr>
          <w:p>
            <w:pPr>
              <w:spacing w:after="0"/>
              <w:rPr>
                <w:sz w:val="9"/>
                <w:szCs w:val="9"/>
                <w:color w:val="auto"/>
              </w:rPr>
            </w:pPr>
          </w:p>
        </w:tc>
        <w:tc>
          <w:tcPr>
            <w:tcW w:w="940" w:type="dxa"/>
            <w:vAlign w:val="bottom"/>
            <w:gridSpan w:val="2"/>
          </w:tcPr>
          <w:p>
            <w:pPr>
              <w:jc w:val="center"/>
              <w:ind w:right="37"/>
              <w:spacing w:after="0" w:line="88" w:lineRule="exact"/>
              <w:rPr>
                <w:sz w:val="20"/>
                <w:szCs w:val="20"/>
                <w:color w:val="auto"/>
              </w:rPr>
            </w:pPr>
            <w:r>
              <w:rPr>
                <w:rFonts w:ascii="Arial" w:cs="Arial" w:eastAsia="Arial" w:hAnsi="Arial"/>
                <w:sz w:val="10"/>
                <w:szCs w:val="10"/>
                <w:b w:val="1"/>
                <w:bCs w:val="1"/>
                <w:color w:val="auto"/>
              </w:rPr>
              <w:t>International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Reported (GAAP)</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2,612</w:t>
            </w:r>
          </w:p>
        </w:tc>
        <w:tc>
          <w:tcPr>
            <w:tcW w:w="1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147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199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275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547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(348)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ind w:right="178"/>
              <w:spacing w:after="0"/>
              <w:rPr>
                <w:sz w:val="20"/>
                <w:szCs w:val="20"/>
                <w:color w:val="auto"/>
              </w:rPr>
            </w:pPr>
            <w:r>
              <w:rPr>
                <w:rFonts w:ascii="Arial" w:cs="Arial" w:eastAsia="Arial" w:hAnsi="Arial"/>
                <w:sz w:val="13"/>
                <w:szCs w:val="13"/>
                <w:b w:val="1"/>
                <w:bCs w:val="1"/>
                <w:color w:val="auto"/>
              </w:rPr>
              <w:t>(44)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(32)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744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3"/>
                <w:szCs w:val="13"/>
                <w:color w:val="auto"/>
              </w:rPr>
              <w:t>Restructuring charges</w:t>
            </w:r>
          </w:p>
        </w:tc>
        <w:tc>
          <w:tcPr>
            <w:tcW w:w="120" w:type="dxa"/>
            <w:vAlign w:val="bottom"/>
          </w:tcPr>
          <w:p>
            <w:pPr>
              <w:spacing w:after="0"/>
              <w:rPr>
                <w:sz w:val="14"/>
                <w:szCs w:val="14"/>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(2)</w:t>
            </w: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5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57"/>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7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740" w:type="dxa"/>
            <w:vAlign w:val="bottom"/>
            <w:gridSpan w:val="3"/>
            <w:shd w:val="clear" w:color="auto" w:fill="CCEEFF"/>
          </w:tcPr>
          <w:p>
            <w:pPr>
              <w:spacing w:after="0" w:line="126" w:lineRule="exact"/>
              <w:rPr>
                <w:sz w:val="20"/>
                <w:szCs w:val="20"/>
                <w:color w:val="auto"/>
              </w:rPr>
            </w:pPr>
            <w:r>
              <w:rPr>
                <w:rFonts w:ascii="Arial" w:cs="Arial" w:eastAsia="Arial" w:hAnsi="Arial"/>
                <w:sz w:val="13"/>
                <w:szCs w:val="13"/>
                <w:color w:val="auto"/>
              </w:rPr>
              <w:t>Intangible asset impairment</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charges</w:t>
            </w:r>
          </w:p>
        </w:tc>
        <w:tc>
          <w:tcPr>
            <w:tcW w:w="120" w:type="dxa"/>
            <w:vAlign w:val="bottom"/>
            <w:shd w:val="clear" w:color="auto" w:fill="CCEEFF"/>
          </w:tcPr>
          <w:p>
            <w:pPr>
              <w:spacing w:after="0"/>
              <w:rPr>
                <w:sz w:val="16"/>
                <w:szCs w:val="16"/>
                <w:color w:val="auto"/>
              </w:rPr>
            </w:pPr>
          </w:p>
        </w:tc>
        <w:tc>
          <w:tcPr>
            <w:tcW w:w="110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gridSpan w:val="3"/>
          </w:tcPr>
          <w:p>
            <w:pPr>
              <w:spacing w:after="0" w:line="122" w:lineRule="exact"/>
              <w:rPr>
                <w:sz w:val="20"/>
                <w:szCs w:val="20"/>
                <w:color w:val="auto"/>
              </w:rPr>
            </w:pPr>
            <w:r>
              <w:rPr>
                <w:rFonts w:ascii="Arial" w:cs="Arial" w:eastAsia="Arial" w:hAnsi="Arial"/>
                <w:sz w:val="13"/>
                <w:szCs w:val="13"/>
                <w:color w:val="auto"/>
              </w:rPr>
              <w:t>Mark-to-market (gains)/losses</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Arial" w:cs="Arial" w:eastAsia="Arial" w:hAnsi="Arial"/>
                <w:sz w:val="13"/>
                <w:szCs w:val="13"/>
                <w:color w:val="auto"/>
              </w:rPr>
              <w:t>from derivatives</w:t>
            </w:r>
          </w:p>
        </w:tc>
        <w:tc>
          <w:tcPr>
            <w:tcW w:w="120" w:type="dxa"/>
            <w:vAlign w:val="bottom"/>
          </w:tcPr>
          <w:p>
            <w:pPr>
              <w:spacing w:after="0"/>
              <w:rPr>
                <w:sz w:val="15"/>
                <w:szCs w:val="15"/>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348</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348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Acquisition-related items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37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3"/>
                <w:szCs w:val="13"/>
                <w:color w:val="auto"/>
              </w:rPr>
              <w:t>Divestiture-related items</w:t>
            </w:r>
          </w:p>
        </w:tc>
        <w:tc>
          <w:tcPr>
            <w:tcW w:w="120" w:type="dxa"/>
            <w:vAlign w:val="bottom"/>
          </w:tcPr>
          <w:p>
            <w:pPr>
              <w:spacing w:after="0"/>
              <w:rPr>
                <w:sz w:val="14"/>
                <w:szCs w:val="14"/>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740" w:type="dxa"/>
            <w:vAlign w:val="bottom"/>
            <w:gridSpan w:val="3"/>
            <w:shd w:val="clear" w:color="auto" w:fill="CCEEFF"/>
          </w:tcPr>
          <w:p>
            <w:pPr>
              <w:spacing w:after="0" w:line="126" w:lineRule="exact"/>
              <w:rPr>
                <w:sz w:val="20"/>
                <w:szCs w:val="20"/>
                <w:color w:val="auto"/>
              </w:rPr>
            </w:pPr>
            <w:r>
              <w:rPr>
                <w:rFonts w:ascii="Arial" w:cs="Arial" w:eastAsia="Arial" w:hAnsi="Arial"/>
                <w:sz w:val="13"/>
                <w:szCs w:val="13"/>
                <w:color w:val="auto"/>
              </w:rPr>
              <w:t>ERP System Implementation</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costs</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gridSpan w:val="3"/>
          </w:tcPr>
          <w:p>
            <w:pPr>
              <w:spacing w:after="0" w:line="122" w:lineRule="exact"/>
              <w:rPr>
                <w:sz w:val="20"/>
                <w:szCs w:val="20"/>
                <w:color w:val="auto"/>
              </w:rPr>
            </w:pPr>
            <w:r>
              <w:rPr>
                <w:rFonts w:ascii="Arial" w:cs="Arial" w:eastAsia="Arial" w:hAnsi="Arial"/>
                <w:sz w:val="13"/>
                <w:szCs w:val="13"/>
                <w:color w:val="auto"/>
              </w:rPr>
              <w:t>Remeasurement of net</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Arial" w:cs="Arial" w:eastAsia="Arial" w:hAnsi="Arial"/>
                <w:sz w:val="13"/>
                <w:szCs w:val="13"/>
                <w:color w:val="auto"/>
              </w:rPr>
              <w:t>monetary position</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ind w:right="178"/>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Resolution of tax matters</w:t>
            </w:r>
          </w:p>
        </w:tc>
        <w:tc>
          <w:tcPr>
            <w:tcW w:w="120" w:type="dxa"/>
            <w:vAlign w:val="bottom"/>
            <w:shd w:val="clear" w:color="auto" w:fill="CCEEFF"/>
          </w:tcPr>
          <w:p>
            <w:pPr>
              <w:spacing w:after="0"/>
              <w:rPr>
                <w:sz w:val="15"/>
                <w:szCs w:val="15"/>
                <w:color w:val="auto"/>
              </w:rPr>
            </w:pPr>
          </w:p>
        </w:tc>
        <w:tc>
          <w:tcPr>
            <w:tcW w:w="110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Adjusted (Non-GAAP)</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gridSpan w:val="2"/>
          </w:tcPr>
          <w:p>
            <w:pPr>
              <w:jc w:val="right"/>
              <w:ind w:right="57"/>
              <w:spacing w:after="0" w:line="142" w:lineRule="exact"/>
              <w:rPr>
                <w:sz w:val="20"/>
                <w:szCs w:val="20"/>
                <w:color w:val="auto"/>
              </w:rPr>
            </w:pPr>
            <w:r>
              <w:rPr>
                <w:rFonts w:ascii="Arial" w:cs="Arial" w:eastAsia="Arial" w:hAnsi="Arial"/>
                <w:sz w:val="13"/>
                <w:szCs w:val="13"/>
                <w:b w:val="1"/>
                <w:bCs w:val="1"/>
                <w:color w:val="auto"/>
              </w:rPr>
              <w:t>2,964</w:t>
            </w:r>
          </w:p>
        </w:tc>
        <w:tc>
          <w:tcPr>
            <w:tcW w:w="1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bottom w:val="single" w:sz="8" w:color="auto"/>
            </w:tcBorders>
            <w:gridSpan w:val="2"/>
          </w:tcPr>
          <w:p>
            <w:pPr>
              <w:jc w:val="right"/>
              <w:ind w:right="57"/>
              <w:spacing w:after="0" w:line="142" w:lineRule="exact"/>
              <w:rPr>
                <w:sz w:val="20"/>
                <w:szCs w:val="20"/>
                <w:color w:val="auto"/>
              </w:rPr>
            </w:pPr>
            <w:r>
              <w:rPr>
                <w:rFonts w:ascii="Arial" w:cs="Arial" w:eastAsia="Arial" w:hAnsi="Arial"/>
                <w:sz w:val="13"/>
                <w:szCs w:val="13"/>
                <w:b w:val="1"/>
                <w:bCs w:val="1"/>
                <w:color w:val="auto"/>
              </w:rPr>
              <w:t>151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gridSpan w:val="2"/>
          </w:tcPr>
          <w:p>
            <w:pPr>
              <w:jc w:val="right"/>
              <w:ind w:right="57"/>
              <w:spacing w:after="0" w:line="142" w:lineRule="exact"/>
              <w:rPr>
                <w:sz w:val="20"/>
                <w:szCs w:val="20"/>
                <w:color w:val="auto"/>
              </w:rPr>
            </w:pPr>
            <w:r>
              <w:rPr>
                <w:rFonts w:ascii="Arial" w:cs="Arial" w:eastAsia="Arial" w:hAnsi="Arial"/>
                <w:sz w:val="13"/>
                <w:szCs w:val="13"/>
                <w:b w:val="1"/>
                <w:bCs w:val="1"/>
                <w:color w:val="auto"/>
              </w:rPr>
              <w:t>249</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gridSpan w:val="2"/>
          </w:tcPr>
          <w:p>
            <w:pPr>
              <w:jc w:val="right"/>
              <w:ind w:right="57"/>
              <w:spacing w:after="0" w:line="142" w:lineRule="exact"/>
              <w:rPr>
                <w:sz w:val="20"/>
                <w:szCs w:val="20"/>
                <w:color w:val="auto"/>
              </w:rPr>
            </w:pPr>
            <w:r>
              <w:rPr>
                <w:rFonts w:ascii="Arial" w:cs="Arial" w:eastAsia="Arial" w:hAnsi="Arial"/>
                <w:sz w:val="13"/>
                <w:szCs w:val="13"/>
                <w:b w:val="1"/>
                <w:bCs w:val="1"/>
                <w:color w:val="auto"/>
              </w:rPr>
              <w:t>300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bottom w:val="single" w:sz="8" w:color="auto"/>
            </w:tcBorders>
            <w:gridSpan w:val="2"/>
          </w:tcPr>
          <w:p>
            <w:pPr>
              <w:jc w:val="right"/>
              <w:ind w:right="77"/>
              <w:spacing w:after="0" w:line="142" w:lineRule="exact"/>
              <w:rPr>
                <w:sz w:val="20"/>
                <w:szCs w:val="20"/>
                <w:color w:val="auto"/>
              </w:rPr>
            </w:pPr>
            <w:r>
              <w:rPr>
                <w:rFonts w:ascii="Arial" w:cs="Arial" w:eastAsia="Arial" w:hAnsi="Arial"/>
                <w:sz w:val="13"/>
                <w:szCs w:val="13"/>
                <w:b w:val="1"/>
                <w:bCs w:val="1"/>
                <w:color w:val="auto"/>
              </w:rPr>
              <w:t>546</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3"/>
                <w:szCs w:val="13"/>
                <w:b w:val="1"/>
                <w:bCs w:val="1"/>
                <w:color w:val="auto"/>
              </w:rPr>
              <w:t>(43)</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3"/>
                <w:szCs w:val="13"/>
                <w:b w:val="1"/>
                <w:bCs w:val="1"/>
                <w:color w:val="auto"/>
              </w:rPr>
              <w:t>(32)</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gridSpan w:val="2"/>
          </w:tcPr>
          <w:p>
            <w:pPr>
              <w:jc w:val="right"/>
              <w:ind w:right="57"/>
              <w:spacing w:after="0" w:line="142" w:lineRule="exact"/>
              <w:rPr>
                <w:sz w:val="20"/>
                <w:szCs w:val="20"/>
                <w:color w:val="auto"/>
              </w:rPr>
            </w:pPr>
            <w:r>
              <w:rPr>
                <w:rFonts w:ascii="Arial" w:cs="Arial" w:eastAsia="Arial" w:hAnsi="Arial"/>
                <w:sz w:val="13"/>
                <w:szCs w:val="13"/>
                <w:b w:val="1"/>
                <w:bCs w:val="1"/>
                <w:color w:val="auto"/>
              </w:rPr>
              <w:t>1,171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Reported Margin %</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19.4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Arial" w:cs="Arial" w:eastAsia="Arial" w:hAnsi="Arial"/>
                <w:sz w:val="13"/>
                <w:szCs w:val="13"/>
                <w:b w:val="1"/>
                <w:bCs w:val="1"/>
                <w:color w:val="auto"/>
              </w:rPr>
              <w:t>Adjusted Margin %</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12.3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18"/>
              <w:spacing w:after="0"/>
              <w:rPr>
                <w:sz w:val="20"/>
                <w:szCs w:val="20"/>
                <w:color w:val="auto"/>
              </w:rPr>
            </w:pPr>
            <w:r>
              <w:rPr>
                <w:rFonts w:ascii="Arial" w:cs="Arial" w:eastAsia="Arial" w:hAnsi="Arial"/>
                <w:sz w:val="13"/>
                <w:szCs w:val="13"/>
                <w:color w:val="auto"/>
              </w:rPr>
              <w:t>19.5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59"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3"/>
          <w:szCs w:val="13"/>
          <w:u w:val="single" w:color="auto"/>
          <w:color w:val="auto"/>
        </w:rPr>
        <w:t>Schedule 5b</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Mondelēz International, Inc. and Subsidiaries</w:t>
      </w:r>
    </w:p>
    <w:p>
      <w:pPr>
        <w:jc w:val="center"/>
        <w:spacing w:after="0"/>
        <w:rPr>
          <w:sz w:val="20"/>
          <w:szCs w:val="20"/>
          <w:color w:val="auto"/>
        </w:rPr>
      </w:pPr>
      <w:r>
        <w:rPr>
          <w:rFonts w:ascii="Arial" w:cs="Arial" w:eastAsia="Arial" w:hAnsi="Arial"/>
          <w:sz w:val="13"/>
          <w:szCs w:val="13"/>
          <w:b w:val="1"/>
          <w:bCs w:val="1"/>
          <w:color w:val="auto"/>
        </w:rPr>
        <w:t>Reconciliation of GAAP to Non-GAAP Measures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Gross Profit / Operating Income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20" w:type="dxa"/>
            <w:vAlign w:val="bottom"/>
            <w:gridSpan w:val="13"/>
          </w:tcPr>
          <w:p>
            <w:pPr>
              <w:ind w:left="80"/>
              <w:spacing w:after="0"/>
              <w:rPr>
                <w:sz w:val="20"/>
                <w:szCs w:val="20"/>
                <w:color w:val="auto"/>
              </w:rPr>
            </w:pPr>
            <w:r>
              <w:rPr>
                <w:rFonts w:ascii="Arial" w:cs="Arial" w:eastAsia="Arial" w:hAnsi="Arial"/>
                <w:sz w:val="13"/>
                <w:szCs w:val="13"/>
                <w:b w:val="1"/>
                <w:bCs w:val="1"/>
                <w:color w:val="auto"/>
              </w:rPr>
              <w:t>(in millions of U.S. dollars) (Unaudited)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5"/>
              </w:rPr>
              <w:t>Gross Profit</w:t>
            </w:r>
          </w:p>
        </w:tc>
        <w:tc>
          <w:tcPr>
            <w:tcW w:w="2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2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Unrealized</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9"/>
              </w:rPr>
              <w:t>General</w:t>
            </w: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For the Nine Months</w:t>
            </w:r>
          </w:p>
        </w:tc>
        <w:tc>
          <w:tcPr>
            <w:tcW w:w="120" w:type="dxa"/>
            <w:vAlign w:val="bottom"/>
          </w:tcPr>
          <w:p>
            <w:pPr>
              <w:spacing w:after="0"/>
              <w:rPr>
                <w:sz w:val="10"/>
                <w:szCs w:val="10"/>
                <w:color w:val="auto"/>
              </w:rPr>
            </w:pP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97"/>
              </w:rPr>
              <w:t>Mondelēz</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auto"/>
                <w:w w:val="96"/>
              </w:rPr>
              <w:t>Latin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North</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G/(L) on</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Amortization of</w:t>
            </w:r>
          </w:p>
        </w:tc>
        <w:tc>
          <w:tcPr>
            <w:tcW w:w="56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0"/>
                <w:szCs w:val="10"/>
                <w:color w:val="auto"/>
              </w:rPr>
            </w:pPr>
          </w:p>
        </w:tc>
        <w:tc>
          <w:tcPr>
            <w:tcW w:w="74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97"/>
              </w:rPr>
              <w:t>Mondelēz</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9"/>
              </w:rPr>
              <w:t>Hedging</w:t>
            </w:r>
          </w:p>
        </w:tc>
        <w:tc>
          <w:tcPr>
            <w:tcW w:w="12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Corporate</w:t>
            </w:r>
          </w:p>
        </w:tc>
        <w:tc>
          <w:tcPr>
            <w:tcW w:w="1120" w:type="dxa"/>
            <w:vAlign w:val="bottom"/>
            <w:gridSpan w:val="3"/>
            <w:vMerge w:val="continue"/>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restart"/>
          </w:tcPr>
          <w:p>
            <w:pPr>
              <w:jc w:val="center"/>
              <w:ind w:right="260"/>
              <w:spacing w:after="0" w:line="115" w:lineRule="exact"/>
              <w:rPr>
                <w:sz w:val="20"/>
                <w:szCs w:val="20"/>
                <w:color w:val="auto"/>
              </w:rPr>
            </w:pPr>
            <w:r>
              <w:rPr>
                <w:rFonts w:ascii="Arial" w:cs="Arial" w:eastAsia="Arial" w:hAnsi="Arial"/>
                <w:sz w:val="13"/>
                <w:szCs w:val="13"/>
                <w:b w:val="1"/>
                <w:bCs w:val="1"/>
                <w:color w:val="auto"/>
                <w:w w:val="97"/>
              </w:rPr>
              <w:t>International</w:t>
            </w:r>
          </w:p>
        </w:tc>
        <w:tc>
          <w:tcPr>
            <w:tcW w:w="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3"/>
            <w:vMerge w:val="restart"/>
          </w:tcPr>
          <w:p>
            <w:pPr>
              <w:jc w:val="center"/>
              <w:ind w:right="260"/>
              <w:spacing w:after="0" w:line="115" w:lineRule="exact"/>
              <w:rPr>
                <w:sz w:val="20"/>
                <w:szCs w:val="20"/>
                <w:color w:val="auto"/>
              </w:rPr>
            </w:pPr>
            <w:r>
              <w:rPr>
                <w:rFonts w:ascii="Arial" w:cs="Arial" w:eastAsia="Arial" w:hAnsi="Arial"/>
                <w:sz w:val="13"/>
                <w:szCs w:val="13"/>
                <w:b w:val="1"/>
                <w:bCs w:val="1"/>
                <w:color w:val="auto"/>
                <w:w w:val="97"/>
              </w:rPr>
              <w:t>America</w:t>
            </w:r>
          </w:p>
        </w:tc>
        <w:tc>
          <w:tcPr>
            <w:tcW w:w="120" w:type="dxa"/>
            <w:vAlign w:val="bottom"/>
          </w:tcPr>
          <w:p>
            <w:pPr>
              <w:spacing w:after="0"/>
              <w:rPr>
                <w:sz w:val="2"/>
                <w:szCs w:val="2"/>
                <w:color w:val="auto"/>
              </w:rPr>
            </w:pPr>
          </w:p>
        </w:tc>
        <w:tc>
          <w:tcPr>
            <w:tcW w:w="740" w:type="dxa"/>
            <w:vAlign w:val="bottom"/>
            <w:gridSpan w:val="3"/>
            <w:vMerge w:val="restart"/>
          </w:tcPr>
          <w:p>
            <w:pPr>
              <w:ind w:left="40"/>
              <w:spacing w:after="0" w:line="115" w:lineRule="exact"/>
              <w:rPr>
                <w:sz w:val="20"/>
                <w:szCs w:val="20"/>
                <w:color w:val="auto"/>
              </w:rPr>
            </w:pPr>
            <w:r>
              <w:rPr>
                <w:rFonts w:ascii="Arial" w:cs="Arial" w:eastAsia="Arial" w:hAnsi="Arial"/>
                <w:sz w:val="13"/>
                <w:szCs w:val="13"/>
                <w:b w:val="1"/>
                <w:bCs w:val="1"/>
                <w:color w:val="auto"/>
              </w:rPr>
              <w:t>AMEA</w:t>
            </w:r>
          </w:p>
        </w:tc>
        <w:tc>
          <w:tcPr>
            <w:tcW w:w="140" w:type="dxa"/>
            <w:vAlign w:val="bottom"/>
          </w:tcPr>
          <w:p>
            <w:pPr>
              <w:spacing w:after="0"/>
              <w:rPr>
                <w:sz w:val="2"/>
                <w:szCs w:val="2"/>
                <w:color w:val="auto"/>
              </w:rPr>
            </w:pPr>
          </w:p>
        </w:tc>
        <w:tc>
          <w:tcPr>
            <w:tcW w:w="800" w:type="dxa"/>
            <w:vAlign w:val="bottom"/>
            <w:gridSpan w:val="3"/>
            <w:vMerge w:val="restart"/>
          </w:tcPr>
          <w:p>
            <w:pPr>
              <w:ind w:left="40"/>
              <w:spacing w:after="0" w:line="115" w:lineRule="exact"/>
              <w:rPr>
                <w:sz w:val="20"/>
                <w:szCs w:val="20"/>
                <w:color w:val="auto"/>
              </w:rPr>
            </w:pPr>
            <w:r>
              <w:rPr>
                <w:rFonts w:ascii="Arial" w:cs="Arial" w:eastAsia="Arial" w:hAnsi="Arial"/>
                <w:sz w:val="13"/>
                <w:szCs w:val="13"/>
                <w:b w:val="1"/>
                <w:bCs w:val="1"/>
                <w:color w:val="auto"/>
              </w:rPr>
              <w:t>Europe</w:t>
            </w:r>
          </w:p>
        </w:tc>
        <w:tc>
          <w:tcPr>
            <w:tcW w:w="100" w:type="dxa"/>
            <w:vAlign w:val="bottom"/>
          </w:tcPr>
          <w:p>
            <w:pPr>
              <w:spacing w:after="0"/>
              <w:rPr>
                <w:sz w:val="2"/>
                <w:szCs w:val="2"/>
                <w:color w:val="auto"/>
              </w:rPr>
            </w:pPr>
          </w:p>
        </w:tc>
        <w:tc>
          <w:tcPr>
            <w:tcW w:w="540" w:type="dxa"/>
            <w:vAlign w:val="bottom"/>
            <w:vMerge w:val="restart"/>
          </w:tcPr>
          <w:p>
            <w:pPr>
              <w:jc w:val="center"/>
              <w:spacing w:after="0" w:line="115" w:lineRule="exact"/>
              <w:rPr>
                <w:sz w:val="20"/>
                <w:szCs w:val="20"/>
                <w:color w:val="auto"/>
              </w:rPr>
            </w:pPr>
            <w:r>
              <w:rPr>
                <w:rFonts w:ascii="Arial" w:cs="Arial" w:eastAsia="Arial" w:hAnsi="Arial"/>
                <w:sz w:val="13"/>
                <w:szCs w:val="13"/>
                <w:b w:val="1"/>
                <w:bCs w:val="1"/>
                <w:color w:val="auto"/>
                <w:w w:val="97"/>
              </w:rPr>
              <w:t>America</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40"/>
              <w:spacing w:after="0" w:line="115" w:lineRule="exact"/>
              <w:rPr>
                <w:sz w:val="20"/>
                <w:szCs w:val="20"/>
                <w:color w:val="auto"/>
              </w:rPr>
            </w:pPr>
            <w:r>
              <w:rPr>
                <w:rFonts w:ascii="Arial" w:cs="Arial" w:eastAsia="Arial" w:hAnsi="Arial"/>
                <w:sz w:val="13"/>
                <w:szCs w:val="13"/>
                <w:b w:val="1"/>
                <w:bCs w:val="1"/>
                <w:color w:val="auto"/>
                <w:w w:val="96"/>
              </w:rPr>
              <w:t>Activities</w:t>
            </w:r>
          </w:p>
        </w:tc>
        <w:tc>
          <w:tcPr>
            <w:tcW w:w="120" w:type="dxa"/>
            <w:vAlign w:val="bottom"/>
          </w:tcPr>
          <w:p>
            <w:pPr>
              <w:spacing w:after="0"/>
              <w:rPr>
                <w:sz w:val="2"/>
                <w:szCs w:val="2"/>
                <w:color w:val="auto"/>
              </w:rPr>
            </w:pPr>
          </w:p>
        </w:tc>
        <w:tc>
          <w:tcPr>
            <w:tcW w:w="900" w:type="dxa"/>
            <w:vAlign w:val="bottom"/>
            <w:gridSpan w:val="2"/>
            <w:vMerge w:val="restart"/>
          </w:tcPr>
          <w:p>
            <w:pPr>
              <w:jc w:val="center"/>
              <w:ind w:right="260"/>
              <w:spacing w:after="0" w:line="115" w:lineRule="exact"/>
              <w:rPr>
                <w:sz w:val="20"/>
                <w:szCs w:val="20"/>
                <w:color w:val="auto"/>
              </w:rPr>
            </w:pPr>
            <w:r>
              <w:rPr>
                <w:rFonts w:ascii="Arial" w:cs="Arial" w:eastAsia="Arial" w:hAnsi="Arial"/>
                <w:sz w:val="13"/>
                <w:szCs w:val="13"/>
                <w:b w:val="1"/>
                <w:bCs w:val="1"/>
                <w:color w:val="auto"/>
                <w:w w:val="98"/>
              </w:rPr>
              <w:t>Expenses</w:t>
            </w:r>
          </w:p>
        </w:tc>
        <w:tc>
          <w:tcPr>
            <w:tcW w:w="120" w:type="dxa"/>
            <w:vAlign w:val="bottom"/>
          </w:tcPr>
          <w:p>
            <w:pPr>
              <w:spacing w:after="0"/>
              <w:rPr>
                <w:sz w:val="2"/>
                <w:szCs w:val="2"/>
                <w:color w:val="auto"/>
              </w:rPr>
            </w:pPr>
          </w:p>
        </w:tc>
        <w:tc>
          <w:tcPr>
            <w:tcW w:w="1000" w:type="dxa"/>
            <w:vAlign w:val="bottom"/>
            <w:gridSpan w:val="2"/>
            <w:vMerge w:val="restart"/>
          </w:tcPr>
          <w:p>
            <w:pPr>
              <w:ind w:left="40"/>
              <w:spacing w:after="0" w:line="115" w:lineRule="exact"/>
              <w:rPr>
                <w:sz w:val="20"/>
                <w:szCs w:val="20"/>
                <w:color w:val="auto"/>
              </w:rPr>
            </w:pPr>
            <w:r>
              <w:rPr>
                <w:rFonts w:ascii="Arial" w:cs="Arial" w:eastAsia="Arial" w:hAnsi="Arial"/>
                <w:sz w:val="13"/>
                <w:szCs w:val="13"/>
                <w:b w:val="1"/>
                <w:bCs w:val="1"/>
                <w:color w:val="auto"/>
              </w:rPr>
              <w:t>Intangibles</w:t>
            </w:r>
          </w:p>
        </w:tc>
        <w:tc>
          <w:tcPr>
            <w:tcW w:w="560" w:type="dxa"/>
            <w:vAlign w:val="bottom"/>
            <w:gridSpan w:val="3"/>
            <w:vMerge w:val="restart"/>
          </w:tcPr>
          <w:p>
            <w:pPr>
              <w:jc w:val="center"/>
              <w:ind w:right="120"/>
              <w:spacing w:after="0" w:line="115" w:lineRule="exact"/>
              <w:rPr>
                <w:sz w:val="20"/>
                <w:szCs w:val="20"/>
                <w:color w:val="auto"/>
              </w:rPr>
            </w:pPr>
            <w:r>
              <w:rPr>
                <w:rFonts w:ascii="Arial" w:cs="Arial" w:eastAsia="Arial" w:hAnsi="Arial"/>
                <w:sz w:val="13"/>
                <w:szCs w:val="13"/>
                <w:b w:val="1"/>
                <w:bCs w:val="1"/>
                <w:color w:val="auto"/>
                <w:w w:val="94"/>
              </w:rPr>
              <w:t>Items</w:t>
            </w:r>
          </w:p>
        </w:tc>
        <w:tc>
          <w:tcPr>
            <w:tcW w:w="120" w:type="dxa"/>
            <w:vAlign w:val="bottom"/>
          </w:tcPr>
          <w:p>
            <w:pPr>
              <w:spacing w:after="0"/>
              <w:rPr>
                <w:sz w:val="2"/>
                <w:szCs w:val="2"/>
                <w:color w:val="auto"/>
              </w:rPr>
            </w:pPr>
          </w:p>
        </w:tc>
        <w:tc>
          <w:tcPr>
            <w:tcW w:w="940" w:type="dxa"/>
            <w:vAlign w:val="bottom"/>
            <w:gridSpan w:val="2"/>
            <w:vMerge w:val="restart"/>
          </w:tcPr>
          <w:p>
            <w:pPr>
              <w:jc w:val="center"/>
              <w:ind w:right="37"/>
              <w:spacing w:after="0" w:line="115" w:lineRule="exact"/>
              <w:rPr>
                <w:sz w:val="20"/>
                <w:szCs w:val="20"/>
                <w:color w:val="auto"/>
              </w:rPr>
            </w:pPr>
            <w:r>
              <w:rPr>
                <w:rFonts w:ascii="Arial" w:cs="Arial" w:eastAsia="Arial" w:hAnsi="Arial"/>
                <w:sz w:val="13"/>
                <w:szCs w:val="13"/>
                <w:b w:val="1"/>
                <w:bCs w:val="1"/>
                <w:color w:val="auto"/>
                <w:w w:val="97"/>
              </w:rPr>
              <w:t>International</w:t>
            </w: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gridSpan w:val="3"/>
          </w:tcPr>
          <w:p>
            <w:pPr>
              <w:spacing w:after="0" w:line="88" w:lineRule="exact"/>
              <w:rPr>
                <w:sz w:val="20"/>
                <w:szCs w:val="20"/>
                <w:color w:val="auto"/>
              </w:rPr>
            </w:pPr>
            <w:r>
              <w:rPr>
                <w:rFonts w:ascii="Arial" w:cs="Arial" w:eastAsia="Arial" w:hAnsi="Arial"/>
                <w:sz w:val="10"/>
                <w:szCs w:val="10"/>
                <w:b w:val="1"/>
                <w:bCs w:val="1"/>
                <w:color w:val="auto"/>
              </w:rPr>
              <w:t>Ended September 30, 2026</w:t>
            </w:r>
          </w:p>
        </w:tc>
        <w:tc>
          <w:tcPr>
            <w:tcW w:w="12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auto"/>
            </w:tcBorders>
            <w:shd w:val="clear" w:color="auto" w:fill="000000"/>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Reported (GAAP)</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10,713</w:t>
            </w:r>
          </w:p>
        </w:tc>
        <w:tc>
          <w:tcPr>
            <w:tcW w:w="1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485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952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1,015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1,263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1,097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(222)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(79)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3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4,512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3"/>
                <w:szCs w:val="13"/>
                <w:color w:val="auto"/>
              </w:rPr>
              <w:t>Restructuring charges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88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7"/>
              <w:spacing w:after="0"/>
              <w:rPr>
                <w:sz w:val="20"/>
                <w:szCs w:val="20"/>
                <w:color w:val="auto"/>
              </w:rPr>
            </w:pPr>
            <w:r>
              <w:rPr>
                <w:rFonts w:ascii="Arial" w:cs="Arial" w:eastAsia="Arial" w:hAnsi="Arial"/>
                <w:sz w:val="13"/>
                <w:szCs w:val="13"/>
                <w:color w:val="auto"/>
              </w:rPr>
              <w:t>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spacing w:after="0" w:line="126" w:lineRule="exact"/>
              <w:rPr>
                <w:sz w:val="20"/>
                <w:szCs w:val="20"/>
                <w:color w:val="auto"/>
              </w:rPr>
            </w:pPr>
            <w:r>
              <w:rPr>
                <w:rFonts w:ascii="Arial" w:cs="Arial" w:eastAsia="Arial" w:hAnsi="Arial"/>
                <w:sz w:val="13"/>
                <w:szCs w:val="13"/>
                <w:color w:val="auto"/>
              </w:rPr>
              <w:t>Intangible asset impairment</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charges</w:t>
            </w:r>
          </w:p>
        </w:tc>
        <w:tc>
          <w:tcPr>
            <w:tcW w:w="1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gridSpan w:val="3"/>
          </w:tcPr>
          <w:p>
            <w:pPr>
              <w:spacing w:after="0" w:line="122" w:lineRule="exact"/>
              <w:rPr>
                <w:sz w:val="20"/>
                <w:szCs w:val="20"/>
                <w:color w:val="auto"/>
              </w:rPr>
            </w:pPr>
            <w:r>
              <w:rPr>
                <w:rFonts w:ascii="Arial" w:cs="Arial" w:eastAsia="Arial" w:hAnsi="Arial"/>
                <w:sz w:val="13"/>
                <w:szCs w:val="13"/>
                <w:color w:val="auto"/>
              </w:rPr>
              <w:t>Mark-to-market</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40" w:type="dxa"/>
            <w:vAlign w:val="bottom"/>
            <w:gridSpan w:val="3"/>
          </w:tcPr>
          <w:p>
            <w:pPr>
              <w:spacing w:after="0" w:line="122" w:lineRule="exact"/>
              <w:rPr>
                <w:sz w:val="20"/>
                <w:szCs w:val="20"/>
                <w:color w:val="auto"/>
              </w:rPr>
            </w:pPr>
            <w:r>
              <w:rPr>
                <w:rFonts w:ascii="Arial" w:cs="Arial" w:eastAsia="Arial" w:hAnsi="Arial"/>
                <w:sz w:val="13"/>
                <w:szCs w:val="13"/>
                <w:color w:val="auto"/>
              </w:rPr>
              <w:t>(gains)/losses from</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3"/>
                <w:szCs w:val="13"/>
                <w:color w:val="auto"/>
              </w:rPr>
              <w:t>derivatives</w:t>
            </w:r>
          </w:p>
        </w:tc>
        <w:tc>
          <w:tcPr>
            <w:tcW w:w="120" w:type="dxa"/>
            <w:vAlign w:val="bottom"/>
          </w:tcPr>
          <w:p>
            <w:pPr>
              <w:spacing w:after="0"/>
              <w:rPr>
                <w:sz w:val="15"/>
                <w:szCs w:val="15"/>
                <w:color w:val="auto"/>
              </w:rPr>
            </w:pPr>
          </w:p>
        </w:tc>
        <w:tc>
          <w:tcPr>
            <w:tcW w:w="920" w:type="dxa"/>
            <w:vAlign w:val="bottom"/>
            <w:gridSpan w:val="2"/>
          </w:tcPr>
          <w:p>
            <w:pPr>
              <w:jc w:val="right"/>
              <w:ind w:right="77"/>
              <w:spacing w:after="0"/>
              <w:rPr>
                <w:sz w:val="20"/>
                <w:szCs w:val="20"/>
                <w:color w:val="auto"/>
              </w:rPr>
            </w:pPr>
            <w:r>
              <w:rPr>
                <w:rFonts w:ascii="Arial" w:cs="Arial" w:eastAsia="Arial" w:hAnsi="Arial"/>
                <w:sz w:val="13"/>
                <w:szCs w:val="13"/>
                <w:color w:val="auto"/>
              </w:rPr>
              <w:t>(1,097)</w:t>
            </w:r>
          </w:p>
        </w:tc>
        <w:tc>
          <w:tcPr>
            <w:tcW w:w="1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(1,097)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(1,097)</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Acquisition-related items</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3"/>
                <w:szCs w:val="13"/>
                <w:color w:val="auto"/>
              </w:rPr>
              <w:t>Divestiture-related items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spacing w:after="0" w:line="126" w:lineRule="exact"/>
              <w:rPr>
                <w:sz w:val="20"/>
                <w:szCs w:val="20"/>
                <w:color w:val="auto"/>
              </w:rPr>
            </w:pPr>
            <w:r>
              <w:rPr>
                <w:rFonts w:ascii="Arial" w:cs="Arial" w:eastAsia="Arial" w:hAnsi="Arial"/>
                <w:sz w:val="13"/>
                <w:szCs w:val="13"/>
                <w:color w:val="auto"/>
              </w:rPr>
              <w:t>Incremental costs due to</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geopolitical conflicts</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gridSpan w:val="3"/>
          </w:tcPr>
          <w:p>
            <w:pPr>
              <w:spacing w:after="0" w:line="122" w:lineRule="exact"/>
              <w:rPr>
                <w:sz w:val="20"/>
                <w:szCs w:val="20"/>
                <w:color w:val="auto"/>
              </w:rPr>
            </w:pPr>
            <w:r>
              <w:rPr>
                <w:rFonts w:ascii="Arial" w:cs="Arial" w:eastAsia="Arial" w:hAnsi="Arial"/>
                <w:sz w:val="13"/>
                <w:szCs w:val="13"/>
                <w:color w:val="auto"/>
                <w:w w:val="97"/>
              </w:rPr>
              <w:t>ERP System Implementation</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3"/>
                <w:szCs w:val="13"/>
                <w:color w:val="auto"/>
              </w:rPr>
              <w:t>costs</w:t>
            </w:r>
          </w:p>
        </w:tc>
        <w:tc>
          <w:tcPr>
            <w:tcW w:w="120" w:type="dxa"/>
            <w:vAlign w:val="bottom"/>
          </w:tcPr>
          <w:p>
            <w:pPr>
              <w:spacing w:after="0"/>
              <w:rPr>
                <w:sz w:val="15"/>
                <w:szCs w:val="15"/>
                <w:color w:val="auto"/>
              </w:rPr>
            </w:pPr>
          </w:p>
        </w:tc>
        <w:tc>
          <w:tcPr>
            <w:tcW w:w="920" w:type="dxa"/>
            <w:vAlign w:val="bottom"/>
            <w:gridSpan w:val="2"/>
          </w:tcPr>
          <w:p>
            <w:pPr>
              <w:jc w:val="right"/>
              <w:ind w:right="77"/>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57"/>
              <w:spacing w:after="0"/>
              <w:rPr>
                <w:sz w:val="20"/>
                <w:szCs w:val="20"/>
                <w:color w:val="auto"/>
              </w:rPr>
            </w:pPr>
            <w:r>
              <w:rPr>
                <w:rFonts w:ascii="Arial" w:cs="Arial" w:eastAsia="Arial" w:hAnsi="Arial"/>
                <w:sz w:val="13"/>
                <w:szCs w:val="13"/>
                <w:color w:val="auto"/>
              </w:rPr>
              <w:t>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39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77"/>
              <w:spacing w:after="0"/>
              <w:rPr>
                <w:sz w:val="20"/>
                <w:szCs w:val="20"/>
                <w:color w:val="auto"/>
              </w:rPr>
            </w:pPr>
            <w:r>
              <w:rPr>
                <w:rFonts w:ascii="Arial" w:cs="Arial" w:eastAsia="Arial" w:hAnsi="Arial"/>
                <w:sz w:val="13"/>
                <w:szCs w:val="13"/>
                <w:color w:val="auto"/>
              </w:rPr>
              <w:t>80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Remeasurement of net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monetary position</w:t>
            </w:r>
          </w:p>
        </w:tc>
        <w:tc>
          <w:tcPr>
            <w:tcW w:w="1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Adjusted (Non-GAAP)</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3"/>
                <w:szCs w:val="13"/>
                <w:b w:val="1"/>
                <w:bCs w:val="1"/>
                <w:color w:val="auto"/>
              </w:rPr>
              <w:t>9,680</w:t>
            </w:r>
          </w:p>
        </w:tc>
        <w:tc>
          <w:tcPr>
            <w:tcW w:w="14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top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553</w:t>
            </w:r>
          </w:p>
        </w:tc>
        <w:tc>
          <w:tcPr>
            <w:tcW w:w="1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3"/>
                <w:szCs w:val="13"/>
                <w:b w:val="1"/>
                <w:bCs w:val="1"/>
                <w:color w:val="auto"/>
              </w:rPr>
              <w:t>951</w:t>
            </w: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1,215</w:t>
            </w:r>
          </w:p>
        </w:tc>
        <w:tc>
          <w:tcPr>
            <w:tcW w:w="1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3"/>
                <w:szCs w:val="13"/>
                <w:b w:val="1"/>
                <w:bCs w:val="1"/>
                <w:color w:val="auto"/>
              </w:rPr>
              <w:t>1,373</w:t>
            </w:r>
          </w:p>
        </w:tc>
        <w:tc>
          <w:tcPr>
            <w:tcW w:w="14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(225)</w:t>
            </w:r>
          </w:p>
        </w:tc>
        <w:tc>
          <w:tcPr>
            <w:tcW w:w="140" w:type="dxa"/>
            <w:vAlign w:val="bottom"/>
          </w:tcPr>
          <w:p>
            <w:pPr>
              <w:spacing w:after="0"/>
              <w:rPr>
                <w:sz w:val="14"/>
                <w:szCs w:val="14"/>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(79)</w:t>
            </w:r>
          </w:p>
        </w:tc>
        <w:tc>
          <w:tcPr>
            <w:tcW w:w="1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3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3,788</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Currency-related items</w:t>
            </w: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(237)</w:t>
            </w:r>
          </w:p>
        </w:tc>
        <w:tc>
          <w:tcPr>
            <w:tcW w:w="1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(44)</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(37)</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40" w:type="dxa"/>
            <w:vAlign w:val="bottom"/>
            <w:gridSpan w:val="3"/>
          </w:tcPr>
          <w:p>
            <w:pPr>
              <w:spacing w:after="0" w:line="102" w:lineRule="exact"/>
              <w:rPr>
                <w:sz w:val="20"/>
                <w:szCs w:val="20"/>
                <w:color w:val="auto"/>
              </w:rPr>
            </w:pPr>
            <w:r>
              <w:rPr>
                <w:rFonts w:ascii="Arial" w:cs="Arial" w:eastAsia="Arial" w:hAnsi="Arial"/>
                <w:sz w:val="10"/>
                <w:szCs w:val="10"/>
                <w:b w:val="1"/>
                <w:bCs w:val="1"/>
                <w:color w:val="auto"/>
              </w:rPr>
              <w:t>Adjusted @ Constant FX</w:t>
            </w: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gridSpan w:val="2"/>
            <w:vMerge w:val="restart"/>
          </w:tcPr>
          <w:p>
            <w:pPr>
              <w:jc w:val="right"/>
              <w:ind w:right="77"/>
              <w:spacing w:after="0"/>
              <w:rPr>
                <w:sz w:val="20"/>
                <w:szCs w:val="20"/>
                <w:color w:val="auto"/>
              </w:rPr>
            </w:pPr>
            <w:r>
              <w:rPr>
                <w:rFonts w:ascii="Arial" w:cs="Arial" w:eastAsia="Arial" w:hAnsi="Arial"/>
                <w:sz w:val="13"/>
                <w:szCs w:val="13"/>
                <w:b w:val="1"/>
                <w:bCs w:val="1"/>
                <w:color w:val="auto"/>
              </w:rPr>
              <w:t>9,443</w:t>
            </w:r>
          </w:p>
        </w:tc>
        <w:tc>
          <w:tcPr>
            <w:tcW w:w="14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509</w:t>
            </w:r>
          </w:p>
        </w:tc>
        <w:tc>
          <w:tcPr>
            <w:tcW w:w="16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gridSpan w:val="2"/>
            <w:vMerge w:val="restart"/>
          </w:tcPr>
          <w:p>
            <w:pPr>
              <w:jc w:val="right"/>
              <w:ind w:right="77"/>
              <w:spacing w:after="0"/>
              <w:rPr>
                <w:sz w:val="20"/>
                <w:szCs w:val="20"/>
                <w:color w:val="auto"/>
              </w:rPr>
            </w:pPr>
            <w:r>
              <w:rPr>
                <w:rFonts w:ascii="Arial" w:cs="Arial" w:eastAsia="Arial" w:hAnsi="Arial"/>
                <w:sz w:val="13"/>
                <w:szCs w:val="13"/>
                <w:b w:val="1"/>
                <w:bCs w:val="1"/>
                <w:color w:val="auto"/>
              </w:rPr>
              <w:t>928</w:t>
            </w:r>
          </w:p>
        </w:tc>
        <w:tc>
          <w:tcPr>
            <w:tcW w:w="14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1,178</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2"/>
            <w:vMerge w:val="restart"/>
          </w:tcPr>
          <w:p>
            <w:pPr>
              <w:jc w:val="right"/>
              <w:ind w:right="77"/>
              <w:spacing w:after="0"/>
              <w:rPr>
                <w:sz w:val="20"/>
                <w:szCs w:val="20"/>
                <w:color w:val="auto"/>
              </w:rPr>
            </w:pPr>
            <w:r>
              <w:rPr>
                <w:rFonts w:ascii="Arial" w:cs="Arial" w:eastAsia="Arial" w:hAnsi="Arial"/>
                <w:sz w:val="13"/>
                <w:szCs w:val="13"/>
                <w:b w:val="1"/>
                <w:bCs w:val="1"/>
                <w:color w:val="auto"/>
              </w:rPr>
              <w:t>1,372</w:t>
            </w:r>
          </w:p>
        </w:tc>
        <w:tc>
          <w:tcPr>
            <w:tcW w:w="14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2"/>
              </w:rPr>
              <w:t>$</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(223)</w:t>
            </w:r>
          </w:p>
        </w:tc>
        <w:tc>
          <w:tcPr>
            <w:tcW w:w="140" w:type="dxa"/>
            <w:vAlign w:val="bottom"/>
          </w:tcPr>
          <w:p>
            <w:pPr>
              <w:spacing w:after="0"/>
              <w:rPr>
                <w:sz w:val="8"/>
                <w:szCs w:val="8"/>
                <w:color w:val="auto"/>
              </w:rPr>
            </w:pPr>
          </w:p>
        </w:tc>
        <w:tc>
          <w:tcPr>
            <w:tcW w:w="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(76)</w:t>
            </w:r>
          </w:p>
        </w:tc>
        <w:tc>
          <w:tcPr>
            <w:tcW w:w="14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3,688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(Non-GAAP)</w:t>
            </w:r>
          </w:p>
        </w:tc>
        <w:tc>
          <w:tcPr>
            <w:tcW w:w="1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shd w:val="clear" w:color="auto" w:fill="CCEEFF"/>
          </w:tcPr>
          <w:p>
            <w:pPr>
              <w:spacing w:after="0"/>
              <w:rPr>
                <w:sz w:val="7"/>
                <w:szCs w:val="7"/>
                <w:color w:val="auto"/>
              </w:rPr>
            </w:pPr>
          </w:p>
        </w:tc>
        <w:tc>
          <w:tcPr>
            <w:tcW w:w="1640" w:type="dxa"/>
            <w:vAlign w:val="bottom"/>
            <w:gridSpan w:val="3"/>
            <w:shd w:val="clear" w:color="auto" w:fill="CCEEFF"/>
          </w:tcPr>
          <w:p>
            <w:pPr>
              <w:spacing w:after="0" w:line="89" w:lineRule="exact"/>
              <w:rPr>
                <w:sz w:val="20"/>
                <w:szCs w:val="20"/>
                <w:color w:val="auto"/>
              </w:rPr>
            </w:pPr>
            <w:r>
              <w:rPr>
                <w:rFonts w:ascii="Arial" w:cs="Arial" w:eastAsia="Arial" w:hAnsi="Arial"/>
                <w:sz w:val="10"/>
                <w:szCs w:val="10"/>
                <w:b w:val="1"/>
                <w:bCs w:val="1"/>
                <w:color w:val="auto"/>
              </w:rPr>
              <w:t>% Change - Reported</w:t>
            </w: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(GAAP)</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(18.9) %</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 %</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n/m</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 %</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26.2 %</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92"/>
              </w:rPr>
              <w:t>n/m</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4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 Change - Adjusted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(Non-GAAP)</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(5.4) %</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(6.0)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320"/>
              <w:spacing w:after="0"/>
              <w:rPr>
                <w:sz w:val="20"/>
                <w:szCs w:val="20"/>
                <w:color w:val="auto"/>
              </w:rPr>
            </w:pPr>
            <w:r>
              <w:rPr>
                <w:rFonts w:ascii="Arial" w:cs="Arial" w:eastAsia="Arial" w:hAnsi="Arial"/>
                <w:sz w:val="13"/>
                <w:szCs w:val="13"/>
                <w:color w:val="auto"/>
              </w:rPr>
              <w:t>n/m</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(44.2)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26.2 %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center"/>
              <w:ind w:right="260"/>
              <w:spacing w:after="0"/>
              <w:rPr>
                <w:sz w:val="20"/>
                <w:szCs w:val="20"/>
                <w:color w:val="auto"/>
              </w:rPr>
            </w:pPr>
            <w:r>
              <w:rPr>
                <w:rFonts w:ascii="Arial" w:cs="Arial" w:eastAsia="Arial" w:hAnsi="Arial"/>
                <w:sz w:val="13"/>
                <w:szCs w:val="13"/>
                <w:color w:val="auto"/>
                <w:w w:val="92"/>
              </w:rPr>
              <w:t>n/m</w:t>
            </w:r>
          </w:p>
        </w:tc>
        <w:tc>
          <w:tcPr>
            <w:tcW w:w="1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Change - Adjusted @</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Constant FX (Non-GAAP)</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n/m</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 %</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29.0 %</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92"/>
              </w:rPr>
              <w:t>n/m</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Reported Margin %</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15.7</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3"/>
        </w:trPr>
        <w:tc>
          <w:tcPr>
            <w:tcW w:w="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Reported Margin pp</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change</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pp</w:t>
            </w: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pp</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pp</w:t>
            </w:r>
          </w:p>
        </w:tc>
        <w:tc>
          <w:tcPr>
            <w:tcW w:w="140" w:type="dxa"/>
            <w:vAlign w:val="bottom"/>
            <w:shd w:val="clear" w:color="auto" w:fill="CCEEFF"/>
          </w:tcPr>
          <w:p>
            <w:pPr>
              <w:spacing w:after="0"/>
              <w:rPr>
                <w:sz w:val="16"/>
                <w:szCs w:val="16"/>
                <w:color w:val="auto"/>
              </w:rPr>
            </w:pPr>
          </w:p>
        </w:tc>
        <w:tc>
          <w:tcPr>
            <w:tcW w:w="8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(2.4) pp</w:t>
            </w:r>
          </w:p>
        </w:tc>
        <w:tc>
          <w:tcPr>
            <w:tcW w:w="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(3.1) pp</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Adjusted Margin %</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17.1</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3"/>
        </w:trPr>
        <w:tc>
          <w:tcPr>
            <w:tcW w:w="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Adjusted Margin pp</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change</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pp</w:t>
            </w: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pp</w:t>
            </w:r>
          </w:p>
        </w:tc>
        <w:tc>
          <w:tcPr>
            <w:tcW w:w="1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(0.6) pp</w:t>
            </w:r>
          </w:p>
        </w:tc>
        <w:tc>
          <w:tcPr>
            <w:tcW w:w="140" w:type="dxa"/>
            <w:vAlign w:val="bottom"/>
            <w:shd w:val="clear" w:color="auto" w:fill="CCEEFF"/>
          </w:tcPr>
          <w:p>
            <w:pPr>
              <w:spacing w:after="0"/>
              <w:rPr>
                <w:sz w:val="16"/>
                <w:szCs w:val="16"/>
                <w:color w:val="auto"/>
              </w:rPr>
            </w:pPr>
          </w:p>
        </w:tc>
        <w:tc>
          <w:tcPr>
            <w:tcW w:w="8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(0.8) pp</w:t>
            </w:r>
          </w:p>
        </w:tc>
        <w:tc>
          <w:tcPr>
            <w:tcW w:w="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(1.4) pp</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(0.8) pp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5"/>
              </w:rPr>
              <w:t>Gross Profit</w:t>
            </w:r>
          </w:p>
        </w:tc>
        <w:tc>
          <w:tcPr>
            <w:tcW w:w="20" w:type="dxa"/>
            <w:vAlign w:val="bottom"/>
          </w:tcPr>
          <w:p>
            <w:pPr>
              <w:spacing w:after="0"/>
              <w:rPr>
                <w:sz w:val="17"/>
                <w:szCs w:val="17"/>
                <w:color w:val="auto"/>
              </w:rPr>
            </w:pPr>
          </w:p>
        </w:tc>
        <w:tc>
          <w:tcPr>
            <w:tcW w:w="1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Unrealized</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9"/>
              </w:rPr>
              <w:t>General</w:t>
            </w: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For the Nine Months</w:t>
            </w:r>
          </w:p>
        </w:tc>
        <w:tc>
          <w:tcPr>
            <w:tcW w:w="120" w:type="dxa"/>
            <w:vAlign w:val="bottom"/>
          </w:tcPr>
          <w:p>
            <w:pPr>
              <w:spacing w:after="0"/>
              <w:rPr>
                <w:sz w:val="10"/>
                <w:szCs w:val="10"/>
                <w:color w:val="auto"/>
              </w:rPr>
            </w:pP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97"/>
              </w:rPr>
              <w:t>Mondelēz</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auto"/>
                <w:w w:val="96"/>
              </w:rPr>
              <w:t>Latin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North</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G/(L) on</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Amortization of</w:t>
            </w:r>
          </w:p>
        </w:tc>
        <w:tc>
          <w:tcPr>
            <w:tcW w:w="56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0"/>
                <w:szCs w:val="10"/>
                <w:color w:val="auto"/>
              </w:rPr>
            </w:pPr>
          </w:p>
        </w:tc>
        <w:tc>
          <w:tcPr>
            <w:tcW w:w="74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97"/>
              </w:rPr>
              <w:t>Mondelēz</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9"/>
              </w:rPr>
              <w:t>Hedging</w:t>
            </w:r>
          </w:p>
        </w:tc>
        <w:tc>
          <w:tcPr>
            <w:tcW w:w="12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Corporate</w:t>
            </w:r>
          </w:p>
        </w:tc>
        <w:tc>
          <w:tcPr>
            <w:tcW w:w="1120" w:type="dxa"/>
            <w:vAlign w:val="bottom"/>
            <w:gridSpan w:val="3"/>
            <w:vMerge w:val="continue"/>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restart"/>
          </w:tcPr>
          <w:p>
            <w:pPr>
              <w:jc w:val="center"/>
              <w:ind w:right="260"/>
              <w:spacing w:after="0" w:line="115" w:lineRule="exact"/>
              <w:rPr>
                <w:sz w:val="20"/>
                <w:szCs w:val="20"/>
                <w:color w:val="auto"/>
              </w:rPr>
            </w:pPr>
            <w:r>
              <w:rPr>
                <w:rFonts w:ascii="Arial" w:cs="Arial" w:eastAsia="Arial" w:hAnsi="Arial"/>
                <w:sz w:val="13"/>
                <w:szCs w:val="13"/>
                <w:b w:val="1"/>
                <w:bCs w:val="1"/>
                <w:color w:val="auto"/>
                <w:w w:val="97"/>
              </w:rPr>
              <w:t>International</w:t>
            </w:r>
          </w:p>
        </w:tc>
        <w:tc>
          <w:tcPr>
            <w:tcW w:w="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3"/>
            <w:vMerge w:val="restart"/>
          </w:tcPr>
          <w:p>
            <w:pPr>
              <w:jc w:val="center"/>
              <w:ind w:right="260"/>
              <w:spacing w:after="0" w:line="115" w:lineRule="exact"/>
              <w:rPr>
                <w:sz w:val="20"/>
                <w:szCs w:val="20"/>
                <w:color w:val="auto"/>
              </w:rPr>
            </w:pPr>
            <w:r>
              <w:rPr>
                <w:rFonts w:ascii="Arial" w:cs="Arial" w:eastAsia="Arial" w:hAnsi="Arial"/>
                <w:sz w:val="13"/>
                <w:szCs w:val="13"/>
                <w:b w:val="1"/>
                <w:bCs w:val="1"/>
                <w:color w:val="auto"/>
                <w:w w:val="97"/>
              </w:rPr>
              <w:t>America</w:t>
            </w:r>
          </w:p>
        </w:tc>
        <w:tc>
          <w:tcPr>
            <w:tcW w:w="120" w:type="dxa"/>
            <w:vAlign w:val="bottom"/>
          </w:tcPr>
          <w:p>
            <w:pPr>
              <w:spacing w:after="0"/>
              <w:rPr>
                <w:sz w:val="2"/>
                <w:szCs w:val="2"/>
                <w:color w:val="auto"/>
              </w:rPr>
            </w:pPr>
          </w:p>
        </w:tc>
        <w:tc>
          <w:tcPr>
            <w:tcW w:w="740" w:type="dxa"/>
            <w:vAlign w:val="bottom"/>
            <w:gridSpan w:val="3"/>
            <w:vMerge w:val="restart"/>
          </w:tcPr>
          <w:p>
            <w:pPr>
              <w:ind w:left="40"/>
              <w:spacing w:after="0" w:line="115" w:lineRule="exact"/>
              <w:rPr>
                <w:sz w:val="20"/>
                <w:szCs w:val="20"/>
                <w:color w:val="auto"/>
              </w:rPr>
            </w:pPr>
            <w:r>
              <w:rPr>
                <w:rFonts w:ascii="Arial" w:cs="Arial" w:eastAsia="Arial" w:hAnsi="Arial"/>
                <w:sz w:val="13"/>
                <w:szCs w:val="13"/>
                <w:b w:val="1"/>
                <w:bCs w:val="1"/>
                <w:color w:val="auto"/>
              </w:rPr>
              <w:t>AMEA</w:t>
            </w:r>
          </w:p>
        </w:tc>
        <w:tc>
          <w:tcPr>
            <w:tcW w:w="140" w:type="dxa"/>
            <w:vAlign w:val="bottom"/>
          </w:tcPr>
          <w:p>
            <w:pPr>
              <w:spacing w:after="0"/>
              <w:rPr>
                <w:sz w:val="2"/>
                <w:szCs w:val="2"/>
                <w:color w:val="auto"/>
              </w:rPr>
            </w:pPr>
          </w:p>
        </w:tc>
        <w:tc>
          <w:tcPr>
            <w:tcW w:w="800" w:type="dxa"/>
            <w:vAlign w:val="bottom"/>
            <w:gridSpan w:val="3"/>
            <w:vMerge w:val="restart"/>
          </w:tcPr>
          <w:p>
            <w:pPr>
              <w:ind w:left="40"/>
              <w:spacing w:after="0" w:line="115" w:lineRule="exact"/>
              <w:rPr>
                <w:sz w:val="20"/>
                <w:szCs w:val="20"/>
                <w:color w:val="auto"/>
              </w:rPr>
            </w:pPr>
            <w:r>
              <w:rPr>
                <w:rFonts w:ascii="Arial" w:cs="Arial" w:eastAsia="Arial" w:hAnsi="Arial"/>
                <w:sz w:val="13"/>
                <w:szCs w:val="13"/>
                <w:b w:val="1"/>
                <w:bCs w:val="1"/>
                <w:color w:val="auto"/>
              </w:rPr>
              <w:t>Europe</w:t>
            </w:r>
          </w:p>
        </w:tc>
        <w:tc>
          <w:tcPr>
            <w:tcW w:w="100" w:type="dxa"/>
            <w:vAlign w:val="bottom"/>
          </w:tcPr>
          <w:p>
            <w:pPr>
              <w:spacing w:after="0"/>
              <w:rPr>
                <w:sz w:val="2"/>
                <w:szCs w:val="2"/>
                <w:color w:val="auto"/>
              </w:rPr>
            </w:pPr>
          </w:p>
        </w:tc>
        <w:tc>
          <w:tcPr>
            <w:tcW w:w="540" w:type="dxa"/>
            <w:vAlign w:val="bottom"/>
            <w:vMerge w:val="restart"/>
          </w:tcPr>
          <w:p>
            <w:pPr>
              <w:jc w:val="center"/>
              <w:spacing w:after="0" w:line="115" w:lineRule="exact"/>
              <w:rPr>
                <w:sz w:val="20"/>
                <w:szCs w:val="20"/>
                <w:color w:val="auto"/>
              </w:rPr>
            </w:pPr>
            <w:r>
              <w:rPr>
                <w:rFonts w:ascii="Arial" w:cs="Arial" w:eastAsia="Arial" w:hAnsi="Arial"/>
                <w:sz w:val="13"/>
                <w:szCs w:val="13"/>
                <w:b w:val="1"/>
                <w:bCs w:val="1"/>
                <w:color w:val="auto"/>
                <w:w w:val="97"/>
              </w:rPr>
              <w:t>America</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40"/>
              <w:spacing w:after="0" w:line="115" w:lineRule="exact"/>
              <w:rPr>
                <w:sz w:val="20"/>
                <w:szCs w:val="20"/>
                <w:color w:val="auto"/>
              </w:rPr>
            </w:pPr>
            <w:r>
              <w:rPr>
                <w:rFonts w:ascii="Arial" w:cs="Arial" w:eastAsia="Arial" w:hAnsi="Arial"/>
                <w:sz w:val="13"/>
                <w:szCs w:val="13"/>
                <w:b w:val="1"/>
                <w:bCs w:val="1"/>
                <w:color w:val="auto"/>
                <w:w w:val="96"/>
              </w:rPr>
              <w:t>Activities</w:t>
            </w:r>
          </w:p>
        </w:tc>
        <w:tc>
          <w:tcPr>
            <w:tcW w:w="120" w:type="dxa"/>
            <w:vAlign w:val="bottom"/>
          </w:tcPr>
          <w:p>
            <w:pPr>
              <w:spacing w:after="0"/>
              <w:rPr>
                <w:sz w:val="2"/>
                <w:szCs w:val="2"/>
                <w:color w:val="auto"/>
              </w:rPr>
            </w:pPr>
          </w:p>
        </w:tc>
        <w:tc>
          <w:tcPr>
            <w:tcW w:w="900" w:type="dxa"/>
            <w:vAlign w:val="bottom"/>
            <w:gridSpan w:val="2"/>
            <w:vMerge w:val="restart"/>
          </w:tcPr>
          <w:p>
            <w:pPr>
              <w:jc w:val="center"/>
              <w:ind w:right="260"/>
              <w:spacing w:after="0" w:line="115" w:lineRule="exact"/>
              <w:rPr>
                <w:sz w:val="20"/>
                <w:szCs w:val="20"/>
                <w:color w:val="auto"/>
              </w:rPr>
            </w:pPr>
            <w:r>
              <w:rPr>
                <w:rFonts w:ascii="Arial" w:cs="Arial" w:eastAsia="Arial" w:hAnsi="Arial"/>
                <w:sz w:val="13"/>
                <w:szCs w:val="13"/>
                <w:b w:val="1"/>
                <w:bCs w:val="1"/>
                <w:color w:val="auto"/>
                <w:w w:val="98"/>
              </w:rPr>
              <w:t>Expenses</w:t>
            </w:r>
          </w:p>
        </w:tc>
        <w:tc>
          <w:tcPr>
            <w:tcW w:w="120" w:type="dxa"/>
            <w:vAlign w:val="bottom"/>
          </w:tcPr>
          <w:p>
            <w:pPr>
              <w:spacing w:after="0"/>
              <w:rPr>
                <w:sz w:val="2"/>
                <w:szCs w:val="2"/>
                <w:color w:val="auto"/>
              </w:rPr>
            </w:pPr>
          </w:p>
        </w:tc>
        <w:tc>
          <w:tcPr>
            <w:tcW w:w="1000" w:type="dxa"/>
            <w:vAlign w:val="bottom"/>
            <w:gridSpan w:val="2"/>
            <w:vMerge w:val="restart"/>
          </w:tcPr>
          <w:p>
            <w:pPr>
              <w:ind w:left="40"/>
              <w:spacing w:after="0" w:line="115" w:lineRule="exact"/>
              <w:rPr>
                <w:sz w:val="20"/>
                <w:szCs w:val="20"/>
                <w:color w:val="auto"/>
              </w:rPr>
            </w:pPr>
            <w:r>
              <w:rPr>
                <w:rFonts w:ascii="Arial" w:cs="Arial" w:eastAsia="Arial" w:hAnsi="Arial"/>
                <w:sz w:val="13"/>
                <w:szCs w:val="13"/>
                <w:b w:val="1"/>
                <w:bCs w:val="1"/>
                <w:color w:val="auto"/>
              </w:rPr>
              <w:t>Intangibles</w:t>
            </w:r>
          </w:p>
        </w:tc>
        <w:tc>
          <w:tcPr>
            <w:tcW w:w="560" w:type="dxa"/>
            <w:vAlign w:val="bottom"/>
            <w:gridSpan w:val="3"/>
            <w:vMerge w:val="restart"/>
          </w:tcPr>
          <w:p>
            <w:pPr>
              <w:jc w:val="center"/>
              <w:ind w:right="120"/>
              <w:spacing w:after="0" w:line="115" w:lineRule="exact"/>
              <w:rPr>
                <w:sz w:val="20"/>
                <w:szCs w:val="20"/>
                <w:color w:val="auto"/>
              </w:rPr>
            </w:pPr>
            <w:r>
              <w:rPr>
                <w:rFonts w:ascii="Arial" w:cs="Arial" w:eastAsia="Arial" w:hAnsi="Arial"/>
                <w:sz w:val="13"/>
                <w:szCs w:val="13"/>
                <w:b w:val="1"/>
                <w:bCs w:val="1"/>
                <w:color w:val="auto"/>
                <w:w w:val="94"/>
              </w:rPr>
              <w:t>Items</w:t>
            </w:r>
          </w:p>
        </w:tc>
        <w:tc>
          <w:tcPr>
            <w:tcW w:w="120" w:type="dxa"/>
            <w:vAlign w:val="bottom"/>
          </w:tcPr>
          <w:p>
            <w:pPr>
              <w:spacing w:after="0"/>
              <w:rPr>
                <w:sz w:val="2"/>
                <w:szCs w:val="2"/>
                <w:color w:val="auto"/>
              </w:rPr>
            </w:pPr>
          </w:p>
        </w:tc>
        <w:tc>
          <w:tcPr>
            <w:tcW w:w="940" w:type="dxa"/>
            <w:vAlign w:val="bottom"/>
            <w:gridSpan w:val="2"/>
            <w:vMerge w:val="restart"/>
          </w:tcPr>
          <w:p>
            <w:pPr>
              <w:jc w:val="center"/>
              <w:ind w:right="37"/>
              <w:spacing w:after="0" w:line="115" w:lineRule="exact"/>
              <w:rPr>
                <w:sz w:val="20"/>
                <w:szCs w:val="20"/>
                <w:color w:val="auto"/>
              </w:rPr>
            </w:pPr>
            <w:r>
              <w:rPr>
                <w:rFonts w:ascii="Arial" w:cs="Arial" w:eastAsia="Arial" w:hAnsi="Arial"/>
                <w:sz w:val="13"/>
                <w:szCs w:val="13"/>
                <w:b w:val="1"/>
                <w:bCs w:val="1"/>
                <w:color w:val="auto"/>
                <w:w w:val="97"/>
              </w:rPr>
              <w:t>International</w:t>
            </w: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gridSpan w:val="3"/>
          </w:tcPr>
          <w:p>
            <w:pPr>
              <w:spacing w:after="0" w:line="88" w:lineRule="exact"/>
              <w:rPr>
                <w:sz w:val="20"/>
                <w:szCs w:val="20"/>
                <w:color w:val="auto"/>
              </w:rPr>
            </w:pPr>
            <w:r>
              <w:rPr>
                <w:rFonts w:ascii="Arial" w:cs="Arial" w:eastAsia="Arial" w:hAnsi="Arial"/>
                <w:sz w:val="10"/>
                <w:szCs w:val="10"/>
                <w:b w:val="1"/>
                <w:bCs w:val="1"/>
                <w:color w:val="auto"/>
              </w:rPr>
              <w:t>Ended September 30, 2025</w:t>
            </w:r>
          </w:p>
        </w:tc>
        <w:tc>
          <w:tcPr>
            <w:tcW w:w="12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auto"/>
            </w:tcBorders>
            <w:shd w:val="clear" w:color="auto" w:fill="000000"/>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Reported (GAAP)</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7,979</w:t>
            </w:r>
          </w:p>
        </w:tc>
        <w:tc>
          <w:tcPr>
            <w:tcW w:w="1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813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1,251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1,486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(1,110)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(156)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3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2,596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3"/>
                <w:szCs w:val="13"/>
                <w:color w:val="auto"/>
              </w:rPr>
              <w:t>Restructuring charges</w:t>
            </w:r>
          </w:p>
        </w:tc>
        <w:tc>
          <w:tcPr>
            <w:tcW w:w="120" w:type="dxa"/>
            <w:vAlign w:val="bottom"/>
          </w:tcPr>
          <w:p>
            <w:pPr>
              <w:spacing w:after="0"/>
              <w:rPr>
                <w:sz w:val="14"/>
                <w:szCs w:val="14"/>
                <w:color w:val="auto"/>
              </w:rPr>
            </w:pPr>
          </w:p>
        </w:tc>
        <w:tc>
          <w:tcPr>
            <w:tcW w:w="920" w:type="dxa"/>
            <w:vAlign w:val="bottom"/>
            <w:gridSpan w:val="2"/>
          </w:tcPr>
          <w:p>
            <w:pPr>
              <w:jc w:val="right"/>
              <w:ind w:right="77"/>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5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spacing w:after="0" w:line="126" w:lineRule="exact"/>
              <w:rPr>
                <w:sz w:val="20"/>
                <w:szCs w:val="20"/>
                <w:color w:val="auto"/>
              </w:rPr>
            </w:pPr>
            <w:r>
              <w:rPr>
                <w:rFonts w:ascii="Arial" w:cs="Arial" w:eastAsia="Arial" w:hAnsi="Arial"/>
                <w:sz w:val="13"/>
                <w:szCs w:val="13"/>
                <w:color w:val="auto"/>
              </w:rPr>
              <w:t>Intangible asset impairment</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charges</w:t>
            </w:r>
          </w:p>
        </w:tc>
        <w:tc>
          <w:tcPr>
            <w:tcW w:w="1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40" w:type="dxa"/>
            <w:vAlign w:val="bottom"/>
            <w:gridSpan w:val="3"/>
          </w:tcPr>
          <w:p>
            <w:pPr>
              <w:spacing w:after="0" w:line="122" w:lineRule="exact"/>
              <w:rPr>
                <w:sz w:val="20"/>
                <w:szCs w:val="20"/>
                <w:color w:val="auto"/>
              </w:rPr>
            </w:pPr>
            <w:r>
              <w:rPr>
                <w:rFonts w:ascii="Arial" w:cs="Arial" w:eastAsia="Arial" w:hAnsi="Arial"/>
                <w:sz w:val="13"/>
                <w:szCs w:val="13"/>
                <w:color w:val="auto"/>
              </w:rPr>
              <w:t>Mark-to-market</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gridSpan w:val="3"/>
          </w:tcPr>
          <w:p>
            <w:pPr>
              <w:spacing w:after="0" w:line="122" w:lineRule="exact"/>
              <w:rPr>
                <w:sz w:val="20"/>
                <w:szCs w:val="20"/>
                <w:color w:val="auto"/>
              </w:rPr>
            </w:pPr>
            <w:r>
              <w:rPr>
                <w:rFonts w:ascii="Arial" w:cs="Arial" w:eastAsia="Arial" w:hAnsi="Arial"/>
                <w:sz w:val="13"/>
                <w:szCs w:val="13"/>
                <w:color w:val="auto"/>
              </w:rPr>
              <w:t>(gains)/losses from</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3"/>
                <w:szCs w:val="13"/>
                <w:color w:val="auto"/>
              </w:rPr>
              <w:t>derivatives</w:t>
            </w:r>
          </w:p>
        </w:tc>
        <w:tc>
          <w:tcPr>
            <w:tcW w:w="120" w:type="dxa"/>
            <w:vAlign w:val="bottom"/>
          </w:tcPr>
          <w:p>
            <w:pPr>
              <w:spacing w:after="0"/>
              <w:rPr>
                <w:sz w:val="15"/>
                <w:szCs w:val="15"/>
                <w:color w:val="auto"/>
              </w:rPr>
            </w:pPr>
          </w:p>
        </w:tc>
        <w:tc>
          <w:tcPr>
            <w:tcW w:w="920" w:type="dxa"/>
            <w:vAlign w:val="bottom"/>
            <w:gridSpan w:val="2"/>
          </w:tcPr>
          <w:p>
            <w:pPr>
              <w:jc w:val="right"/>
              <w:ind w:right="77"/>
              <w:spacing w:after="0"/>
              <w:rPr>
                <w:sz w:val="20"/>
                <w:szCs w:val="20"/>
                <w:color w:val="auto"/>
              </w:rPr>
            </w:pPr>
            <w:r>
              <w:rPr>
                <w:rFonts w:ascii="Arial" w:cs="Arial" w:eastAsia="Arial" w:hAnsi="Arial"/>
                <w:sz w:val="13"/>
                <w:szCs w:val="13"/>
                <w:color w:val="auto"/>
              </w:rPr>
              <w:t>1,114</w:t>
            </w:r>
          </w:p>
        </w:tc>
        <w:tc>
          <w:tcPr>
            <w:tcW w:w="1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1,110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1,110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Acquisition-related items</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(82)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3"/>
                <w:szCs w:val="13"/>
                <w:color w:val="auto"/>
              </w:rPr>
              <w:t>Divestiture-related items</w:t>
            </w:r>
          </w:p>
        </w:tc>
        <w:tc>
          <w:tcPr>
            <w:tcW w:w="120" w:type="dxa"/>
            <w:vAlign w:val="bottom"/>
          </w:tcPr>
          <w:p>
            <w:pPr>
              <w:spacing w:after="0"/>
              <w:rPr>
                <w:sz w:val="14"/>
                <w:szCs w:val="14"/>
                <w:color w:val="auto"/>
              </w:rPr>
            </w:pPr>
          </w:p>
        </w:tc>
        <w:tc>
          <w:tcPr>
            <w:tcW w:w="920" w:type="dxa"/>
            <w:vAlign w:val="bottom"/>
            <w:gridSpan w:val="2"/>
          </w:tcPr>
          <w:p>
            <w:pPr>
              <w:jc w:val="right"/>
              <w:ind w:right="77"/>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spacing w:after="0" w:line="126" w:lineRule="exact"/>
              <w:rPr>
                <w:sz w:val="20"/>
                <w:szCs w:val="20"/>
                <w:color w:val="auto"/>
              </w:rPr>
            </w:pPr>
            <w:r>
              <w:rPr>
                <w:rFonts w:ascii="Arial" w:cs="Arial" w:eastAsia="Arial" w:hAnsi="Arial"/>
                <w:sz w:val="13"/>
                <w:szCs w:val="13"/>
                <w:color w:val="auto"/>
              </w:rPr>
              <w:t>Incremental costs due to</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geopolitical conflicts</w:t>
            </w:r>
          </w:p>
        </w:tc>
        <w:tc>
          <w:tcPr>
            <w:tcW w:w="1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40" w:type="dxa"/>
            <w:vAlign w:val="bottom"/>
            <w:gridSpan w:val="3"/>
          </w:tcPr>
          <w:p>
            <w:pPr>
              <w:spacing w:after="0" w:line="122" w:lineRule="exact"/>
              <w:rPr>
                <w:sz w:val="20"/>
                <w:szCs w:val="20"/>
                <w:color w:val="auto"/>
              </w:rPr>
            </w:pPr>
            <w:r>
              <w:rPr>
                <w:rFonts w:ascii="Arial" w:cs="Arial" w:eastAsia="Arial" w:hAnsi="Arial"/>
                <w:sz w:val="13"/>
                <w:szCs w:val="13"/>
                <w:color w:val="auto"/>
                <w:w w:val="97"/>
              </w:rPr>
              <w:t>ERP System Implementation</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3"/>
                <w:szCs w:val="13"/>
                <w:color w:val="auto"/>
              </w:rPr>
              <w:t>costs</w:t>
            </w:r>
          </w:p>
        </w:tc>
        <w:tc>
          <w:tcPr>
            <w:tcW w:w="120" w:type="dxa"/>
            <w:vAlign w:val="bottom"/>
          </w:tcPr>
          <w:p>
            <w:pPr>
              <w:spacing w:after="0"/>
              <w:rPr>
                <w:sz w:val="15"/>
                <w:szCs w:val="15"/>
                <w:color w:val="auto"/>
              </w:rPr>
            </w:pPr>
          </w:p>
        </w:tc>
        <w:tc>
          <w:tcPr>
            <w:tcW w:w="920" w:type="dxa"/>
            <w:vAlign w:val="bottom"/>
            <w:gridSpan w:val="2"/>
          </w:tcPr>
          <w:p>
            <w:pPr>
              <w:jc w:val="right"/>
              <w:ind w:right="77"/>
              <w:spacing w:after="0"/>
              <w:rPr>
                <w:sz w:val="20"/>
                <w:szCs w:val="20"/>
                <w:color w:val="auto"/>
              </w:rPr>
            </w:pPr>
            <w:r>
              <w:rPr>
                <w:rFonts w:ascii="Arial" w:cs="Arial" w:eastAsia="Arial" w:hAnsi="Arial"/>
                <w:sz w:val="13"/>
                <w:szCs w:val="13"/>
                <w:color w:val="auto"/>
              </w:rPr>
              <w:t>18</w:t>
            </w:r>
          </w:p>
        </w:tc>
        <w:tc>
          <w:tcPr>
            <w:tcW w:w="1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57"/>
              <w:spacing w:after="0"/>
              <w:rPr>
                <w:sz w:val="20"/>
                <w:szCs w:val="20"/>
                <w:color w:val="auto"/>
              </w:rPr>
            </w:pPr>
            <w:r>
              <w:rPr>
                <w:rFonts w:ascii="Arial" w:cs="Arial" w:eastAsia="Arial" w:hAnsi="Arial"/>
                <w:sz w:val="13"/>
                <w:szCs w:val="13"/>
                <w:color w:val="auto"/>
              </w:rPr>
              <w:t>34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11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77"/>
              <w:spacing w:after="0"/>
              <w:rPr>
                <w:sz w:val="20"/>
                <w:szCs w:val="20"/>
                <w:color w:val="auto"/>
              </w:rPr>
            </w:pPr>
            <w:r>
              <w:rPr>
                <w:rFonts w:ascii="Arial" w:cs="Arial" w:eastAsia="Arial" w:hAnsi="Arial"/>
                <w:sz w:val="13"/>
                <w:szCs w:val="13"/>
                <w:color w:val="auto"/>
              </w:rPr>
              <w:t>59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Remeasurement of net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monetary position</w:t>
            </w:r>
          </w:p>
        </w:tc>
        <w:tc>
          <w:tcPr>
            <w:tcW w:w="1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3"/>
                <w:szCs w:val="13"/>
                <w:color w:val="auto"/>
              </w:rPr>
              <w:t>Resolution of tax matters</w:t>
            </w:r>
          </w:p>
        </w:tc>
        <w:tc>
          <w:tcPr>
            <w:tcW w:w="12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57"/>
              <w:spacing w:after="0"/>
              <w:rPr>
                <w:sz w:val="20"/>
                <w:szCs w:val="20"/>
                <w:color w:val="auto"/>
              </w:rPr>
            </w:pPr>
            <w:r>
              <w:rPr>
                <w:rFonts w:ascii="Arial" w:cs="Arial" w:eastAsia="Arial" w:hAnsi="Arial"/>
                <w:sz w:val="13"/>
                <w:szCs w:val="13"/>
                <w:color w:val="auto"/>
              </w:rPr>
              <w:t>(16)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gridSpan w:val="3"/>
            <w:shd w:val="clear" w:color="auto" w:fill="CCEEFF"/>
          </w:tcPr>
          <w:p>
            <w:pPr>
              <w:spacing w:after="0" w:line="147" w:lineRule="exact"/>
              <w:rPr>
                <w:sz w:val="20"/>
                <w:szCs w:val="20"/>
                <w:color w:val="auto"/>
              </w:rPr>
            </w:pPr>
            <w:r>
              <w:rPr>
                <w:rFonts w:ascii="Arial" w:cs="Arial" w:eastAsia="Arial" w:hAnsi="Arial"/>
                <w:sz w:val="13"/>
                <w:szCs w:val="13"/>
                <w:b w:val="1"/>
                <w:bCs w:val="1"/>
                <w:color w:val="auto"/>
              </w:rPr>
              <w:t>Adjusted (Non-GAAP)</w:t>
            </w:r>
          </w:p>
        </w:tc>
        <w:tc>
          <w:tcPr>
            <w:tcW w:w="12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gridSpan w:val="2"/>
            <w:shd w:val="clear" w:color="auto" w:fill="CCEEFF"/>
          </w:tcPr>
          <w:p>
            <w:pPr>
              <w:jc w:val="right"/>
              <w:ind w:right="77"/>
              <w:spacing w:after="0" w:line="147" w:lineRule="exact"/>
              <w:rPr>
                <w:sz w:val="20"/>
                <w:szCs w:val="20"/>
                <w:color w:val="auto"/>
              </w:rPr>
            </w:pPr>
            <w:r>
              <w:rPr>
                <w:rFonts w:ascii="Arial" w:cs="Arial" w:eastAsia="Arial" w:hAnsi="Arial"/>
                <w:sz w:val="13"/>
                <w:szCs w:val="13"/>
                <w:b w:val="1"/>
                <w:bCs w:val="1"/>
                <w:color w:val="auto"/>
              </w:rPr>
              <w:t>9,105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b w:val="1"/>
                <w:bCs w:val="1"/>
                <w:color w:val="auto"/>
              </w:rPr>
              <w:t>$</w:t>
            </w:r>
          </w:p>
        </w:tc>
        <w:tc>
          <w:tcPr>
            <w:tcW w:w="600" w:type="dxa"/>
            <w:vAlign w:val="bottom"/>
            <w:tcBorders>
              <w:top w:val="single" w:sz="8" w:color="auto"/>
              <w:bottom w:val="single" w:sz="8" w:color="auto"/>
            </w:tcBorders>
            <w:gridSpan w:val="2"/>
            <w:shd w:val="clear" w:color="auto" w:fill="CCEEFF"/>
          </w:tcPr>
          <w:p>
            <w:pPr>
              <w:jc w:val="right"/>
              <w:ind w:right="57"/>
              <w:spacing w:after="0" w:line="147" w:lineRule="exact"/>
              <w:rPr>
                <w:sz w:val="20"/>
                <w:szCs w:val="20"/>
                <w:color w:val="auto"/>
              </w:rPr>
            </w:pPr>
            <w:r>
              <w:rPr>
                <w:rFonts w:ascii="Arial" w:cs="Arial" w:eastAsia="Arial" w:hAnsi="Arial"/>
                <w:sz w:val="13"/>
                <w:szCs w:val="13"/>
                <w:b w:val="1"/>
                <w:bCs w:val="1"/>
                <w:color w:val="auto"/>
              </w:rPr>
              <w:t>452</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gridSpan w:val="2"/>
            <w:shd w:val="clear" w:color="auto" w:fill="CCEEFF"/>
          </w:tcPr>
          <w:p>
            <w:pPr>
              <w:jc w:val="right"/>
              <w:ind w:right="77"/>
              <w:spacing w:after="0" w:line="147" w:lineRule="exact"/>
              <w:rPr>
                <w:sz w:val="20"/>
                <w:szCs w:val="20"/>
                <w:color w:val="auto"/>
              </w:rPr>
            </w:pPr>
            <w:r>
              <w:rPr>
                <w:rFonts w:ascii="Arial" w:cs="Arial" w:eastAsia="Arial" w:hAnsi="Arial"/>
                <w:sz w:val="13"/>
                <w:szCs w:val="13"/>
                <w:b w:val="1"/>
                <w:bCs w:val="1"/>
                <w:color w:val="auto"/>
              </w:rPr>
              <w:t>894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gridSpan w:val="2"/>
            <w:shd w:val="clear" w:color="auto" w:fill="CCEEFF"/>
          </w:tcPr>
          <w:p>
            <w:pPr>
              <w:jc w:val="right"/>
              <w:ind w:right="57"/>
              <w:spacing w:after="0" w:line="147" w:lineRule="exact"/>
              <w:rPr>
                <w:sz w:val="20"/>
                <w:szCs w:val="20"/>
                <w:color w:val="auto"/>
              </w:rPr>
            </w:pPr>
            <w:r>
              <w:rPr>
                <w:rFonts w:ascii="Arial" w:cs="Arial" w:eastAsia="Arial" w:hAnsi="Arial"/>
                <w:sz w:val="13"/>
                <w:szCs w:val="13"/>
                <w:b w:val="1"/>
                <w:bCs w:val="1"/>
                <w:color w:val="auto"/>
              </w:rPr>
              <w:t>1,284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gridSpan w:val="2"/>
            <w:shd w:val="clear" w:color="auto" w:fill="CCEEFF"/>
          </w:tcPr>
          <w:p>
            <w:pPr>
              <w:jc w:val="right"/>
              <w:ind w:right="77"/>
              <w:spacing w:after="0" w:line="147" w:lineRule="exact"/>
              <w:rPr>
                <w:sz w:val="20"/>
                <w:szCs w:val="20"/>
                <w:color w:val="auto"/>
              </w:rPr>
            </w:pPr>
            <w:r>
              <w:rPr>
                <w:rFonts w:ascii="Arial" w:cs="Arial" w:eastAsia="Arial" w:hAnsi="Arial"/>
                <w:sz w:val="13"/>
                <w:szCs w:val="13"/>
                <w:b w:val="1"/>
                <w:bCs w:val="1"/>
                <w:color w:val="auto"/>
              </w:rPr>
              <w:t>1,461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20"/>
              <w:spacing w:after="0" w:line="147" w:lineRule="exact"/>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shd w:val="clear" w:color="auto" w:fill="CCEEFF"/>
          </w:tcPr>
          <w:p>
            <w:pPr>
              <w:jc w:val="right"/>
              <w:ind w:right="57"/>
              <w:spacing w:after="0" w:line="147"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auto"/>
            </w:tcBorders>
            <w:shd w:val="clear" w:color="auto" w:fill="CCEEFF"/>
          </w:tcPr>
          <w:p>
            <w:pPr>
              <w:jc w:val="right"/>
              <w:ind w:right="177"/>
              <w:spacing w:after="0" w:line="147" w:lineRule="exact"/>
              <w:rPr>
                <w:sz w:val="20"/>
                <w:szCs w:val="20"/>
                <w:color w:val="auto"/>
              </w:rPr>
            </w:pPr>
            <w:r>
              <w:rPr>
                <w:rFonts w:ascii="Arial" w:cs="Arial" w:eastAsia="Arial" w:hAnsi="Arial"/>
                <w:sz w:val="13"/>
                <w:szCs w:val="13"/>
                <w:b w:val="1"/>
                <w:bCs w:val="1"/>
                <w:color w:val="auto"/>
              </w:rPr>
              <w:t>(156)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line="147" w:lineRule="exact"/>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bottom w:val="single" w:sz="8" w:color="auto"/>
            </w:tcBorders>
            <w:shd w:val="clear" w:color="auto" w:fill="CCEEFF"/>
          </w:tcPr>
          <w:p>
            <w:pPr>
              <w:jc w:val="right"/>
              <w:ind w:right="57"/>
              <w:spacing w:after="0" w:line="147" w:lineRule="exact"/>
              <w:rPr>
                <w:sz w:val="20"/>
                <w:szCs w:val="20"/>
                <w:color w:val="auto"/>
              </w:rPr>
            </w:pPr>
            <w:r>
              <w:rPr>
                <w:rFonts w:ascii="Arial" w:cs="Arial" w:eastAsia="Arial" w:hAnsi="Arial"/>
                <w:sz w:val="13"/>
                <w:szCs w:val="13"/>
                <w:b w:val="1"/>
                <w:bCs w:val="1"/>
                <w:color w:val="auto"/>
              </w:rPr>
              <w:t>(107)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b w:val="1"/>
                <w:bCs w:val="1"/>
                <w:color w:val="auto"/>
                <w:w w:val="82"/>
              </w:rPr>
              <w:t>$</w:t>
            </w:r>
          </w:p>
        </w:tc>
        <w:tc>
          <w:tcPr>
            <w:tcW w:w="340" w:type="dxa"/>
            <w:vAlign w:val="bottom"/>
            <w:tcBorders>
              <w:top w:val="single" w:sz="8" w:color="auto"/>
              <w:bottom w:val="single" w:sz="8" w:color="auto"/>
            </w:tcBorders>
            <w:shd w:val="clear" w:color="auto" w:fill="CCEEFF"/>
          </w:tcPr>
          <w:p>
            <w:pPr>
              <w:jc w:val="right"/>
              <w:ind w:right="77"/>
              <w:spacing w:after="0" w:line="147"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gridSpan w:val="2"/>
            <w:shd w:val="clear" w:color="auto" w:fill="CCEEFF"/>
          </w:tcPr>
          <w:p>
            <w:pPr>
              <w:jc w:val="right"/>
              <w:ind w:right="57"/>
              <w:spacing w:after="0" w:line="147" w:lineRule="exact"/>
              <w:rPr>
                <w:sz w:val="20"/>
                <w:szCs w:val="20"/>
                <w:color w:val="auto"/>
              </w:rPr>
            </w:pPr>
            <w:r>
              <w:rPr>
                <w:rFonts w:ascii="Arial" w:cs="Arial" w:eastAsia="Arial" w:hAnsi="Arial"/>
                <w:sz w:val="13"/>
                <w:szCs w:val="13"/>
                <w:b w:val="1"/>
                <w:bCs w:val="1"/>
                <w:color w:val="auto"/>
              </w:rPr>
              <w:t>3,828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3"/>
                <w:szCs w:val="13"/>
                <w:b w:val="1"/>
                <w:bCs w:val="1"/>
                <w:color w:val="auto"/>
              </w:rPr>
              <w:t>Reported Margin %</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28.5</w:t>
            </w:r>
          </w:p>
        </w:tc>
        <w:tc>
          <w:tcPr>
            <w:tcW w:w="2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rPr>
              <w:t>11.5</w:t>
            </w:r>
          </w:p>
        </w:tc>
        <w:tc>
          <w:tcPr>
            <w:tcW w:w="2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6" w:lineRule="exact"/>
              <w:rPr>
                <w:sz w:val="20"/>
                <w:szCs w:val="20"/>
                <w:color w:val="auto"/>
              </w:rPr>
            </w:pPr>
            <w:r>
              <w:rPr>
                <w:rFonts w:ascii="Arial" w:cs="Arial" w:eastAsia="Arial" w:hAnsi="Arial"/>
                <w:sz w:val="13"/>
                <w:szCs w:val="13"/>
                <w:color w:val="auto"/>
              </w:rPr>
              <w:t>13.9</w:t>
            </w:r>
          </w:p>
        </w:tc>
        <w:tc>
          <w:tcPr>
            <w:tcW w:w="2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11.8</w:t>
            </w:r>
          </w:p>
        </w:tc>
        <w:tc>
          <w:tcPr>
            <w:tcW w:w="2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37"/>
              <w:spacing w:after="0" w:line="146" w:lineRule="exact"/>
              <w:rPr>
                <w:sz w:val="20"/>
                <w:szCs w:val="20"/>
                <w:color w:val="auto"/>
              </w:rPr>
            </w:pPr>
            <w:r>
              <w:rPr>
                <w:rFonts w:ascii="Arial" w:cs="Arial" w:eastAsia="Arial" w:hAnsi="Arial"/>
                <w:sz w:val="13"/>
                <w:szCs w:val="13"/>
                <w:color w:val="auto"/>
              </w:rPr>
              <w:t>18.8</w:t>
            </w:r>
          </w:p>
        </w:tc>
        <w:tc>
          <w:tcPr>
            <w:tcW w:w="140" w:type="dxa"/>
            <w:vAlign w:val="bottom"/>
          </w:tcPr>
          <w:p>
            <w:pPr>
              <w:jc w:val="right"/>
              <w:spacing w:after="0" w:line="146" w:lineRule="exact"/>
              <w:rPr>
                <w:sz w:val="20"/>
                <w:szCs w:val="20"/>
                <w:color w:val="auto"/>
              </w:rPr>
            </w:pPr>
            <w:r>
              <w:rPr>
                <w:rFonts w:ascii="Arial" w:cs="Arial" w:eastAsia="Arial" w:hAnsi="Arial"/>
                <w:sz w:val="13"/>
                <w:szCs w:val="13"/>
                <w:color w:val="auto"/>
                <w:w w:val="86"/>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9.3</w:t>
            </w:r>
          </w:p>
        </w:tc>
        <w:tc>
          <w:tcPr>
            <w:tcW w:w="2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Adjusted Margin %</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51"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1"/>
          <w:szCs w:val="11"/>
          <w:u w:val="single" w:color="auto"/>
          <w:color w:val="auto"/>
        </w:rPr>
        <w:t>Schedule 6a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Mondelēz International, Inc. and Subsidiaries</w:t>
      </w:r>
    </w:p>
    <w:p>
      <w:pPr>
        <w:jc w:val="center"/>
        <w:spacing w:after="0"/>
        <w:rPr>
          <w:sz w:val="20"/>
          <w:szCs w:val="20"/>
          <w:color w:val="auto"/>
        </w:rPr>
      </w:pPr>
      <w:r>
        <w:rPr>
          <w:rFonts w:ascii="Arial" w:cs="Arial" w:eastAsia="Arial" w:hAnsi="Arial"/>
          <w:sz w:val="11"/>
          <w:szCs w:val="11"/>
          <w:b w:val="1"/>
          <w:bCs w:val="1"/>
          <w:color w:val="auto"/>
        </w:rPr>
        <w:t>Reconciliation of GAAP to Non-GAAP Measures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Tax Rate, Net Earnings and Diluted EPS</w:t>
      </w:r>
    </w:p>
    <w:p>
      <w:pPr>
        <w:jc w:val="center"/>
        <w:spacing w:after="0"/>
        <w:rPr>
          <w:sz w:val="20"/>
          <w:szCs w:val="20"/>
          <w:color w:val="auto"/>
        </w:rPr>
      </w:pPr>
      <w:r>
        <w:rPr>
          <w:rFonts w:ascii="Arial" w:cs="Arial" w:eastAsia="Arial" w:hAnsi="Arial"/>
          <w:sz w:val="11"/>
          <w:szCs w:val="11"/>
          <w:b w:val="1"/>
          <w:bCs w:val="1"/>
          <w:color w:val="auto"/>
        </w:rPr>
        <w:t>(in millions of U.S. dollars and shares, except per share data) (Unaudited)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Benefit</w:t>
            </w:r>
          </w:p>
        </w:tc>
        <w:tc>
          <w:tcPr>
            <w:tcW w:w="100" w:type="dxa"/>
            <w:vAlign w:val="bottom"/>
          </w:tcPr>
          <w:p>
            <w:pPr>
              <w:spacing w:after="0"/>
              <w:rPr>
                <w:sz w:val="10"/>
                <w:szCs w:val="10"/>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Interest</w:t>
            </w:r>
          </w:p>
        </w:tc>
        <w:tc>
          <w:tcPr>
            <w:tcW w:w="80" w:type="dxa"/>
            <w:vAlign w:val="bottom"/>
          </w:tcPr>
          <w:p>
            <w:pPr>
              <w:spacing w:after="0"/>
              <w:rPr>
                <w:sz w:val="10"/>
                <w:szCs w:val="10"/>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7"/>
              </w:rPr>
              <w:t>Earnings</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rPr>
              <w:t>Loss on equity</w:t>
            </w:r>
          </w:p>
        </w:tc>
        <w:tc>
          <w:tcPr>
            <w:tcW w:w="10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Equity</w:t>
            </w:r>
          </w:p>
        </w:tc>
        <w:tc>
          <w:tcPr>
            <w:tcW w:w="80" w:type="dxa"/>
            <w:vAlign w:val="bottom"/>
          </w:tcPr>
          <w:p>
            <w:pPr>
              <w:spacing w:after="0"/>
              <w:rPr>
                <w:sz w:val="10"/>
                <w:szCs w:val="10"/>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rPr>
                <w:sz w:val="10"/>
                <w:szCs w:val="10"/>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7"/>
              </w:rPr>
              <w:t>Net Earnings</w:t>
            </w:r>
          </w:p>
        </w:tc>
        <w:tc>
          <w:tcPr>
            <w:tcW w:w="100" w:type="dxa"/>
            <w:vAlign w:val="bottom"/>
          </w:tcPr>
          <w:p>
            <w:pPr>
              <w:spacing w:after="0"/>
              <w:rPr>
                <w:sz w:val="10"/>
                <w:szCs w:val="10"/>
                <w:color w:val="auto"/>
              </w:rPr>
            </w:pPr>
          </w:p>
        </w:tc>
        <w:tc>
          <w:tcPr>
            <w:tcW w:w="84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9"/>
              </w:rPr>
              <w:t>Diluted EPS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6"/>
              </w:rPr>
              <w:t>plan non-</w:t>
            </w: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method</w:t>
            </w: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For the Three Months Ended September 30,</w:t>
            </w:r>
          </w:p>
        </w:tc>
        <w:tc>
          <w:tcPr>
            <w:tcW w:w="80" w:type="dxa"/>
            <w:vAlign w:val="bottom"/>
          </w:tcPr>
          <w:p>
            <w:pPr>
              <w:spacing w:after="0"/>
              <w:rPr>
                <w:sz w:val="9"/>
                <w:szCs w:val="9"/>
                <w:color w:val="auto"/>
              </w:rPr>
            </w:pP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9"/>
              </w:rPr>
              <w:t>Operating</w:t>
            </w: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4"/>
              </w:rPr>
              <w:t>service</w:t>
            </w:r>
          </w:p>
        </w:tc>
        <w:tc>
          <w:tcPr>
            <w:tcW w:w="70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and other</w:t>
            </w: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before</w:t>
            </w:r>
          </w:p>
        </w:tc>
        <w:tc>
          <w:tcPr>
            <w:tcW w:w="52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9"/>
                <w:szCs w:val="9"/>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Effective tax</w:t>
            </w: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method</w:t>
            </w:r>
          </w:p>
        </w:tc>
        <w:tc>
          <w:tcPr>
            <w:tcW w:w="8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99"/>
              </w:rPr>
              <w:t>investment</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00" w:type="dxa"/>
            <w:vAlign w:val="bottom"/>
          </w:tcPr>
          <w:p>
            <w:pPr>
              <w:spacing w:after="0"/>
              <w:rPr>
                <w:sz w:val="9"/>
                <w:szCs w:val="9"/>
                <w:color w:val="auto"/>
              </w:rPr>
            </w:pPr>
          </w:p>
        </w:tc>
        <w:tc>
          <w:tcPr>
            <w:tcW w:w="9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attributable to</w:t>
            </w:r>
          </w:p>
        </w:tc>
        <w:tc>
          <w:tcPr>
            <w:tcW w:w="100" w:type="dxa"/>
            <w:vAlign w:val="bottom"/>
          </w:tcPr>
          <w:p>
            <w:pPr>
              <w:spacing w:after="0"/>
              <w:rPr>
                <w:sz w:val="9"/>
                <w:szCs w:val="9"/>
                <w:color w:val="auto"/>
              </w:rPr>
            </w:pPr>
          </w:p>
        </w:tc>
        <w:tc>
          <w:tcPr>
            <w:tcW w:w="84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98"/>
              </w:rPr>
              <w:t>attributable to</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expense /</w:t>
            </w:r>
          </w:p>
        </w:tc>
        <w:tc>
          <w:tcPr>
            <w:tcW w:w="70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expense,</w:t>
            </w: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8"/>
              </w:rPr>
              <w:t>income</w:t>
            </w:r>
          </w:p>
        </w:tc>
        <w:tc>
          <w:tcPr>
            <w:tcW w:w="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9"/>
              </w:rPr>
              <w:t>investment</w:t>
            </w:r>
          </w:p>
        </w:tc>
        <w:tc>
          <w:tcPr>
            <w:tcW w:w="8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96"/>
              </w:rPr>
              <w:t>net losses /</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interest</w:t>
            </w:r>
          </w:p>
        </w:tc>
        <w:tc>
          <w:tcPr>
            <w:tcW w:w="100" w:type="dxa"/>
            <w:vAlign w:val="bottom"/>
          </w:tcPr>
          <w:p>
            <w:pPr>
              <w:spacing w:after="0"/>
              <w:rPr>
                <w:sz w:val="9"/>
                <w:szCs w:val="9"/>
                <w:color w:val="auto"/>
              </w:rPr>
            </w:pPr>
          </w:p>
        </w:tc>
        <w:tc>
          <w:tcPr>
            <w:tcW w:w="9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9"/>
              </w:rPr>
              <w:t>Mondelēz</w:t>
            </w:r>
          </w:p>
        </w:tc>
        <w:tc>
          <w:tcPr>
            <w:tcW w:w="100" w:type="dxa"/>
            <w:vAlign w:val="bottom"/>
          </w:tcPr>
          <w:p>
            <w:pPr>
              <w:spacing w:after="0"/>
              <w:rPr>
                <w:sz w:val="9"/>
                <w:szCs w:val="9"/>
                <w:color w:val="auto"/>
              </w:rPr>
            </w:pPr>
          </w:p>
        </w:tc>
        <w:tc>
          <w:tcPr>
            <w:tcW w:w="84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9"/>
              </w:rPr>
              <w:t>Mondelēz</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24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10"/>
                <w:szCs w:val="10"/>
                <w:b w:val="1"/>
                <w:bCs w:val="1"/>
                <w:color w:val="auto"/>
              </w:rPr>
              <w:t>2026</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Income</w:t>
            </w:r>
          </w:p>
        </w:tc>
        <w:tc>
          <w:tcPr>
            <w:tcW w:w="80" w:type="dxa"/>
            <w:vAlign w:val="bottom"/>
          </w:tcPr>
          <w:p>
            <w:pPr>
              <w:spacing w:after="0"/>
              <w:rPr>
                <w:sz w:val="8"/>
                <w:szCs w:val="8"/>
                <w:color w:val="auto"/>
              </w:rPr>
            </w:pPr>
          </w:p>
        </w:tc>
        <w:tc>
          <w:tcPr>
            <w:tcW w:w="64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(income)</w:t>
            </w:r>
          </w:p>
        </w:tc>
        <w:tc>
          <w:tcPr>
            <w:tcW w:w="100" w:type="dxa"/>
            <w:vAlign w:val="bottom"/>
          </w:tcPr>
          <w:p>
            <w:pPr>
              <w:spacing w:after="0"/>
              <w:rPr>
                <w:sz w:val="8"/>
                <w:szCs w:val="8"/>
                <w:color w:val="auto"/>
              </w:rPr>
            </w:pPr>
          </w:p>
        </w:tc>
        <w:tc>
          <w:tcPr>
            <w:tcW w:w="60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net</w:t>
            </w:r>
          </w:p>
        </w:tc>
        <w:tc>
          <w:tcPr>
            <w:tcW w:w="80" w:type="dxa"/>
            <w:vAlign w:val="bottom"/>
          </w:tcPr>
          <w:p>
            <w:pPr>
              <w:spacing w:after="0"/>
              <w:rPr>
                <w:sz w:val="8"/>
                <w:szCs w:val="8"/>
                <w:color w:val="auto"/>
              </w:rPr>
            </w:pPr>
          </w:p>
        </w:tc>
        <w:tc>
          <w:tcPr>
            <w:tcW w:w="66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taxes</w:t>
            </w:r>
          </w:p>
        </w:tc>
        <w:tc>
          <w:tcPr>
            <w:tcW w:w="100" w:type="dxa"/>
            <w:vAlign w:val="bottom"/>
          </w:tcPr>
          <w:p>
            <w:pPr>
              <w:spacing w:after="0"/>
              <w:rPr>
                <w:sz w:val="8"/>
                <w:szCs w:val="8"/>
                <w:color w:val="auto"/>
              </w:rPr>
            </w:pPr>
          </w:p>
        </w:tc>
        <w:tc>
          <w:tcPr>
            <w:tcW w:w="420" w:type="dxa"/>
            <w:vAlign w:val="bottom"/>
          </w:tcPr>
          <w:p>
            <w:pPr>
              <w:jc w:val="center"/>
              <w:ind w:right="46"/>
              <w:spacing w:after="0" w:line="95" w:lineRule="exact"/>
              <w:rPr>
                <w:sz w:val="20"/>
                <w:szCs w:val="20"/>
                <w:color w:val="auto"/>
              </w:rPr>
            </w:pPr>
            <w:r>
              <w:rPr>
                <w:rFonts w:ascii="Arial" w:cs="Arial" w:eastAsia="Arial" w:hAnsi="Arial"/>
                <w:sz w:val="10"/>
                <w:szCs w:val="10"/>
                <w:b w:val="1"/>
                <w:bCs w:val="1"/>
                <w:color w:val="auto"/>
              </w:rPr>
              <w:t>taxes</w:t>
            </w:r>
          </w:p>
        </w:tc>
        <w:tc>
          <w:tcPr>
            <w:tcW w:w="80" w:type="dxa"/>
            <w:vAlign w:val="bottom"/>
          </w:tcPr>
          <w:p>
            <w:pPr>
              <w:spacing w:after="0"/>
              <w:rPr>
                <w:sz w:val="8"/>
                <w:szCs w:val="8"/>
                <w:color w:val="auto"/>
              </w:rPr>
            </w:pPr>
          </w:p>
        </w:tc>
        <w:tc>
          <w:tcPr>
            <w:tcW w:w="580" w:type="dxa"/>
            <w:vAlign w:val="bottom"/>
          </w:tcPr>
          <w:p>
            <w:pPr>
              <w:jc w:val="center"/>
              <w:ind w:left="89"/>
              <w:spacing w:after="0" w:line="95" w:lineRule="exact"/>
              <w:rPr>
                <w:sz w:val="20"/>
                <w:szCs w:val="20"/>
                <w:color w:val="auto"/>
              </w:rPr>
            </w:pPr>
            <w:r>
              <w:rPr>
                <w:rFonts w:ascii="Arial" w:cs="Arial" w:eastAsia="Arial" w:hAnsi="Arial"/>
                <w:sz w:val="10"/>
                <w:szCs w:val="10"/>
                <w:b w:val="1"/>
                <w:bCs w:val="1"/>
                <w:color w:val="auto"/>
              </w:rPr>
              <w:t>rate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transactions</w:t>
            </w:r>
          </w:p>
        </w:tc>
        <w:tc>
          <w:tcPr>
            <w:tcW w:w="100" w:type="dxa"/>
            <w:vAlign w:val="bottom"/>
          </w:tcPr>
          <w:p>
            <w:pPr>
              <w:spacing w:after="0"/>
              <w:rPr>
                <w:sz w:val="8"/>
                <w:szCs w:val="8"/>
                <w:color w:val="auto"/>
              </w:rPr>
            </w:pPr>
          </w:p>
        </w:tc>
        <w:tc>
          <w:tcPr>
            <w:tcW w:w="70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8"/>
                <w:szCs w:val="8"/>
                <w:color w:val="auto"/>
              </w:rPr>
            </w:pPr>
          </w:p>
        </w:tc>
        <w:tc>
          <w:tcPr>
            <w:tcW w:w="72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8"/>
                <w:szCs w:val="8"/>
                <w:color w:val="auto"/>
              </w:rPr>
            </w:pPr>
          </w:p>
        </w:tc>
        <w:tc>
          <w:tcPr>
            <w:tcW w:w="96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International</w:t>
            </w:r>
          </w:p>
        </w:tc>
        <w:tc>
          <w:tcPr>
            <w:tcW w:w="100" w:type="dxa"/>
            <w:vAlign w:val="bottom"/>
          </w:tcPr>
          <w:p>
            <w:pPr>
              <w:spacing w:after="0"/>
              <w:rPr>
                <w:sz w:val="8"/>
                <w:szCs w:val="8"/>
                <w:color w:val="auto"/>
              </w:rPr>
            </w:pPr>
          </w:p>
        </w:tc>
        <w:tc>
          <w:tcPr>
            <w:tcW w:w="840" w:type="dxa"/>
            <w:vAlign w:val="bottom"/>
          </w:tcPr>
          <w:p>
            <w:pPr>
              <w:jc w:val="center"/>
              <w:ind w:right="46"/>
              <w:spacing w:after="0" w:line="95" w:lineRule="exact"/>
              <w:rPr>
                <w:sz w:val="20"/>
                <w:szCs w:val="20"/>
                <w:color w:val="auto"/>
              </w:rPr>
            </w:pPr>
            <w:r>
              <w:rPr>
                <w:rFonts w:ascii="Arial" w:cs="Arial" w:eastAsia="Arial" w:hAnsi="Arial"/>
                <w:sz w:val="10"/>
                <w:szCs w:val="10"/>
                <w:b w:val="1"/>
                <w:bCs w:val="1"/>
                <w:color w:val="auto"/>
              </w:rPr>
              <w:t>International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Reported (GAAP)</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1,758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1,721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424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24.6</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1,305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1.02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gridSpan w:val="3"/>
          </w:tcPr>
          <w:p>
            <w:pPr>
              <w:spacing w:after="0"/>
              <w:rPr>
                <w:sz w:val="20"/>
                <w:szCs w:val="20"/>
                <w:color w:val="auto"/>
              </w:rPr>
            </w:pPr>
            <w:r>
              <w:rPr>
                <w:rFonts w:ascii="Arial" w:cs="Arial" w:eastAsia="Arial" w:hAnsi="Arial"/>
                <w:sz w:val="11"/>
                <w:szCs w:val="11"/>
                <w:color w:val="auto"/>
              </w:rPr>
              <w:t>Restructuring charges</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Intangible asset impairment charges</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48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0.04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380" w:type="dxa"/>
            <w:vAlign w:val="bottom"/>
            <w:gridSpan w:val="3"/>
          </w:tcPr>
          <w:p>
            <w:pPr>
              <w:spacing w:after="0"/>
              <w:rPr>
                <w:sz w:val="20"/>
                <w:szCs w:val="20"/>
                <w:color w:val="auto"/>
              </w:rPr>
            </w:pPr>
            <w:r>
              <w:rPr>
                <w:rFonts w:ascii="Arial" w:cs="Arial" w:eastAsia="Arial" w:hAnsi="Arial"/>
                <w:sz w:val="11"/>
                <w:szCs w:val="11"/>
                <w:color w:val="auto"/>
              </w:rPr>
              <w:t>Mark-to-market (gains)/losses from derivatives</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(434)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(0.34)</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shd w:val="clear" w:color="auto" w:fill="CCEEFF"/>
          </w:tcPr>
          <w:p>
            <w:pPr>
              <w:spacing w:after="0"/>
              <w:rPr>
                <w:sz w:val="13"/>
                <w:szCs w:val="13"/>
                <w:color w:val="auto"/>
              </w:rPr>
            </w:pPr>
          </w:p>
        </w:tc>
        <w:tc>
          <w:tcPr>
            <w:tcW w:w="2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Acquisition-related items</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gridSpan w:val="3"/>
          </w:tcPr>
          <w:p>
            <w:pPr>
              <w:spacing w:after="0"/>
              <w:rPr>
                <w:sz w:val="20"/>
                <w:szCs w:val="20"/>
                <w:color w:val="auto"/>
              </w:rPr>
            </w:pPr>
            <w:r>
              <w:rPr>
                <w:rFonts w:ascii="Arial" w:cs="Arial" w:eastAsia="Arial" w:hAnsi="Arial"/>
                <w:sz w:val="11"/>
                <w:szCs w:val="11"/>
                <w:color w:val="auto"/>
              </w:rPr>
              <w:t>Incremental costs due to geopolitical conflicts</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ERP System Implementation costs</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49</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gridSpan w:val="3"/>
          </w:tcPr>
          <w:p>
            <w:pPr>
              <w:spacing w:after="0"/>
              <w:rPr>
                <w:sz w:val="20"/>
                <w:szCs w:val="20"/>
                <w:color w:val="auto"/>
              </w:rPr>
            </w:pPr>
            <w:r>
              <w:rPr>
                <w:rFonts w:ascii="Arial" w:cs="Arial" w:eastAsia="Arial" w:hAnsi="Arial"/>
                <w:sz w:val="11"/>
                <w:szCs w:val="11"/>
                <w:color w:val="auto"/>
              </w:rPr>
              <w:t>Remeasurement of net monetary position</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Pension participation changes</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gridSpan w:val="3"/>
          </w:tcPr>
          <w:p>
            <w:pPr>
              <w:spacing w:after="0"/>
              <w:rPr>
                <w:sz w:val="20"/>
                <w:szCs w:val="20"/>
                <w:color w:val="auto"/>
              </w:rPr>
            </w:pPr>
            <w:r>
              <w:rPr>
                <w:rFonts w:ascii="Arial" w:cs="Arial" w:eastAsia="Arial" w:hAnsi="Arial"/>
                <w:sz w:val="11"/>
                <w:szCs w:val="11"/>
                <w:b w:val="1"/>
                <w:bCs w:val="1"/>
                <w:color w:val="auto"/>
              </w:rPr>
              <w:t>Adjusted (Non-GAAP)</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1,384</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62</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1,349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364</w:t>
            </w:r>
          </w:p>
        </w:tc>
        <w:tc>
          <w:tcPr>
            <w:tcW w:w="660" w:type="dxa"/>
            <w:vAlign w:val="bottom"/>
            <w:gridSpan w:val="2"/>
          </w:tcPr>
          <w:p>
            <w:pPr>
              <w:jc w:val="right"/>
              <w:spacing w:after="0"/>
              <w:rPr>
                <w:sz w:val="20"/>
                <w:szCs w:val="20"/>
                <w:color w:val="auto"/>
              </w:rPr>
            </w:pPr>
            <w:r>
              <w:rPr>
                <w:rFonts w:ascii="Arial" w:cs="Arial" w:eastAsia="Arial" w:hAnsi="Arial"/>
                <w:sz w:val="11"/>
                <w:szCs w:val="11"/>
                <w:b w:val="1"/>
                <w:bCs w:val="1"/>
                <w:color w:val="auto"/>
              </w:rPr>
              <w:t>27.0</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992</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0.78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Borders>
              <w:bottom w:val="single" w:sz="8" w:color="CCEEFF"/>
            </w:tcBorders>
            <w:shd w:val="clear" w:color="auto" w:fill="CCEEFF"/>
          </w:tcPr>
          <w:p>
            <w:pPr>
              <w:spacing w:after="0"/>
              <w:rPr>
                <w:sz w:val="10"/>
                <w:szCs w:val="10"/>
                <w:color w:val="auto"/>
              </w:rPr>
            </w:pPr>
          </w:p>
        </w:tc>
        <w:tc>
          <w:tcPr>
            <w:tcW w:w="2380" w:type="dxa"/>
            <w:vAlign w:val="bottom"/>
            <w:tcBorders>
              <w:bottom w:val="single" w:sz="8" w:color="CCEEFF"/>
            </w:tcBorders>
            <w:gridSpan w:val="3"/>
            <w:shd w:val="clear" w:color="auto" w:fill="CCEEFF"/>
          </w:tcPr>
          <w:p>
            <w:pPr>
              <w:spacing w:after="0" w:line="109" w:lineRule="exact"/>
              <w:rPr>
                <w:sz w:val="20"/>
                <w:szCs w:val="20"/>
                <w:color w:val="auto"/>
              </w:rPr>
            </w:pPr>
            <w:r>
              <w:rPr>
                <w:rFonts w:ascii="Arial" w:cs="Arial" w:eastAsia="Arial" w:hAnsi="Arial"/>
                <w:sz w:val="11"/>
                <w:szCs w:val="11"/>
                <w:color w:val="auto"/>
              </w:rPr>
              <w:t>Currency-related items</w:t>
            </w:r>
          </w:p>
        </w:tc>
        <w:tc>
          <w:tcPr>
            <w:tcW w:w="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66"/>
              <w:spacing w:after="0" w:line="109" w:lineRule="exact"/>
              <w:rPr>
                <w:sz w:val="20"/>
                <w:szCs w:val="20"/>
                <w:color w:val="auto"/>
              </w:rPr>
            </w:pPr>
            <w:r>
              <w:rPr>
                <w:rFonts w:ascii="Arial" w:cs="Arial" w:eastAsia="Arial" w:hAnsi="Arial"/>
                <w:sz w:val="11"/>
                <w:szCs w:val="11"/>
                <w:color w:val="auto"/>
              </w:rPr>
              <w:t>(10)</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ind w:right="66"/>
              <w:spacing w:after="0" w:line="109" w:lineRule="exact"/>
              <w:rPr>
                <w:sz w:val="20"/>
                <w:szCs w:val="20"/>
                <w:color w:val="auto"/>
              </w:rPr>
            </w:pPr>
            <w:r>
              <w:rPr>
                <w:rFonts w:ascii="Arial" w:cs="Arial" w:eastAsia="Arial" w:hAnsi="Arial"/>
                <w:sz w:val="11"/>
                <w:szCs w:val="11"/>
                <w:color w:val="auto"/>
              </w:rPr>
              <w:t>(0.01)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gridSpan w:val="3"/>
          </w:tcPr>
          <w:p>
            <w:pPr>
              <w:spacing w:after="0"/>
              <w:rPr>
                <w:sz w:val="20"/>
                <w:szCs w:val="20"/>
                <w:color w:val="auto"/>
              </w:rPr>
            </w:pPr>
            <w:r>
              <w:rPr>
                <w:rFonts w:ascii="Arial" w:cs="Arial" w:eastAsia="Arial" w:hAnsi="Arial"/>
                <w:sz w:val="11"/>
                <w:szCs w:val="11"/>
                <w:b w:val="1"/>
                <w:bCs w:val="1"/>
                <w:color w:val="auto"/>
              </w:rPr>
              <w:t>Adjusted @ Constant FX (Non-GAAP)</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982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0.77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Diluted Average Shares Outstanding</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1,280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gridSpan w:val="3"/>
          </w:tcPr>
          <w:p>
            <w:pPr>
              <w:spacing w:after="0"/>
              <w:rPr>
                <w:sz w:val="20"/>
                <w:szCs w:val="20"/>
                <w:color w:val="auto"/>
              </w:rPr>
            </w:pPr>
            <w:r>
              <w:rPr>
                <w:rFonts w:ascii="Arial" w:cs="Arial" w:eastAsia="Arial" w:hAnsi="Arial"/>
                <w:sz w:val="11"/>
                <w:szCs w:val="11"/>
                <w:color w:val="auto"/>
              </w:rPr>
              <w:t>% Change - Reported (GAAP)</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75.6 %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78.9 %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 Change - Adjusted (Non-GAAP)</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4.5 %</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6.8 %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gridSpan w:val="3"/>
          </w:tcPr>
          <w:p>
            <w:pPr>
              <w:spacing w:after="0" w:line="109" w:lineRule="exact"/>
              <w:rPr>
                <w:sz w:val="20"/>
                <w:szCs w:val="20"/>
                <w:color w:val="auto"/>
              </w:rPr>
            </w:pPr>
            <w:r>
              <w:rPr>
                <w:rFonts w:ascii="Arial" w:cs="Arial" w:eastAsia="Arial" w:hAnsi="Arial"/>
                <w:sz w:val="11"/>
                <w:szCs w:val="11"/>
                <w:color w:val="auto"/>
              </w:rPr>
              <w:t>% Change - Adjusted @ Constant FX (Non-</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3.5 %</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5.5 %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gridSpan w:val="3"/>
          </w:tcPr>
          <w:p>
            <w:pPr>
              <w:spacing w:after="0"/>
              <w:rPr>
                <w:sz w:val="20"/>
                <w:szCs w:val="20"/>
                <w:color w:val="auto"/>
              </w:rPr>
            </w:pPr>
            <w:r>
              <w:rPr>
                <w:rFonts w:ascii="Arial" w:cs="Arial" w:eastAsia="Arial" w:hAnsi="Arial"/>
                <w:sz w:val="11"/>
                <w:szCs w:val="11"/>
                <w:color w:val="auto"/>
              </w:rPr>
              <w:t>GAAP)</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Benefit</w:t>
            </w:r>
          </w:p>
        </w:tc>
        <w:tc>
          <w:tcPr>
            <w:tcW w:w="100" w:type="dxa"/>
            <w:vAlign w:val="bottom"/>
          </w:tcPr>
          <w:p>
            <w:pPr>
              <w:spacing w:after="0"/>
              <w:rPr>
                <w:sz w:val="24"/>
                <w:szCs w:val="24"/>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Interest</w:t>
            </w:r>
          </w:p>
        </w:tc>
        <w:tc>
          <w:tcPr>
            <w:tcW w:w="80" w:type="dxa"/>
            <w:vAlign w:val="bottom"/>
          </w:tcPr>
          <w:p>
            <w:pPr>
              <w:spacing w:after="0"/>
              <w:rPr>
                <w:sz w:val="24"/>
                <w:szCs w:val="24"/>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7"/>
              </w:rPr>
              <w:t>Earnings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6"/>
              </w:rPr>
              <w:t>Gain on equity</w:t>
            </w:r>
          </w:p>
        </w:tc>
        <w:tc>
          <w:tcPr>
            <w:tcW w:w="100" w:type="dxa"/>
            <w:vAlign w:val="bottom"/>
          </w:tcPr>
          <w:p>
            <w:pPr>
              <w:spacing w:after="0"/>
              <w:rPr>
                <w:sz w:val="24"/>
                <w:szCs w:val="2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Equity</w:t>
            </w:r>
          </w:p>
        </w:tc>
        <w:tc>
          <w:tcPr>
            <w:tcW w:w="80" w:type="dxa"/>
            <w:vAlign w:val="bottom"/>
          </w:tcPr>
          <w:p>
            <w:pPr>
              <w:spacing w:after="0"/>
              <w:rPr>
                <w:sz w:val="24"/>
                <w:szCs w:val="24"/>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rPr>
                <w:sz w:val="24"/>
                <w:szCs w:val="24"/>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7"/>
              </w:rPr>
              <w:t>Net Earnings</w:t>
            </w:r>
          </w:p>
        </w:tc>
        <w:tc>
          <w:tcPr>
            <w:tcW w:w="100" w:type="dxa"/>
            <w:vAlign w:val="bottom"/>
          </w:tcPr>
          <w:p>
            <w:pPr>
              <w:spacing w:after="0"/>
              <w:rPr>
                <w:sz w:val="24"/>
                <w:szCs w:val="24"/>
                <w:color w:val="auto"/>
              </w:rPr>
            </w:pPr>
          </w:p>
        </w:tc>
        <w:tc>
          <w:tcPr>
            <w:tcW w:w="84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9"/>
              </w:rPr>
              <w:t>Diluted EPS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6"/>
              </w:rPr>
              <w:t>plan non-</w:t>
            </w: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method</w:t>
            </w: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For the Three Months Ended September 30,</w:t>
            </w:r>
          </w:p>
        </w:tc>
        <w:tc>
          <w:tcPr>
            <w:tcW w:w="80" w:type="dxa"/>
            <w:vAlign w:val="bottom"/>
          </w:tcPr>
          <w:p>
            <w:pPr>
              <w:spacing w:after="0"/>
              <w:rPr>
                <w:sz w:val="9"/>
                <w:szCs w:val="9"/>
                <w:color w:val="auto"/>
              </w:rPr>
            </w:pP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9"/>
              </w:rPr>
              <w:t>Operating</w:t>
            </w: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4"/>
              </w:rPr>
              <w:t>service</w:t>
            </w:r>
          </w:p>
        </w:tc>
        <w:tc>
          <w:tcPr>
            <w:tcW w:w="70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and other</w:t>
            </w: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before</w:t>
            </w:r>
          </w:p>
        </w:tc>
        <w:tc>
          <w:tcPr>
            <w:tcW w:w="52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9"/>
                <w:szCs w:val="9"/>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Effective tax</w:t>
            </w: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method</w:t>
            </w:r>
          </w:p>
        </w:tc>
        <w:tc>
          <w:tcPr>
            <w:tcW w:w="8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99"/>
              </w:rPr>
              <w:t>investment</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00" w:type="dxa"/>
            <w:vAlign w:val="bottom"/>
          </w:tcPr>
          <w:p>
            <w:pPr>
              <w:spacing w:after="0"/>
              <w:rPr>
                <w:sz w:val="9"/>
                <w:szCs w:val="9"/>
                <w:color w:val="auto"/>
              </w:rPr>
            </w:pPr>
          </w:p>
        </w:tc>
        <w:tc>
          <w:tcPr>
            <w:tcW w:w="9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attributable to</w:t>
            </w:r>
          </w:p>
        </w:tc>
        <w:tc>
          <w:tcPr>
            <w:tcW w:w="100" w:type="dxa"/>
            <w:vAlign w:val="bottom"/>
          </w:tcPr>
          <w:p>
            <w:pPr>
              <w:spacing w:after="0"/>
              <w:rPr>
                <w:sz w:val="9"/>
                <w:szCs w:val="9"/>
                <w:color w:val="auto"/>
              </w:rPr>
            </w:pPr>
          </w:p>
        </w:tc>
        <w:tc>
          <w:tcPr>
            <w:tcW w:w="84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98"/>
              </w:rPr>
              <w:t>attributable to</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expense /</w:t>
            </w:r>
          </w:p>
        </w:tc>
        <w:tc>
          <w:tcPr>
            <w:tcW w:w="70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expense,</w:t>
            </w: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8"/>
              </w:rPr>
              <w:t>income</w:t>
            </w:r>
          </w:p>
        </w:tc>
        <w:tc>
          <w:tcPr>
            <w:tcW w:w="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9"/>
              </w:rPr>
              <w:t>investment</w:t>
            </w:r>
          </w:p>
        </w:tc>
        <w:tc>
          <w:tcPr>
            <w:tcW w:w="8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96"/>
              </w:rPr>
              <w:t>net losses /</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interest</w:t>
            </w:r>
          </w:p>
        </w:tc>
        <w:tc>
          <w:tcPr>
            <w:tcW w:w="100" w:type="dxa"/>
            <w:vAlign w:val="bottom"/>
          </w:tcPr>
          <w:p>
            <w:pPr>
              <w:spacing w:after="0"/>
              <w:rPr>
                <w:sz w:val="9"/>
                <w:szCs w:val="9"/>
                <w:color w:val="auto"/>
              </w:rPr>
            </w:pPr>
          </w:p>
        </w:tc>
        <w:tc>
          <w:tcPr>
            <w:tcW w:w="9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9"/>
              </w:rPr>
              <w:t>Mondelēz</w:t>
            </w:r>
          </w:p>
        </w:tc>
        <w:tc>
          <w:tcPr>
            <w:tcW w:w="100" w:type="dxa"/>
            <w:vAlign w:val="bottom"/>
          </w:tcPr>
          <w:p>
            <w:pPr>
              <w:spacing w:after="0"/>
              <w:rPr>
                <w:sz w:val="9"/>
                <w:szCs w:val="9"/>
                <w:color w:val="auto"/>
              </w:rPr>
            </w:pPr>
          </w:p>
        </w:tc>
        <w:tc>
          <w:tcPr>
            <w:tcW w:w="84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9"/>
              </w:rPr>
              <w:t>Mondelēz</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24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10"/>
                <w:szCs w:val="10"/>
                <w:b w:val="1"/>
                <w:bCs w:val="1"/>
                <w:color w:val="auto"/>
              </w:rPr>
              <w:t>2025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Income</w:t>
            </w:r>
          </w:p>
        </w:tc>
        <w:tc>
          <w:tcPr>
            <w:tcW w:w="80" w:type="dxa"/>
            <w:vAlign w:val="bottom"/>
          </w:tcPr>
          <w:p>
            <w:pPr>
              <w:spacing w:after="0"/>
              <w:rPr>
                <w:sz w:val="8"/>
                <w:szCs w:val="8"/>
                <w:color w:val="auto"/>
              </w:rPr>
            </w:pPr>
          </w:p>
        </w:tc>
        <w:tc>
          <w:tcPr>
            <w:tcW w:w="64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(income)</w:t>
            </w:r>
          </w:p>
        </w:tc>
        <w:tc>
          <w:tcPr>
            <w:tcW w:w="100" w:type="dxa"/>
            <w:vAlign w:val="bottom"/>
          </w:tcPr>
          <w:p>
            <w:pPr>
              <w:spacing w:after="0"/>
              <w:rPr>
                <w:sz w:val="8"/>
                <w:szCs w:val="8"/>
                <w:color w:val="auto"/>
              </w:rPr>
            </w:pPr>
          </w:p>
        </w:tc>
        <w:tc>
          <w:tcPr>
            <w:tcW w:w="60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net</w:t>
            </w:r>
          </w:p>
        </w:tc>
        <w:tc>
          <w:tcPr>
            <w:tcW w:w="80" w:type="dxa"/>
            <w:vAlign w:val="bottom"/>
          </w:tcPr>
          <w:p>
            <w:pPr>
              <w:spacing w:after="0"/>
              <w:rPr>
                <w:sz w:val="8"/>
                <w:szCs w:val="8"/>
                <w:color w:val="auto"/>
              </w:rPr>
            </w:pPr>
          </w:p>
        </w:tc>
        <w:tc>
          <w:tcPr>
            <w:tcW w:w="66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taxes</w:t>
            </w:r>
          </w:p>
        </w:tc>
        <w:tc>
          <w:tcPr>
            <w:tcW w:w="100" w:type="dxa"/>
            <w:vAlign w:val="bottom"/>
          </w:tcPr>
          <w:p>
            <w:pPr>
              <w:spacing w:after="0"/>
              <w:rPr>
                <w:sz w:val="8"/>
                <w:szCs w:val="8"/>
                <w:color w:val="auto"/>
              </w:rPr>
            </w:pPr>
          </w:p>
        </w:tc>
        <w:tc>
          <w:tcPr>
            <w:tcW w:w="420" w:type="dxa"/>
            <w:vAlign w:val="bottom"/>
          </w:tcPr>
          <w:p>
            <w:pPr>
              <w:jc w:val="center"/>
              <w:ind w:right="46"/>
              <w:spacing w:after="0" w:line="95" w:lineRule="exact"/>
              <w:rPr>
                <w:sz w:val="20"/>
                <w:szCs w:val="20"/>
                <w:color w:val="auto"/>
              </w:rPr>
            </w:pPr>
            <w:r>
              <w:rPr>
                <w:rFonts w:ascii="Arial" w:cs="Arial" w:eastAsia="Arial" w:hAnsi="Arial"/>
                <w:sz w:val="10"/>
                <w:szCs w:val="10"/>
                <w:b w:val="1"/>
                <w:bCs w:val="1"/>
                <w:color w:val="auto"/>
              </w:rPr>
              <w:t>taxes</w:t>
            </w:r>
          </w:p>
        </w:tc>
        <w:tc>
          <w:tcPr>
            <w:tcW w:w="80" w:type="dxa"/>
            <w:vAlign w:val="bottom"/>
          </w:tcPr>
          <w:p>
            <w:pPr>
              <w:spacing w:after="0"/>
              <w:rPr>
                <w:sz w:val="8"/>
                <w:szCs w:val="8"/>
                <w:color w:val="auto"/>
              </w:rPr>
            </w:pPr>
          </w:p>
        </w:tc>
        <w:tc>
          <w:tcPr>
            <w:tcW w:w="580" w:type="dxa"/>
            <w:vAlign w:val="bottom"/>
          </w:tcPr>
          <w:p>
            <w:pPr>
              <w:jc w:val="center"/>
              <w:ind w:left="89"/>
              <w:spacing w:after="0" w:line="95" w:lineRule="exact"/>
              <w:rPr>
                <w:sz w:val="20"/>
                <w:szCs w:val="20"/>
                <w:color w:val="auto"/>
              </w:rPr>
            </w:pPr>
            <w:r>
              <w:rPr>
                <w:rFonts w:ascii="Arial" w:cs="Arial" w:eastAsia="Arial" w:hAnsi="Arial"/>
                <w:sz w:val="10"/>
                <w:szCs w:val="10"/>
                <w:b w:val="1"/>
                <w:bCs w:val="1"/>
                <w:color w:val="auto"/>
              </w:rPr>
              <w:t>rate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transactions</w:t>
            </w:r>
          </w:p>
        </w:tc>
        <w:tc>
          <w:tcPr>
            <w:tcW w:w="100" w:type="dxa"/>
            <w:vAlign w:val="bottom"/>
          </w:tcPr>
          <w:p>
            <w:pPr>
              <w:spacing w:after="0"/>
              <w:rPr>
                <w:sz w:val="8"/>
                <w:szCs w:val="8"/>
                <w:color w:val="auto"/>
              </w:rPr>
            </w:pPr>
          </w:p>
        </w:tc>
        <w:tc>
          <w:tcPr>
            <w:tcW w:w="70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8"/>
                <w:szCs w:val="8"/>
                <w:color w:val="auto"/>
              </w:rPr>
            </w:pPr>
          </w:p>
        </w:tc>
        <w:tc>
          <w:tcPr>
            <w:tcW w:w="72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8"/>
                <w:szCs w:val="8"/>
                <w:color w:val="auto"/>
              </w:rPr>
            </w:pPr>
          </w:p>
        </w:tc>
        <w:tc>
          <w:tcPr>
            <w:tcW w:w="96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International</w:t>
            </w:r>
          </w:p>
        </w:tc>
        <w:tc>
          <w:tcPr>
            <w:tcW w:w="100" w:type="dxa"/>
            <w:vAlign w:val="bottom"/>
          </w:tcPr>
          <w:p>
            <w:pPr>
              <w:spacing w:after="0"/>
              <w:rPr>
                <w:sz w:val="8"/>
                <w:szCs w:val="8"/>
                <w:color w:val="auto"/>
              </w:rPr>
            </w:pPr>
          </w:p>
        </w:tc>
        <w:tc>
          <w:tcPr>
            <w:tcW w:w="840" w:type="dxa"/>
            <w:vAlign w:val="bottom"/>
          </w:tcPr>
          <w:p>
            <w:pPr>
              <w:jc w:val="center"/>
              <w:ind w:right="46"/>
              <w:spacing w:after="0" w:line="95" w:lineRule="exact"/>
              <w:rPr>
                <w:sz w:val="20"/>
                <w:szCs w:val="20"/>
                <w:color w:val="auto"/>
              </w:rPr>
            </w:pPr>
            <w:r>
              <w:rPr>
                <w:rFonts w:ascii="Arial" w:cs="Arial" w:eastAsia="Arial" w:hAnsi="Arial"/>
                <w:sz w:val="10"/>
                <w:szCs w:val="10"/>
                <w:b w:val="1"/>
                <w:bCs w:val="1"/>
                <w:color w:val="auto"/>
              </w:rPr>
              <w:t>International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Reported (GAAP)</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744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695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19.7</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743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0.57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gridSpan w:val="3"/>
          </w:tcPr>
          <w:p>
            <w:pPr>
              <w:spacing w:after="0"/>
              <w:rPr>
                <w:sz w:val="20"/>
                <w:szCs w:val="20"/>
                <w:color w:val="auto"/>
              </w:rPr>
            </w:pPr>
            <w:r>
              <w:rPr>
                <w:rFonts w:ascii="Arial" w:cs="Arial" w:eastAsia="Arial" w:hAnsi="Arial"/>
                <w:sz w:val="11"/>
                <w:szCs w:val="11"/>
                <w:color w:val="auto"/>
              </w:rPr>
              <w:t>Restructuring charges</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Intangible asset impairment charges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380" w:type="dxa"/>
            <w:vAlign w:val="bottom"/>
            <w:gridSpan w:val="3"/>
          </w:tcPr>
          <w:p>
            <w:pPr>
              <w:spacing w:after="0"/>
              <w:rPr>
                <w:sz w:val="20"/>
                <w:szCs w:val="20"/>
                <w:color w:val="auto"/>
              </w:rPr>
            </w:pPr>
            <w:r>
              <w:rPr>
                <w:rFonts w:ascii="Arial" w:cs="Arial" w:eastAsia="Arial" w:hAnsi="Arial"/>
                <w:sz w:val="11"/>
                <w:szCs w:val="11"/>
                <w:color w:val="auto"/>
              </w:rPr>
              <w:t>Mark-to-market (gains)/losses from derivatives</w:t>
            </w:r>
          </w:p>
        </w:tc>
        <w:tc>
          <w:tcPr>
            <w:tcW w:w="8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274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0.21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Acquisition-related items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gridSpan w:val="3"/>
          </w:tcPr>
          <w:p>
            <w:pPr>
              <w:spacing w:after="0"/>
              <w:rPr>
                <w:sz w:val="20"/>
                <w:szCs w:val="20"/>
                <w:color w:val="auto"/>
              </w:rPr>
            </w:pPr>
            <w:r>
              <w:rPr>
                <w:rFonts w:ascii="Arial" w:cs="Arial" w:eastAsia="Arial" w:hAnsi="Arial"/>
                <w:sz w:val="11"/>
                <w:szCs w:val="11"/>
                <w:color w:val="auto"/>
              </w:rPr>
              <w:t>ERP System Implementation costs</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Remeasurement of net monetary position</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0.01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380" w:type="dxa"/>
            <w:vAlign w:val="bottom"/>
            <w:gridSpan w:val="3"/>
          </w:tcPr>
          <w:p>
            <w:pPr>
              <w:spacing w:after="0"/>
              <w:rPr>
                <w:sz w:val="20"/>
                <w:szCs w:val="20"/>
                <w:color w:val="auto"/>
              </w:rPr>
            </w:pPr>
            <w:r>
              <w:rPr>
                <w:rFonts w:ascii="Arial" w:cs="Arial" w:eastAsia="Arial" w:hAnsi="Arial"/>
                <w:sz w:val="11"/>
                <w:szCs w:val="11"/>
                <w:color w:val="auto"/>
              </w:rPr>
              <w:t>Pension participation changes</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0.03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Resolution of tax matters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gridSpan w:val="3"/>
          </w:tcPr>
          <w:p>
            <w:pPr>
              <w:spacing w:after="0"/>
              <w:rPr>
                <w:sz w:val="20"/>
                <w:szCs w:val="20"/>
                <w:color w:val="auto"/>
              </w:rPr>
            </w:pPr>
            <w:r>
              <w:rPr>
                <w:rFonts w:ascii="Arial" w:cs="Arial" w:eastAsia="Arial" w:hAnsi="Arial"/>
                <w:sz w:val="11"/>
                <w:szCs w:val="11"/>
                <w:color w:val="auto"/>
              </w:rPr>
              <w:t>Initial impacts from enacted tax law changes</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2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Gain on equity method investment transactions</w:t>
            </w: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(169)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(0.13)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gridSpan w:val="3"/>
          </w:tcPr>
          <w:p>
            <w:pPr>
              <w:spacing w:after="0"/>
              <w:rPr>
                <w:sz w:val="20"/>
                <w:szCs w:val="20"/>
                <w:color w:val="auto"/>
              </w:rPr>
            </w:pPr>
            <w:r>
              <w:rPr>
                <w:rFonts w:ascii="Arial" w:cs="Arial" w:eastAsia="Arial" w:hAnsi="Arial"/>
                <w:sz w:val="11"/>
                <w:szCs w:val="11"/>
                <w:b w:val="1"/>
                <w:bCs w:val="1"/>
                <w:color w:val="auto"/>
              </w:rPr>
              <w:t>Adjusted (Non-GAAP)</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ind w:right="6"/>
              <w:spacing w:after="0"/>
              <w:rPr>
                <w:sz w:val="20"/>
                <w:szCs w:val="20"/>
                <w:color w:val="auto"/>
              </w:rPr>
            </w:pPr>
            <w:r>
              <w:rPr>
                <w:rFonts w:ascii="Arial" w:cs="Arial" w:eastAsia="Arial" w:hAnsi="Arial"/>
                <w:sz w:val="11"/>
                <w:szCs w:val="11"/>
                <w:b w:val="1"/>
                <w:bCs w:val="1"/>
                <w:color w:val="auto"/>
              </w:rPr>
              <w:t>1,171</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(27)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39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1,159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rPr>
              <w:t>226</w:t>
            </w:r>
          </w:p>
        </w:tc>
        <w:tc>
          <w:tcPr>
            <w:tcW w:w="660" w:type="dxa"/>
            <w:vAlign w:val="bottom"/>
            <w:gridSpan w:val="2"/>
          </w:tcPr>
          <w:p>
            <w:pPr>
              <w:jc w:val="right"/>
              <w:spacing w:after="0"/>
              <w:rPr>
                <w:sz w:val="20"/>
                <w:szCs w:val="20"/>
                <w:color w:val="auto"/>
              </w:rPr>
            </w:pPr>
            <w:r>
              <w:rPr>
                <w:rFonts w:ascii="Arial" w:cs="Arial" w:eastAsia="Arial" w:hAnsi="Arial"/>
                <w:sz w:val="11"/>
                <w:szCs w:val="11"/>
                <w:b w:val="1"/>
                <w:bCs w:val="1"/>
                <w:color w:val="auto"/>
              </w:rPr>
              <w:t>19.5</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(19)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ind w:right="6"/>
              <w:spacing w:after="0"/>
              <w:rPr>
                <w:sz w:val="20"/>
                <w:szCs w:val="20"/>
                <w:color w:val="auto"/>
              </w:rPr>
            </w:pPr>
            <w:r>
              <w:rPr>
                <w:rFonts w:ascii="Arial" w:cs="Arial" w:eastAsia="Arial" w:hAnsi="Arial"/>
                <w:sz w:val="11"/>
                <w:szCs w:val="11"/>
                <w:b w:val="1"/>
                <w:bCs w:val="1"/>
                <w:color w:val="auto"/>
              </w:rPr>
              <w:t>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Pr>
          <w:p>
            <w:pPr>
              <w:jc w:val="right"/>
              <w:ind w:right="106"/>
              <w:spacing w:after="0"/>
              <w:rPr>
                <w:sz w:val="20"/>
                <w:szCs w:val="20"/>
                <w:color w:val="auto"/>
              </w:rPr>
            </w:pPr>
            <w:r>
              <w:rPr>
                <w:rFonts w:ascii="Arial" w:cs="Arial" w:eastAsia="Arial" w:hAnsi="Arial"/>
                <w:sz w:val="11"/>
                <w:szCs w:val="11"/>
                <w:b w:val="1"/>
                <w:bCs w:val="1"/>
                <w:color w:val="auto"/>
              </w:rPr>
              <w:t>949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Pr>
          <w:p>
            <w:pPr>
              <w:jc w:val="right"/>
              <w:ind w:right="106"/>
              <w:spacing w:after="0"/>
              <w:rPr>
                <w:sz w:val="20"/>
                <w:szCs w:val="20"/>
                <w:color w:val="auto"/>
              </w:rPr>
            </w:pPr>
            <w:r>
              <w:rPr>
                <w:rFonts w:ascii="Arial" w:cs="Arial" w:eastAsia="Arial" w:hAnsi="Arial"/>
                <w:sz w:val="11"/>
                <w:szCs w:val="11"/>
                <w:b w:val="1"/>
                <w:bCs w:val="1"/>
                <w:color w:val="auto"/>
              </w:rPr>
              <w:t>0.73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Diluted Average Shares Outstanding</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1,296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85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1"/>
          <w:szCs w:val="11"/>
          <w:u w:val="single" w:color="auto"/>
          <w:color w:val="auto"/>
        </w:rPr>
        <w:t>Schedule 6b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Mondelēz International, Inc. and Subsidiaries</w:t>
      </w:r>
    </w:p>
    <w:p>
      <w:pPr>
        <w:jc w:val="center"/>
        <w:spacing w:after="0"/>
        <w:rPr>
          <w:sz w:val="20"/>
          <w:szCs w:val="20"/>
          <w:color w:val="auto"/>
        </w:rPr>
      </w:pPr>
      <w:r>
        <w:rPr>
          <w:rFonts w:ascii="Arial" w:cs="Arial" w:eastAsia="Arial" w:hAnsi="Arial"/>
          <w:sz w:val="11"/>
          <w:szCs w:val="11"/>
          <w:b w:val="1"/>
          <w:bCs w:val="1"/>
          <w:color w:val="auto"/>
        </w:rPr>
        <w:t>Reconciliation of GAAP to Non-GAAP Measures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Tax Rate, Net Earnings and Diluted EPS</w:t>
      </w:r>
    </w:p>
    <w:p>
      <w:pPr>
        <w:jc w:val="center"/>
        <w:spacing w:after="0"/>
        <w:rPr>
          <w:sz w:val="20"/>
          <w:szCs w:val="20"/>
          <w:color w:val="auto"/>
        </w:rPr>
      </w:pPr>
      <w:r>
        <w:rPr>
          <w:rFonts w:ascii="Arial" w:cs="Arial" w:eastAsia="Arial" w:hAnsi="Arial"/>
          <w:sz w:val="11"/>
          <w:szCs w:val="11"/>
          <w:b w:val="1"/>
          <w:bCs w:val="1"/>
          <w:color w:val="auto"/>
        </w:rPr>
        <w:t>(in millions of U.S. dollars and shares, except per share data) (Unaudited)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Benefit</w:t>
            </w:r>
          </w:p>
        </w:tc>
        <w:tc>
          <w:tcPr>
            <w:tcW w:w="100" w:type="dxa"/>
            <w:vAlign w:val="bottom"/>
          </w:tcPr>
          <w:p>
            <w:pPr>
              <w:spacing w:after="0"/>
              <w:rPr>
                <w:sz w:val="10"/>
                <w:szCs w:val="10"/>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Interest</w:t>
            </w:r>
          </w:p>
        </w:tc>
        <w:tc>
          <w:tcPr>
            <w:tcW w:w="80" w:type="dxa"/>
            <w:vAlign w:val="bottom"/>
          </w:tcPr>
          <w:p>
            <w:pPr>
              <w:spacing w:after="0"/>
              <w:rPr>
                <w:sz w:val="10"/>
                <w:szCs w:val="10"/>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7"/>
              </w:rPr>
              <w:t>Earnings</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rPr>
              <w:t>Loss on equity</w:t>
            </w:r>
          </w:p>
        </w:tc>
        <w:tc>
          <w:tcPr>
            <w:tcW w:w="10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Equity</w:t>
            </w:r>
          </w:p>
        </w:tc>
        <w:tc>
          <w:tcPr>
            <w:tcW w:w="80" w:type="dxa"/>
            <w:vAlign w:val="bottom"/>
          </w:tcPr>
          <w:p>
            <w:pPr>
              <w:spacing w:after="0"/>
              <w:rPr>
                <w:sz w:val="10"/>
                <w:szCs w:val="10"/>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rPr>
                <w:sz w:val="10"/>
                <w:szCs w:val="10"/>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7"/>
              </w:rPr>
              <w:t>Net Earnings</w:t>
            </w:r>
          </w:p>
        </w:tc>
        <w:tc>
          <w:tcPr>
            <w:tcW w:w="100" w:type="dxa"/>
            <w:vAlign w:val="bottom"/>
          </w:tcPr>
          <w:p>
            <w:pPr>
              <w:spacing w:after="0"/>
              <w:rPr>
                <w:sz w:val="10"/>
                <w:szCs w:val="10"/>
                <w:color w:val="auto"/>
              </w:rPr>
            </w:pPr>
          </w:p>
        </w:tc>
        <w:tc>
          <w:tcPr>
            <w:tcW w:w="84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9"/>
              </w:rPr>
              <w:t>Diluted EPS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6"/>
              </w:rPr>
              <w:t>plan non-</w:t>
            </w: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method</w:t>
            </w: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For the Nine Months Ended September 30,</w:t>
            </w:r>
          </w:p>
        </w:tc>
        <w:tc>
          <w:tcPr>
            <w:tcW w:w="80" w:type="dxa"/>
            <w:vAlign w:val="bottom"/>
          </w:tcPr>
          <w:p>
            <w:pPr>
              <w:spacing w:after="0"/>
              <w:rPr>
                <w:sz w:val="9"/>
                <w:szCs w:val="9"/>
                <w:color w:val="auto"/>
              </w:rPr>
            </w:pP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9"/>
              </w:rPr>
              <w:t>Operating</w:t>
            </w: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4"/>
              </w:rPr>
              <w:t>service</w:t>
            </w:r>
          </w:p>
        </w:tc>
        <w:tc>
          <w:tcPr>
            <w:tcW w:w="70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and other</w:t>
            </w: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before</w:t>
            </w:r>
          </w:p>
        </w:tc>
        <w:tc>
          <w:tcPr>
            <w:tcW w:w="52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9"/>
                <w:szCs w:val="9"/>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Effective tax</w:t>
            </w: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method</w:t>
            </w:r>
          </w:p>
        </w:tc>
        <w:tc>
          <w:tcPr>
            <w:tcW w:w="8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99"/>
              </w:rPr>
              <w:t>investment</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00" w:type="dxa"/>
            <w:vAlign w:val="bottom"/>
          </w:tcPr>
          <w:p>
            <w:pPr>
              <w:spacing w:after="0"/>
              <w:rPr>
                <w:sz w:val="9"/>
                <w:szCs w:val="9"/>
                <w:color w:val="auto"/>
              </w:rPr>
            </w:pPr>
          </w:p>
        </w:tc>
        <w:tc>
          <w:tcPr>
            <w:tcW w:w="9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attributable to</w:t>
            </w:r>
          </w:p>
        </w:tc>
        <w:tc>
          <w:tcPr>
            <w:tcW w:w="100" w:type="dxa"/>
            <w:vAlign w:val="bottom"/>
          </w:tcPr>
          <w:p>
            <w:pPr>
              <w:spacing w:after="0"/>
              <w:rPr>
                <w:sz w:val="9"/>
                <w:szCs w:val="9"/>
                <w:color w:val="auto"/>
              </w:rPr>
            </w:pPr>
          </w:p>
        </w:tc>
        <w:tc>
          <w:tcPr>
            <w:tcW w:w="84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98"/>
              </w:rPr>
              <w:t>attributable to</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expense /</w:t>
            </w:r>
          </w:p>
        </w:tc>
        <w:tc>
          <w:tcPr>
            <w:tcW w:w="70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expense,</w:t>
            </w: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8"/>
              </w:rPr>
              <w:t>income</w:t>
            </w:r>
          </w:p>
        </w:tc>
        <w:tc>
          <w:tcPr>
            <w:tcW w:w="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9"/>
              </w:rPr>
              <w:t>investment</w:t>
            </w:r>
          </w:p>
        </w:tc>
        <w:tc>
          <w:tcPr>
            <w:tcW w:w="8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96"/>
              </w:rPr>
              <w:t>net losses /</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interest</w:t>
            </w:r>
          </w:p>
        </w:tc>
        <w:tc>
          <w:tcPr>
            <w:tcW w:w="100" w:type="dxa"/>
            <w:vAlign w:val="bottom"/>
          </w:tcPr>
          <w:p>
            <w:pPr>
              <w:spacing w:after="0"/>
              <w:rPr>
                <w:sz w:val="9"/>
                <w:szCs w:val="9"/>
                <w:color w:val="auto"/>
              </w:rPr>
            </w:pPr>
          </w:p>
        </w:tc>
        <w:tc>
          <w:tcPr>
            <w:tcW w:w="9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9"/>
              </w:rPr>
              <w:t>Mondelēz</w:t>
            </w:r>
          </w:p>
        </w:tc>
        <w:tc>
          <w:tcPr>
            <w:tcW w:w="100" w:type="dxa"/>
            <w:vAlign w:val="bottom"/>
          </w:tcPr>
          <w:p>
            <w:pPr>
              <w:spacing w:after="0"/>
              <w:rPr>
                <w:sz w:val="9"/>
                <w:szCs w:val="9"/>
                <w:color w:val="auto"/>
              </w:rPr>
            </w:pPr>
          </w:p>
        </w:tc>
        <w:tc>
          <w:tcPr>
            <w:tcW w:w="84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9"/>
              </w:rPr>
              <w:t>Mondelēz</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8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10"/>
                <w:szCs w:val="10"/>
                <w:b w:val="1"/>
                <w:bCs w:val="1"/>
                <w:color w:val="auto"/>
              </w:rPr>
              <w:t>2026</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Income</w:t>
            </w:r>
          </w:p>
        </w:tc>
        <w:tc>
          <w:tcPr>
            <w:tcW w:w="80" w:type="dxa"/>
            <w:vAlign w:val="bottom"/>
          </w:tcPr>
          <w:p>
            <w:pPr>
              <w:spacing w:after="0"/>
              <w:rPr>
                <w:sz w:val="8"/>
                <w:szCs w:val="8"/>
                <w:color w:val="auto"/>
              </w:rPr>
            </w:pPr>
          </w:p>
        </w:tc>
        <w:tc>
          <w:tcPr>
            <w:tcW w:w="64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(income)</w:t>
            </w:r>
          </w:p>
        </w:tc>
        <w:tc>
          <w:tcPr>
            <w:tcW w:w="100" w:type="dxa"/>
            <w:vAlign w:val="bottom"/>
          </w:tcPr>
          <w:p>
            <w:pPr>
              <w:spacing w:after="0"/>
              <w:rPr>
                <w:sz w:val="8"/>
                <w:szCs w:val="8"/>
                <w:color w:val="auto"/>
              </w:rPr>
            </w:pPr>
          </w:p>
        </w:tc>
        <w:tc>
          <w:tcPr>
            <w:tcW w:w="60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net</w:t>
            </w:r>
          </w:p>
        </w:tc>
        <w:tc>
          <w:tcPr>
            <w:tcW w:w="80" w:type="dxa"/>
            <w:vAlign w:val="bottom"/>
          </w:tcPr>
          <w:p>
            <w:pPr>
              <w:spacing w:after="0"/>
              <w:rPr>
                <w:sz w:val="8"/>
                <w:szCs w:val="8"/>
                <w:color w:val="auto"/>
              </w:rPr>
            </w:pPr>
          </w:p>
        </w:tc>
        <w:tc>
          <w:tcPr>
            <w:tcW w:w="62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taxes</w:t>
            </w:r>
          </w:p>
        </w:tc>
        <w:tc>
          <w:tcPr>
            <w:tcW w:w="100" w:type="dxa"/>
            <w:vAlign w:val="bottom"/>
          </w:tcPr>
          <w:p>
            <w:pPr>
              <w:spacing w:after="0"/>
              <w:rPr>
                <w:sz w:val="8"/>
                <w:szCs w:val="8"/>
                <w:color w:val="auto"/>
              </w:rPr>
            </w:pPr>
          </w:p>
        </w:tc>
        <w:tc>
          <w:tcPr>
            <w:tcW w:w="420" w:type="dxa"/>
            <w:vAlign w:val="bottom"/>
          </w:tcPr>
          <w:p>
            <w:pPr>
              <w:jc w:val="center"/>
              <w:ind w:right="46"/>
              <w:spacing w:after="0" w:line="95" w:lineRule="exact"/>
              <w:rPr>
                <w:sz w:val="20"/>
                <w:szCs w:val="20"/>
                <w:color w:val="auto"/>
              </w:rPr>
            </w:pPr>
            <w:r>
              <w:rPr>
                <w:rFonts w:ascii="Arial" w:cs="Arial" w:eastAsia="Arial" w:hAnsi="Arial"/>
                <w:sz w:val="10"/>
                <w:szCs w:val="10"/>
                <w:b w:val="1"/>
                <w:bCs w:val="1"/>
                <w:color w:val="auto"/>
              </w:rPr>
              <w:t>taxes</w:t>
            </w:r>
          </w:p>
        </w:tc>
        <w:tc>
          <w:tcPr>
            <w:tcW w:w="80" w:type="dxa"/>
            <w:vAlign w:val="bottom"/>
          </w:tcPr>
          <w:p>
            <w:pPr>
              <w:spacing w:after="0"/>
              <w:rPr>
                <w:sz w:val="8"/>
                <w:szCs w:val="8"/>
                <w:color w:val="auto"/>
              </w:rPr>
            </w:pPr>
          </w:p>
        </w:tc>
        <w:tc>
          <w:tcPr>
            <w:tcW w:w="580" w:type="dxa"/>
            <w:vAlign w:val="bottom"/>
          </w:tcPr>
          <w:p>
            <w:pPr>
              <w:jc w:val="center"/>
              <w:ind w:left="89"/>
              <w:spacing w:after="0" w:line="95" w:lineRule="exact"/>
              <w:rPr>
                <w:sz w:val="20"/>
                <w:szCs w:val="20"/>
                <w:color w:val="auto"/>
              </w:rPr>
            </w:pPr>
            <w:r>
              <w:rPr>
                <w:rFonts w:ascii="Arial" w:cs="Arial" w:eastAsia="Arial" w:hAnsi="Arial"/>
                <w:sz w:val="10"/>
                <w:szCs w:val="10"/>
                <w:b w:val="1"/>
                <w:bCs w:val="1"/>
                <w:color w:val="auto"/>
              </w:rPr>
              <w:t>rate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transactions</w:t>
            </w:r>
          </w:p>
        </w:tc>
        <w:tc>
          <w:tcPr>
            <w:tcW w:w="100" w:type="dxa"/>
            <w:vAlign w:val="bottom"/>
          </w:tcPr>
          <w:p>
            <w:pPr>
              <w:spacing w:after="0"/>
              <w:rPr>
                <w:sz w:val="8"/>
                <w:szCs w:val="8"/>
                <w:color w:val="auto"/>
              </w:rPr>
            </w:pPr>
          </w:p>
        </w:tc>
        <w:tc>
          <w:tcPr>
            <w:tcW w:w="70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8"/>
                <w:szCs w:val="8"/>
                <w:color w:val="auto"/>
              </w:rPr>
            </w:pPr>
          </w:p>
        </w:tc>
        <w:tc>
          <w:tcPr>
            <w:tcW w:w="72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8"/>
                <w:szCs w:val="8"/>
                <w:color w:val="auto"/>
              </w:rPr>
            </w:pPr>
          </w:p>
        </w:tc>
        <w:tc>
          <w:tcPr>
            <w:tcW w:w="96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International</w:t>
            </w:r>
          </w:p>
        </w:tc>
        <w:tc>
          <w:tcPr>
            <w:tcW w:w="100" w:type="dxa"/>
            <w:vAlign w:val="bottom"/>
          </w:tcPr>
          <w:p>
            <w:pPr>
              <w:spacing w:after="0"/>
              <w:rPr>
                <w:sz w:val="8"/>
                <w:szCs w:val="8"/>
                <w:color w:val="auto"/>
              </w:rPr>
            </w:pPr>
          </w:p>
        </w:tc>
        <w:tc>
          <w:tcPr>
            <w:tcW w:w="840" w:type="dxa"/>
            <w:vAlign w:val="bottom"/>
          </w:tcPr>
          <w:p>
            <w:pPr>
              <w:jc w:val="center"/>
              <w:ind w:right="46"/>
              <w:spacing w:after="0" w:line="95" w:lineRule="exact"/>
              <w:rPr>
                <w:sz w:val="20"/>
                <w:szCs w:val="20"/>
                <w:color w:val="auto"/>
              </w:rPr>
            </w:pPr>
            <w:r>
              <w:rPr>
                <w:rFonts w:ascii="Arial" w:cs="Arial" w:eastAsia="Arial" w:hAnsi="Arial"/>
                <w:sz w:val="10"/>
                <w:szCs w:val="10"/>
                <w:b w:val="1"/>
                <w:bCs w:val="1"/>
                <w:color w:val="auto"/>
              </w:rPr>
              <w:t>International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Reported (GAAP)</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4,512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202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4,395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1,016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23.1</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3,413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2.66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1"/>
                <w:szCs w:val="11"/>
                <w:color w:val="auto"/>
              </w:rPr>
              <w:t>Restructuring charges</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Intangible asset impairment charges</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48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0.04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20" w:type="dxa"/>
            <w:vAlign w:val="bottom"/>
            <w:gridSpan w:val="3"/>
          </w:tcPr>
          <w:p>
            <w:pPr>
              <w:spacing w:after="0"/>
              <w:rPr>
                <w:sz w:val="20"/>
                <w:szCs w:val="20"/>
                <w:color w:val="auto"/>
              </w:rPr>
            </w:pPr>
            <w:r>
              <w:rPr>
                <w:rFonts w:ascii="Arial" w:cs="Arial" w:eastAsia="Arial" w:hAnsi="Arial"/>
                <w:sz w:val="11"/>
                <w:szCs w:val="11"/>
                <w:color w:val="auto"/>
              </w:rPr>
              <w:t>Mark-to-market (gains)/losses from derivatives</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(1,097)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(223)</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(874)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(0.68)</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shd w:val="clear" w:color="auto" w:fill="CCEEFF"/>
          </w:tcPr>
          <w:p>
            <w:pPr>
              <w:spacing w:after="0"/>
              <w:rPr>
                <w:sz w:val="13"/>
                <w:szCs w:val="13"/>
                <w:color w:val="auto"/>
              </w:rPr>
            </w:pPr>
          </w:p>
        </w:tc>
        <w:tc>
          <w:tcPr>
            <w:tcW w:w="2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Acquisition-related items</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1"/>
                <w:szCs w:val="11"/>
                <w:color w:val="auto"/>
              </w:rPr>
              <w:t>Divestiture-related items</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Incremental costs due to geopolitical conflicts</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36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1"/>
                <w:szCs w:val="11"/>
                <w:color w:val="auto"/>
              </w:rPr>
              <w:t>ERP System Implementation costs</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129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Remeasurement of net monetary position</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0.01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1"/>
                <w:szCs w:val="11"/>
                <w:color w:val="auto"/>
              </w:rPr>
              <w:t>Pension participation changes</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Initial impacts from enacted tax law changes</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1"/>
                <w:szCs w:val="11"/>
                <w:color w:val="auto"/>
              </w:rPr>
              <w:t>Gain on marketable securities</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Loss on equity method investment transactions</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2420" w:type="dxa"/>
            <w:vAlign w:val="bottom"/>
            <w:tcBorders>
              <w:top w:val="single" w:sz="8" w:color="CCEEFF"/>
            </w:tcBorders>
            <w:gridSpan w:val="3"/>
          </w:tcPr>
          <w:p>
            <w:pPr>
              <w:spacing w:after="0"/>
              <w:rPr>
                <w:sz w:val="20"/>
                <w:szCs w:val="20"/>
                <w:color w:val="auto"/>
              </w:rPr>
            </w:pPr>
            <w:r>
              <w:rPr>
                <w:rFonts w:ascii="Arial" w:cs="Arial" w:eastAsia="Arial" w:hAnsi="Arial"/>
                <w:sz w:val="11"/>
                <w:szCs w:val="11"/>
                <w:b w:val="1"/>
                <w:bCs w:val="1"/>
                <w:color w:val="auto"/>
              </w:rPr>
              <w:t>Adjusted (Non-GAAP)</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3,788</w:t>
            </w: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(82)</w:t>
            </w: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196</w:t>
            </w: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3,674</w:t>
            </w: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916</w:t>
            </w:r>
          </w:p>
        </w:tc>
        <w:tc>
          <w:tcPr>
            <w:tcW w:w="660" w:type="dxa"/>
            <w:vAlign w:val="bottom"/>
            <w:tcBorders>
              <w:top w:val="single" w:sz="8" w:color="CCEEFF"/>
            </w:tcBorders>
            <w:gridSpan w:val="2"/>
          </w:tcPr>
          <w:p>
            <w:pPr>
              <w:jc w:val="right"/>
              <w:spacing w:after="0"/>
              <w:rPr>
                <w:sz w:val="20"/>
                <w:szCs w:val="20"/>
                <w:color w:val="auto"/>
              </w:rPr>
            </w:pPr>
            <w:r>
              <w:rPr>
                <w:rFonts w:ascii="Arial" w:cs="Arial" w:eastAsia="Arial" w:hAnsi="Arial"/>
                <w:sz w:val="11"/>
                <w:szCs w:val="11"/>
                <w:b w:val="1"/>
                <w:bCs w:val="1"/>
                <w:color w:val="auto"/>
              </w:rPr>
              <w:t>24.9</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(48)</w:t>
            </w: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w:t>
            </w: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2,794</w:t>
            </w: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2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color w:val="auto"/>
              </w:rPr>
              <w:t>Currency-related items</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66"/>
              <w:spacing w:after="0" w:line="119" w:lineRule="exact"/>
              <w:rPr>
                <w:sz w:val="20"/>
                <w:szCs w:val="20"/>
                <w:color w:val="auto"/>
              </w:rPr>
            </w:pPr>
            <w:r>
              <w:rPr>
                <w:rFonts w:ascii="Arial" w:cs="Arial" w:eastAsia="Arial" w:hAnsi="Arial"/>
                <w:sz w:val="11"/>
                <w:szCs w:val="11"/>
                <w:color w:val="auto"/>
              </w:rPr>
              <w:t>(88)</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ind w:right="66"/>
              <w:spacing w:after="0" w:line="119" w:lineRule="exact"/>
              <w:rPr>
                <w:sz w:val="20"/>
                <w:szCs w:val="20"/>
                <w:color w:val="auto"/>
              </w:rPr>
            </w:pPr>
            <w:r>
              <w:rPr>
                <w:rFonts w:ascii="Arial" w:cs="Arial" w:eastAsia="Arial" w:hAnsi="Arial"/>
                <w:sz w:val="11"/>
                <w:szCs w:val="11"/>
                <w:color w:val="auto"/>
              </w:rPr>
              <w:t>(0.07)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gridSpan w:val="3"/>
          </w:tcPr>
          <w:p>
            <w:pPr>
              <w:spacing w:after="0"/>
              <w:rPr>
                <w:sz w:val="20"/>
                <w:szCs w:val="20"/>
                <w:color w:val="auto"/>
              </w:rPr>
            </w:pPr>
            <w:r>
              <w:rPr>
                <w:rFonts w:ascii="Arial" w:cs="Arial" w:eastAsia="Arial" w:hAnsi="Arial"/>
                <w:sz w:val="11"/>
                <w:szCs w:val="11"/>
                <w:b w:val="1"/>
                <w:bCs w:val="1"/>
                <w:color w:val="auto"/>
              </w:rPr>
              <w:t>Adjusted @ Constant FX (Non-GAAP)</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2,706</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2.11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Diluted Average Shares Outstanding</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1,284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20" w:type="dxa"/>
            <w:vAlign w:val="bottom"/>
            <w:gridSpan w:val="3"/>
          </w:tcPr>
          <w:p>
            <w:pPr>
              <w:spacing w:after="0"/>
              <w:rPr>
                <w:sz w:val="20"/>
                <w:szCs w:val="20"/>
                <w:color w:val="auto"/>
              </w:rPr>
            </w:pPr>
            <w:r>
              <w:rPr>
                <w:rFonts w:ascii="Arial" w:cs="Arial" w:eastAsia="Arial" w:hAnsi="Arial"/>
                <w:sz w:val="11"/>
                <w:szCs w:val="11"/>
                <w:color w:val="auto"/>
              </w:rPr>
              <w:t>% Change - Reported (GAAP)</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91.1 %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94.2 %</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shd w:val="clear" w:color="auto" w:fill="CCEEFF"/>
          </w:tcPr>
          <w:p>
            <w:pPr>
              <w:spacing w:after="0"/>
              <w:rPr>
                <w:sz w:val="13"/>
                <w:szCs w:val="13"/>
                <w:color w:val="auto"/>
              </w:rPr>
            </w:pPr>
          </w:p>
        </w:tc>
        <w:tc>
          <w:tcPr>
            <w:tcW w:w="2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 Change - Adjusted (Non-GAAP)</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gridSpan w:val="3"/>
          </w:tcPr>
          <w:p>
            <w:pPr>
              <w:spacing w:after="0" w:line="109" w:lineRule="exact"/>
              <w:rPr>
                <w:sz w:val="20"/>
                <w:szCs w:val="20"/>
                <w:color w:val="auto"/>
              </w:rPr>
            </w:pPr>
            <w:r>
              <w:rPr>
                <w:rFonts w:ascii="Arial" w:cs="Arial" w:eastAsia="Arial" w:hAnsi="Arial"/>
                <w:sz w:val="11"/>
                <w:szCs w:val="11"/>
                <w:color w:val="auto"/>
              </w:rPr>
              <w:t>% Change - Adjusted @ Constant FX (Non-</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(5.3)%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1"/>
                <w:szCs w:val="11"/>
                <w:color w:val="auto"/>
              </w:rPr>
              <w:t>GAAP)</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Benefit</w:t>
            </w:r>
          </w:p>
        </w:tc>
        <w:tc>
          <w:tcPr>
            <w:tcW w:w="100" w:type="dxa"/>
            <w:vAlign w:val="bottom"/>
          </w:tcPr>
          <w:p>
            <w:pPr>
              <w:spacing w:after="0"/>
              <w:rPr>
                <w:sz w:val="24"/>
                <w:szCs w:val="24"/>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Interest</w:t>
            </w:r>
          </w:p>
        </w:tc>
        <w:tc>
          <w:tcPr>
            <w:tcW w:w="80" w:type="dxa"/>
            <w:vAlign w:val="bottom"/>
          </w:tcPr>
          <w:p>
            <w:pPr>
              <w:spacing w:after="0"/>
              <w:rPr>
                <w:sz w:val="24"/>
                <w:szCs w:val="24"/>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7"/>
              </w:rPr>
              <w:t>Earnings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6"/>
              </w:rPr>
              <w:t>Gain on equity</w:t>
            </w:r>
          </w:p>
        </w:tc>
        <w:tc>
          <w:tcPr>
            <w:tcW w:w="100" w:type="dxa"/>
            <w:vAlign w:val="bottom"/>
          </w:tcPr>
          <w:p>
            <w:pPr>
              <w:spacing w:after="0"/>
              <w:rPr>
                <w:sz w:val="24"/>
                <w:szCs w:val="2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Equity</w:t>
            </w:r>
          </w:p>
        </w:tc>
        <w:tc>
          <w:tcPr>
            <w:tcW w:w="80" w:type="dxa"/>
            <w:vAlign w:val="bottom"/>
          </w:tcPr>
          <w:p>
            <w:pPr>
              <w:spacing w:after="0"/>
              <w:rPr>
                <w:sz w:val="24"/>
                <w:szCs w:val="24"/>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rPr>
                <w:sz w:val="24"/>
                <w:szCs w:val="24"/>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7"/>
              </w:rPr>
              <w:t>Net Earnings</w:t>
            </w:r>
          </w:p>
        </w:tc>
        <w:tc>
          <w:tcPr>
            <w:tcW w:w="100" w:type="dxa"/>
            <w:vAlign w:val="bottom"/>
          </w:tcPr>
          <w:p>
            <w:pPr>
              <w:spacing w:after="0"/>
              <w:rPr>
                <w:sz w:val="24"/>
                <w:szCs w:val="24"/>
                <w:color w:val="auto"/>
              </w:rPr>
            </w:pPr>
          </w:p>
        </w:tc>
        <w:tc>
          <w:tcPr>
            <w:tcW w:w="84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9"/>
              </w:rPr>
              <w:t>Diluted EPS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6"/>
              </w:rPr>
              <w:t>plan non-</w:t>
            </w: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method</w:t>
            </w: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For the Nine Months Ended September 30,</w:t>
            </w:r>
          </w:p>
        </w:tc>
        <w:tc>
          <w:tcPr>
            <w:tcW w:w="80" w:type="dxa"/>
            <w:vAlign w:val="bottom"/>
          </w:tcPr>
          <w:p>
            <w:pPr>
              <w:spacing w:after="0"/>
              <w:rPr>
                <w:sz w:val="9"/>
                <w:szCs w:val="9"/>
                <w:color w:val="auto"/>
              </w:rPr>
            </w:pP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9"/>
              </w:rPr>
              <w:t>Operating</w:t>
            </w: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4"/>
              </w:rPr>
              <w:t>service</w:t>
            </w:r>
          </w:p>
        </w:tc>
        <w:tc>
          <w:tcPr>
            <w:tcW w:w="70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and other</w:t>
            </w: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before</w:t>
            </w:r>
          </w:p>
        </w:tc>
        <w:tc>
          <w:tcPr>
            <w:tcW w:w="52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9"/>
                <w:szCs w:val="9"/>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Effective tax</w:t>
            </w: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method</w:t>
            </w:r>
          </w:p>
        </w:tc>
        <w:tc>
          <w:tcPr>
            <w:tcW w:w="8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99"/>
              </w:rPr>
              <w:t>investment</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00" w:type="dxa"/>
            <w:vAlign w:val="bottom"/>
          </w:tcPr>
          <w:p>
            <w:pPr>
              <w:spacing w:after="0"/>
              <w:rPr>
                <w:sz w:val="9"/>
                <w:szCs w:val="9"/>
                <w:color w:val="auto"/>
              </w:rPr>
            </w:pPr>
          </w:p>
        </w:tc>
        <w:tc>
          <w:tcPr>
            <w:tcW w:w="9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attributable to</w:t>
            </w:r>
          </w:p>
        </w:tc>
        <w:tc>
          <w:tcPr>
            <w:tcW w:w="100" w:type="dxa"/>
            <w:vAlign w:val="bottom"/>
          </w:tcPr>
          <w:p>
            <w:pPr>
              <w:spacing w:after="0"/>
              <w:rPr>
                <w:sz w:val="9"/>
                <w:szCs w:val="9"/>
                <w:color w:val="auto"/>
              </w:rPr>
            </w:pPr>
          </w:p>
        </w:tc>
        <w:tc>
          <w:tcPr>
            <w:tcW w:w="84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98"/>
              </w:rPr>
              <w:t>attributable to</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expense /</w:t>
            </w:r>
          </w:p>
        </w:tc>
        <w:tc>
          <w:tcPr>
            <w:tcW w:w="70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expense,</w:t>
            </w: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8"/>
              </w:rPr>
              <w:t>income</w:t>
            </w:r>
          </w:p>
        </w:tc>
        <w:tc>
          <w:tcPr>
            <w:tcW w:w="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9"/>
              </w:rPr>
              <w:t>investment</w:t>
            </w:r>
          </w:p>
        </w:tc>
        <w:tc>
          <w:tcPr>
            <w:tcW w:w="8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96"/>
              </w:rPr>
              <w:t>net losses /</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interest</w:t>
            </w:r>
          </w:p>
        </w:tc>
        <w:tc>
          <w:tcPr>
            <w:tcW w:w="100" w:type="dxa"/>
            <w:vAlign w:val="bottom"/>
          </w:tcPr>
          <w:p>
            <w:pPr>
              <w:spacing w:after="0"/>
              <w:rPr>
                <w:sz w:val="9"/>
                <w:szCs w:val="9"/>
                <w:color w:val="auto"/>
              </w:rPr>
            </w:pPr>
          </w:p>
        </w:tc>
        <w:tc>
          <w:tcPr>
            <w:tcW w:w="9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9"/>
              </w:rPr>
              <w:t>Mondelēz</w:t>
            </w:r>
          </w:p>
        </w:tc>
        <w:tc>
          <w:tcPr>
            <w:tcW w:w="100" w:type="dxa"/>
            <w:vAlign w:val="bottom"/>
          </w:tcPr>
          <w:p>
            <w:pPr>
              <w:spacing w:after="0"/>
              <w:rPr>
                <w:sz w:val="9"/>
                <w:szCs w:val="9"/>
                <w:color w:val="auto"/>
              </w:rPr>
            </w:pPr>
          </w:p>
        </w:tc>
        <w:tc>
          <w:tcPr>
            <w:tcW w:w="84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9"/>
              </w:rPr>
              <w:t>Mondelēz</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8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10"/>
                <w:szCs w:val="10"/>
                <w:b w:val="1"/>
                <w:bCs w:val="1"/>
                <w:color w:val="auto"/>
              </w:rPr>
              <w:t>2025</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Income</w:t>
            </w:r>
          </w:p>
        </w:tc>
        <w:tc>
          <w:tcPr>
            <w:tcW w:w="80" w:type="dxa"/>
            <w:vAlign w:val="bottom"/>
          </w:tcPr>
          <w:p>
            <w:pPr>
              <w:spacing w:after="0"/>
              <w:rPr>
                <w:sz w:val="8"/>
                <w:szCs w:val="8"/>
                <w:color w:val="auto"/>
              </w:rPr>
            </w:pPr>
          </w:p>
        </w:tc>
        <w:tc>
          <w:tcPr>
            <w:tcW w:w="64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(income)</w:t>
            </w:r>
          </w:p>
        </w:tc>
        <w:tc>
          <w:tcPr>
            <w:tcW w:w="100" w:type="dxa"/>
            <w:vAlign w:val="bottom"/>
          </w:tcPr>
          <w:p>
            <w:pPr>
              <w:spacing w:after="0"/>
              <w:rPr>
                <w:sz w:val="8"/>
                <w:szCs w:val="8"/>
                <w:color w:val="auto"/>
              </w:rPr>
            </w:pPr>
          </w:p>
        </w:tc>
        <w:tc>
          <w:tcPr>
            <w:tcW w:w="60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net</w:t>
            </w:r>
          </w:p>
        </w:tc>
        <w:tc>
          <w:tcPr>
            <w:tcW w:w="80" w:type="dxa"/>
            <w:vAlign w:val="bottom"/>
          </w:tcPr>
          <w:p>
            <w:pPr>
              <w:spacing w:after="0"/>
              <w:rPr>
                <w:sz w:val="8"/>
                <w:szCs w:val="8"/>
                <w:color w:val="auto"/>
              </w:rPr>
            </w:pPr>
          </w:p>
        </w:tc>
        <w:tc>
          <w:tcPr>
            <w:tcW w:w="62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taxes</w:t>
            </w:r>
          </w:p>
        </w:tc>
        <w:tc>
          <w:tcPr>
            <w:tcW w:w="100" w:type="dxa"/>
            <w:vAlign w:val="bottom"/>
          </w:tcPr>
          <w:p>
            <w:pPr>
              <w:spacing w:after="0"/>
              <w:rPr>
                <w:sz w:val="8"/>
                <w:szCs w:val="8"/>
                <w:color w:val="auto"/>
              </w:rPr>
            </w:pPr>
          </w:p>
        </w:tc>
        <w:tc>
          <w:tcPr>
            <w:tcW w:w="420" w:type="dxa"/>
            <w:vAlign w:val="bottom"/>
          </w:tcPr>
          <w:p>
            <w:pPr>
              <w:jc w:val="center"/>
              <w:ind w:right="46"/>
              <w:spacing w:after="0" w:line="95" w:lineRule="exact"/>
              <w:rPr>
                <w:sz w:val="20"/>
                <w:szCs w:val="20"/>
                <w:color w:val="auto"/>
              </w:rPr>
            </w:pPr>
            <w:r>
              <w:rPr>
                <w:rFonts w:ascii="Arial" w:cs="Arial" w:eastAsia="Arial" w:hAnsi="Arial"/>
                <w:sz w:val="10"/>
                <w:szCs w:val="10"/>
                <w:b w:val="1"/>
                <w:bCs w:val="1"/>
                <w:color w:val="auto"/>
              </w:rPr>
              <w:t>taxes</w:t>
            </w:r>
          </w:p>
        </w:tc>
        <w:tc>
          <w:tcPr>
            <w:tcW w:w="80" w:type="dxa"/>
            <w:vAlign w:val="bottom"/>
          </w:tcPr>
          <w:p>
            <w:pPr>
              <w:spacing w:after="0"/>
              <w:rPr>
                <w:sz w:val="8"/>
                <w:szCs w:val="8"/>
                <w:color w:val="auto"/>
              </w:rPr>
            </w:pPr>
          </w:p>
        </w:tc>
        <w:tc>
          <w:tcPr>
            <w:tcW w:w="580" w:type="dxa"/>
            <w:vAlign w:val="bottom"/>
          </w:tcPr>
          <w:p>
            <w:pPr>
              <w:jc w:val="center"/>
              <w:ind w:left="89"/>
              <w:spacing w:after="0" w:line="95" w:lineRule="exact"/>
              <w:rPr>
                <w:sz w:val="20"/>
                <w:szCs w:val="20"/>
                <w:color w:val="auto"/>
              </w:rPr>
            </w:pPr>
            <w:r>
              <w:rPr>
                <w:rFonts w:ascii="Arial" w:cs="Arial" w:eastAsia="Arial" w:hAnsi="Arial"/>
                <w:sz w:val="10"/>
                <w:szCs w:val="10"/>
                <w:b w:val="1"/>
                <w:bCs w:val="1"/>
                <w:color w:val="auto"/>
              </w:rPr>
              <w:t>rate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transactions</w:t>
            </w:r>
          </w:p>
        </w:tc>
        <w:tc>
          <w:tcPr>
            <w:tcW w:w="100" w:type="dxa"/>
            <w:vAlign w:val="bottom"/>
          </w:tcPr>
          <w:p>
            <w:pPr>
              <w:spacing w:after="0"/>
              <w:rPr>
                <w:sz w:val="8"/>
                <w:szCs w:val="8"/>
                <w:color w:val="auto"/>
              </w:rPr>
            </w:pPr>
          </w:p>
        </w:tc>
        <w:tc>
          <w:tcPr>
            <w:tcW w:w="70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8"/>
                <w:szCs w:val="8"/>
                <w:color w:val="auto"/>
              </w:rPr>
            </w:pPr>
          </w:p>
        </w:tc>
        <w:tc>
          <w:tcPr>
            <w:tcW w:w="72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8"/>
                <w:szCs w:val="8"/>
                <w:color w:val="auto"/>
              </w:rPr>
            </w:pPr>
          </w:p>
        </w:tc>
        <w:tc>
          <w:tcPr>
            <w:tcW w:w="96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International</w:t>
            </w:r>
          </w:p>
        </w:tc>
        <w:tc>
          <w:tcPr>
            <w:tcW w:w="100" w:type="dxa"/>
            <w:vAlign w:val="bottom"/>
          </w:tcPr>
          <w:p>
            <w:pPr>
              <w:spacing w:after="0"/>
              <w:rPr>
                <w:sz w:val="8"/>
                <w:szCs w:val="8"/>
                <w:color w:val="auto"/>
              </w:rPr>
            </w:pPr>
          </w:p>
        </w:tc>
        <w:tc>
          <w:tcPr>
            <w:tcW w:w="840" w:type="dxa"/>
            <w:vAlign w:val="bottom"/>
          </w:tcPr>
          <w:p>
            <w:pPr>
              <w:jc w:val="center"/>
              <w:ind w:right="46"/>
              <w:spacing w:after="0" w:line="95" w:lineRule="exact"/>
              <w:rPr>
                <w:sz w:val="20"/>
                <w:szCs w:val="20"/>
                <w:color w:val="auto"/>
              </w:rPr>
            </w:pPr>
            <w:r>
              <w:rPr>
                <w:rFonts w:ascii="Arial" w:cs="Arial" w:eastAsia="Arial" w:hAnsi="Arial"/>
                <w:sz w:val="10"/>
                <w:szCs w:val="10"/>
                <w:b w:val="1"/>
                <w:bCs w:val="1"/>
                <w:color w:val="auto"/>
              </w:rPr>
              <w:t>International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Reported (GAAP)</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2,596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273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228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2,095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521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24.9</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1,786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1.37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1"/>
                <w:szCs w:val="11"/>
                <w:color w:val="auto"/>
              </w:rPr>
              <w:t>Restructuring charges</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Intangible asset impairment charges</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1"/>
                <w:szCs w:val="11"/>
                <w:color w:val="auto"/>
              </w:rPr>
              <w:t>Mark-to-market (gains)/losses from derivatives</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1,110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223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888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Acquisition-related items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0.01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1"/>
                <w:szCs w:val="11"/>
                <w:color w:val="auto"/>
              </w:rPr>
              <w:t>Divestiture-related items</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Incremental costs due to geopolitical conflicts</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1"/>
                <w:szCs w:val="11"/>
                <w:color w:val="auto"/>
              </w:rPr>
              <w:t>ERP System Implementation costs</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Remeasurement of net monetary position</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20" w:type="dxa"/>
            <w:vAlign w:val="bottom"/>
            <w:gridSpan w:val="3"/>
          </w:tcPr>
          <w:p>
            <w:pPr>
              <w:spacing w:after="0"/>
              <w:rPr>
                <w:sz w:val="20"/>
                <w:szCs w:val="20"/>
                <w:color w:val="auto"/>
              </w:rPr>
            </w:pPr>
            <w:r>
              <w:rPr>
                <w:rFonts w:ascii="Arial" w:cs="Arial" w:eastAsia="Arial" w:hAnsi="Arial"/>
                <w:sz w:val="11"/>
                <w:szCs w:val="11"/>
                <w:color w:val="auto"/>
              </w:rPr>
              <w:t>Pension participation changes</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343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87</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256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0.20</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shd w:val="clear" w:color="auto" w:fill="CCEEFF"/>
          </w:tcPr>
          <w:p>
            <w:pPr>
              <w:spacing w:after="0"/>
              <w:rPr>
                <w:sz w:val="13"/>
                <w:szCs w:val="13"/>
                <w:color w:val="auto"/>
              </w:rPr>
            </w:pPr>
          </w:p>
        </w:tc>
        <w:tc>
          <w:tcPr>
            <w:tcW w:w="2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Resolution of tax matters</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1"/>
                <w:szCs w:val="11"/>
                <w:color w:val="auto"/>
              </w:rPr>
              <w:t>Initial impacts from enacted tax law changes</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Gain on marketable securities</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242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Gain on equity method investment transactions</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(169)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(0.13)</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Adjusted (Non-GAAP)</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3,828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3,655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842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23.0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2,856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2.20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1"/>
                <w:szCs w:val="11"/>
                <w:b w:val="1"/>
                <w:bCs w:val="1"/>
                <w:color w:val="auto"/>
              </w:rPr>
              <w:t>Diluted Average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1,300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855" w:right="339" w:bottom="1440" w:gutter="0" w:footer="0" w:header="0"/>
        </w:sectPr>
      </w:pPr>
    </w:p>
    <w:bookmarkStart w:id="22" w:name="page23"/>
    <w:bookmarkEnd w:id="22"/>
    <w:p>
      <w:pPr>
        <w:ind w:left="7700"/>
        <w:spacing w:after="0"/>
        <w:rPr>
          <w:sz w:val="20"/>
          <w:szCs w:val="20"/>
          <w:color w:val="auto"/>
        </w:rPr>
      </w:pPr>
      <w:r>
        <w:rPr>
          <w:rFonts w:ascii="Arial" w:cs="Arial" w:eastAsia="Arial" w:hAnsi="Arial"/>
          <w:sz w:val="16"/>
          <w:szCs w:val="16"/>
          <w:u w:val="single" w:color="auto"/>
          <w:color w:val="auto"/>
        </w:rPr>
        <w:t>Schedule 7</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Mondelēz International, Inc. and Subsidiaries</w:t>
      </w:r>
    </w:p>
    <w:p>
      <w:pPr>
        <w:jc w:val="center"/>
        <w:ind w:right="20"/>
        <w:spacing w:after="0" w:line="211" w:lineRule="auto"/>
        <w:rPr>
          <w:sz w:val="20"/>
          <w:szCs w:val="20"/>
          <w:color w:val="auto"/>
        </w:rPr>
      </w:pPr>
      <w:r>
        <w:rPr>
          <w:rFonts w:ascii="Arial" w:cs="Arial" w:eastAsia="Arial" w:hAnsi="Arial"/>
          <w:sz w:val="16"/>
          <w:szCs w:val="16"/>
          <w:b w:val="1"/>
          <w:bCs w:val="1"/>
          <w:color w:val="auto"/>
        </w:rPr>
        <w:t>Reconciliation of GAAP to Non-GAAP Measures</w:t>
      </w:r>
    </w:p>
    <w:p>
      <w:pPr>
        <w:jc w:val="center"/>
        <w:ind w:right="20"/>
        <w:spacing w:after="0" w:line="211" w:lineRule="auto"/>
        <w:rPr>
          <w:sz w:val="20"/>
          <w:szCs w:val="20"/>
          <w:color w:val="auto"/>
        </w:rPr>
      </w:pPr>
      <w:r>
        <w:rPr>
          <w:rFonts w:ascii="Arial" w:cs="Arial" w:eastAsia="Arial" w:hAnsi="Arial"/>
          <w:sz w:val="16"/>
          <w:szCs w:val="16"/>
          <w:b w:val="1"/>
          <w:bCs w:val="1"/>
          <w:color w:val="auto"/>
        </w:rPr>
        <w:t>Net Cash Provided by Operating Activities to Free Cash Flow</w:t>
      </w:r>
    </w:p>
    <w:p>
      <w:pPr>
        <w:jc w:val="center"/>
        <w:ind w:right="20"/>
        <w:spacing w:after="0" w:line="211" w:lineRule="auto"/>
        <w:rPr>
          <w:sz w:val="20"/>
          <w:szCs w:val="20"/>
          <w:color w:val="auto"/>
        </w:rPr>
      </w:pPr>
      <w:r>
        <w:rPr>
          <w:rFonts w:ascii="Arial" w:cs="Arial" w:eastAsia="Arial" w:hAnsi="Arial"/>
          <w:sz w:val="16"/>
          <w:szCs w:val="16"/>
          <w:b w:val="1"/>
          <w:bCs w:val="1"/>
          <w:color w:val="auto"/>
        </w:rPr>
        <w:t>(in millions of U.S. dollars)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Nine Months Ended September 30,</w:t>
            </w:r>
          </w:p>
        </w:tc>
        <w:tc>
          <w:tcPr>
            <w:tcW w:w="300" w:type="dxa"/>
            <w:vAlign w:val="bottom"/>
          </w:tcPr>
          <w:p>
            <w:pPr>
              <w:spacing w:after="0"/>
              <w:rPr>
                <w:sz w:val="16"/>
                <w:szCs w:val="16"/>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
        </w:trPr>
        <w:tc>
          <w:tcPr>
            <w:tcW w:w="32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2,606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489</w:t>
            </w:r>
          </w:p>
        </w:tc>
      </w:tr>
      <w:tr>
        <w:trPr>
          <w:trHeight w:val="215"/>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35"/>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Free Cash Flow (Non-GAAP)</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1,659</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1,236</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423</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sectPr>
      <w:pgSz w:w="11900" w:h="16838" w:orient="portrait"/>
      <w:cols w:equalWidth="0" w:num="1">
        <w:col w:w="9500"/>
      </w:cols>
      <w:pgMar w:left="1200" w:top="935"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2026-10-29T16:04:30Z</dcterms:created>
  <dcterms:modified xsi:type="dcterms:W3CDTF">2026-10-29T16:04:30Z</dcterms:modified>
</cp:coreProperties>
</file>