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 w:lineRule="exact"/>
        <w:rPr>
          <w:sz w:val="24"/>
          <w:szCs w:val="24"/>
          <w:color w:val="auto"/>
        </w:rPr>
      </w:pPr>
    </w:p>
    <w:p>
      <w:pPr>
        <w:ind w:left="1140" w:right="100" w:hanging="794"/>
        <w:spacing w:after="0" w:line="238"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1140" w:right="100" w:hanging="794"/>
        <w:spacing w:after="0" w:line="261"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2" w:lineRule="exact"/>
        <w:rPr>
          <w:sz w:val="24"/>
          <w:szCs w:val="24"/>
          <w:color w:val="auto"/>
        </w:rPr>
      </w:pPr>
    </w:p>
    <w:p>
      <w:pPr>
        <w:ind w:left="33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137795</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Mondelēz International,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1400" w:type="dxa"/>
        <w:tblCellMar>
          <w:top w:w="0" w:type="dxa"/>
          <w:left w:w="0" w:type="dxa"/>
          <w:bottom w:w="0" w:type="dxa"/>
          <w:right w:w="0" w:type="dxa"/>
        </w:tblCellMar>
      </w:tblPr>
      <w:tr>
        <w:trPr>
          <w:trHeight w:val="225"/>
        </w:trPr>
        <w:tc>
          <w:tcPr>
            <w:tcW w:w="4780" w:type="dxa"/>
            <w:vAlign w:val="bottom"/>
          </w:tcPr>
          <w:p>
            <w:pPr>
              <w:jc w:val="center"/>
              <w:ind w:right="1692"/>
              <w:spacing w:after="0"/>
              <w:rPr>
                <w:sz w:val="20"/>
                <w:szCs w:val="20"/>
                <w:color w:val="auto"/>
              </w:rPr>
            </w:pPr>
            <w:r>
              <w:rPr>
                <w:rFonts w:ascii="Arial" w:cs="Arial" w:eastAsia="Arial" w:hAnsi="Arial"/>
                <w:sz w:val="18"/>
                <w:szCs w:val="18"/>
                <w:b w:val="1"/>
                <w:bCs w:val="1"/>
                <w:color w:val="auto"/>
                <w:w w:val="96"/>
              </w:rPr>
              <w:t>Virginia</w:t>
            </w:r>
          </w:p>
        </w:tc>
        <w:tc>
          <w:tcPr>
            <w:tcW w:w="3160" w:type="dxa"/>
            <w:vAlign w:val="bottom"/>
          </w:tcPr>
          <w:p>
            <w:pPr>
              <w:jc w:val="right"/>
              <w:ind w:right="132"/>
              <w:spacing w:after="0"/>
              <w:rPr>
                <w:sz w:val="20"/>
                <w:szCs w:val="20"/>
                <w:color w:val="auto"/>
              </w:rPr>
            </w:pPr>
            <w:r>
              <w:rPr>
                <w:rFonts w:ascii="Arial" w:cs="Arial" w:eastAsia="Arial" w:hAnsi="Arial"/>
                <w:sz w:val="18"/>
                <w:szCs w:val="18"/>
                <w:b w:val="1"/>
                <w:bCs w:val="1"/>
                <w:color w:val="auto"/>
              </w:rPr>
              <w:t>52-2284372</w:t>
            </w:r>
          </w:p>
        </w:tc>
      </w:tr>
      <w:tr>
        <w:trPr>
          <w:trHeight w:val="203"/>
        </w:trPr>
        <w:tc>
          <w:tcPr>
            <w:tcW w:w="4780" w:type="dxa"/>
            <w:vAlign w:val="bottom"/>
          </w:tcPr>
          <w:p>
            <w:pPr>
              <w:jc w:val="center"/>
              <w:ind w:right="1712"/>
              <w:spacing w:after="0" w:line="202" w:lineRule="exact"/>
              <w:rPr>
                <w:sz w:val="20"/>
                <w:szCs w:val="20"/>
                <w:color w:val="auto"/>
              </w:rPr>
            </w:pPr>
            <w:r>
              <w:rPr>
                <w:rFonts w:ascii="Arial" w:cs="Arial" w:eastAsia="Arial" w:hAnsi="Arial"/>
                <w:sz w:val="18"/>
                <w:szCs w:val="18"/>
                <w:color w:val="auto"/>
                <w:w w:val="96"/>
              </w:rPr>
              <w:t>(State or other jurisdiction of</w:t>
            </w:r>
          </w:p>
        </w:tc>
        <w:tc>
          <w:tcPr>
            <w:tcW w:w="3160" w:type="dxa"/>
            <w:vAlign w:val="bottom"/>
          </w:tcPr>
          <w:p>
            <w:pPr>
              <w:jc w:val="center"/>
              <w:ind w:left="1692"/>
              <w:spacing w:after="0" w:line="202" w:lineRule="exact"/>
              <w:rPr>
                <w:sz w:val="20"/>
                <w:szCs w:val="20"/>
                <w:color w:val="auto"/>
              </w:rPr>
            </w:pPr>
            <w:r>
              <w:rPr>
                <w:rFonts w:ascii="Arial" w:cs="Arial" w:eastAsia="Arial" w:hAnsi="Arial"/>
                <w:sz w:val="18"/>
                <w:szCs w:val="18"/>
                <w:color w:val="auto"/>
                <w:w w:val="98"/>
              </w:rPr>
              <w:t>(I.R.S. Employer</w:t>
            </w:r>
          </w:p>
        </w:tc>
      </w:tr>
      <w:tr>
        <w:trPr>
          <w:trHeight w:val="211"/>
        </w:trPr>
        <w:tc>
          <w:tcPr>
            <w:tcW w:w="4780" w:type="dxa"/>
            <w:vAlign w:val="bottom"/>
          </w:tcPr>
          <w:p>
            <w:pPr>
              <w:jc w:val="center"/>
              <w:ind w:right="1712"/>
              <w:spacing w:after="0"/>
              <w:rPr>
                <w:sz w:val="20"/>
                <w:szCs w:val="20"/>
                <w:color w:val="auto"/>
              </w:rPr>
            </w:pPr>
            <w:r>
              <w:rPr>
                <w:rFonts w:ascii="Arial" w:cs="Arial" w:eastAsia="Arial" w:hAnsi="Arial"/>
                <w:sz w:val="18"/>
                <w:szCs w:val="18"/>
                <w:color w:val="auto"/>
                <w:w w:val="98"/>
              </w:rPr>
              <w:t>incorporation or organization)</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8"/>
              </w:rPr>
              <w:t>Identification No.)</w:t>
            </w:r>
          </w:p>
        </w:tc>
      </w:tr>
      <w:tr>
        <w:trPr>
          <w:trHeight w:val="402"/>
        </w:trPr>
        <w:tc>
          <w:tcPr>
            <w:tcW w:w="4780" w:type="dxa"/>
            <w:vAlign w:val="bottom"/>
          </w:tcPr>
          <w:p>
            <w:pPr>
              <w:ind w:left="560"/>
              <w:spacing w:after="0"/>
              <w:rPr>
                <w:sz w:val="20"/>
                <w:szCs w:val="20"/>
                <w:color w:val="auto"/>
              </w:rPr>
            </w:pPr>
            <w:r>
              <w:rPr>
                <w:rFonts w:ascii="Arial" w:cs="Arial" w:eastAsia="Arial" w:hAnsi="Arial"/>
                <w:sz w:val="18"/>
                <w:szCs w:val="18"/>
                <w:b w:val="1"/>
                <w:bCs w:val="1"/>
                <w:color w:val="auto"/>
              </w:rPr>
              <w:t>Three Parkway North,</w:t>
            </w:r>
          </w:p>
        </w:tc>
        <w:tc>
          <w:tcPr>
            <w:tcW w:w="3160" w:type="dxa"/>
            <w:vAlign w:val="bottom"/>
          </w:tcPr>
          <w:p>
            <w:pPr>
              <w:spacing w:after="0"/>
              <w:rPr>
                <w:sz w:val="24"/>
                <w:szCs w:val="24"/>
                <w:color w:val="auto"/>
              </w:rPr>
            </w:pPr>
          </w:p>
        </w:tc>
      </w:tr>
      <w:tr>
        <w:trPr>
          <w:trHeight w:val="225"/>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Deerfield, Illinois</w:t>
            </w: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60015</w:t>
            </w:r>
          </w:p>
        </w:tc>
      </w:tr>
      <w:tr>
        <w:trPr>
          <w:trHeight w:val="211"/>
        </w:trPr>
        <w:tc>
          <w:tcPr>
            <w:tcW w:w="4780" w:type="dxa"/>
            <w:vAlign w:val="bottom"/>
          </w:tcPr>
          <w:p>
            <w:pPr>
              <w:jc w:val="center"/>
              <w:ind w:right="1692"/>
              <w:spacing w:after="0"/>
              <w:rPr>
                <w:sz w:val="20"/>
                <w:szCs w:val="20"/>
                <w:color w:val="auto"/>
              </w:rPr>
            </w:pPr>
            <w:r>
              <w:rPr>
                <w:rFonts w:ascii="Arial" w:cs="Arial" w:eastAsia="Arial" w:hAnsi="Arial"/>
                <w:sz w:val="18"/>
                <w:szCs w:val="18"/>
                <w:color w:val="auto"/>
                <w:w w:val="97"/>
              </w:rPr>
              <w:t>(Address of principal executive offices)</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6"/>
              </w:rPr>
              <w:t>(Zip Code)</w:t>
            </w:r>
          </w:p>
        </w:tc>
      </w:tr>
    </w:tbl>
    <w:p>
      <w:pPr>
        <w:spacing w:after="0" w:line="132"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943-4000</w:t>
      </w:r>
    </w:p>
    <w:p>
      <w:pPr>
        <w:spacing w:after="0" w:line="158"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8"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12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34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ind w:left="2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4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0"/>
        </w:trPr>
        <w:tc>
          <w:tcPr>
            <w:tcW w:w="6300" w:type="dxa"/>
            <w:vAlign w:val="bottom"/>
          </w:tcPr>
          <w:p>
            <w:pPr>
              <w:ind w:left="2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40" w:type="dxa"/>
            <w:vAlign w:val="bottom"/>
          </w:tcPr>
          <w:p>
            <w:pPr>
              <w:ind w:left="520"/>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300" w:type="dxa"/>
            <w:vAlign w:val="bottom"/>
          </w:tcPr>
          <w:p>
            <w:pPr>
              <w:ind w:left="2260"/>
              <w:spacing w:after="0"/>
              <w:rPr>
                <w:sz w:val="20"/>
                <w:szCs w:val="20"/>
                <w:color w:val="auto"/>
              </w:rPr>
            </w:pPr>
            <w:r>
              <w:rPr>
                <w:rFonts w:ascii="Arial" w:cs="Arial" w:eastAsia="Arial" w:hAnsi="Arial"/>
                <w:sz w:val="18"/>
                <w:szCs w:val="18"/>
                <w:color w:val="auto"/>
              </w:rPr>
              <w:t>(Do not check if a smaller reporting company)</w:t>
            </w:r>
          </w:p>
        </w:tc>
        <w:tc>
          <w:tcPr>
            <w:tcW w:w="2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940" w:type="dxa"/>
            <w:vAlign w:val="bottom"/>
            <w:gridSpan w:val="2"/>
          </w:tcPr>
          <w:p>
            <w:pPr>
              <w:spacing w:after="0"/>
              <w:rPr>
                <w:sz w:val="20"/>
                <w:szCs w:val="20"/>
                <w:color w:val="auto"/>
              </w:rPr>
            </w:pPr>
            <w:r>
              <w:rPr>
                <w:rFonts w:ascii="Arial" w:cs="Arial" w:eastAsia="Arial" w:hAnsi="Arial"/>
                <w:sz w:val="18"/>
                <w:szCs w:val="18"/>
                <w:color w:val="auto"/>
                <w:w w:val="99"/>
              </w:rPr>
              <w:t>Indicate by check mark whether the registrant is a shell company (as defined in Rule 12b-2 of the Exchange Act).</w:t>
            </w:r>
          </w:p>
        </w:tc>
        <w:tc>
          <w:tcPr>
            <w:tcW w:w="24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8"/>
        </w:trPr>
        <w:tc>
          <w:tcPr>
            <w:tcW w:w="8940" w:type="dxa"/>
            <w:vAlign w:val="bottom"/>
            <w:gridSpan w:val="2"/>
          </w:tcPr>
          <w:p>
            <w:pPr>
              <w:spacing w:after="0"/>
              <w:rPr>
                <w:sz w:val="20"/>
                <w:szCs w:val="20"/>
                <w:color w:val="auto"/>
              </w:rPr>
            </w:pPr>
            <w:r>
              <w:rPr>
                <w:rFonts w:ascii="Arial" w:cs="Arial" w:eastAsia="Arial" w:hAnsi="Arial"/>
                <w:sz w:val="18"/>
                <w:szCs w:val="18"/>
                <w:color w:val="auto"/>
              </w:rPr>
              <w:t>At July 22, 2016, there were 1,555,535,018 shares of the registrant’s Class A Common Stock outstanding.</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630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r>
      <w:tr>
        <w:trPr>
          <w:trHeight w:val="264"/>
        </w:trPr>
        <w:tc>
          <w:tcPr>
            <w:tcW w:w="1074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2"/>
                <w:szCs w:val="22"/>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w:t>
              </w:r>
            </w:hyperlink>
          </w:p>
        </w:tc>
        <w:tc>
          <w:tcPr>
            <w:tcW w:w="5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20" w:type="dxa"/>
            <w:vAlign w:val="bottom"/>
            <w:gridSpan w:val="2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and Six Months Ended June 30,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900" w:type="dxa"/>
            <w:vAlign w:val="bottom"/>
            <w:tcBorders>
              <w:top w:val="single" w:sz="8" w:color="0000EE"/>
            </w:tcBorders>
            <w:gridSpan w:val="18"/>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Three and Six Months Ended June 30, 2016 and 2015</w:t>
              </w:r>
            </w:hyperlink>
          </w:p>
        </w:tc>
        <w:tc>
          <w:tcPr>
            <w:tcW w:w="4520" w:type="dxa"/>
            <w:vAlign w:val="bottom"/>
            <w:gridSpan w:val="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at June 30, 2016 and December 31, 2015</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40" w:type="dxa"/>
            <w:vAlign w:val="bottom"/>
            <w:tcBorders>
              <w:top w:val="single" w:sz="8" w:color="0000EE"/>
            </w:tcBorders>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31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420" w:type="dxa"/>
            <w:vAlign w:val="bottom"/>
            <w:tcBorders>
              <w:top w:val="single" w:sz="8" w:color="0000EE"/>
            </w:tcBorders>
            <w:gridSpan w:val="10"/>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for the Year Ended December 31, 2015 and</w:t>
              </w:r>
            </w:hyperlink>
          </w:p>
        </w:tc>
        <w:tc>
          <w:tcPr>
            <w:tcW w:w="600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the Six Months Ended June 30, 2016</w:t>
              </w:r>
            </w:hyperlink>
          </w:p>
        </w:tc>
        <w:tc>
          <w:tcPr>
            <w:tcW w:w="500" w:type="dxa"/>
            <w:vAlign w:val="bottom"/>
            <w:tcBorders>
              <w:top w:val="single" w:sz="8" w:color="0000EE"/>
            </w:tcBorders>
          </w:tcPr>
          <w:p>
            <w:pPr>
              <w:spacing w:after="0"/>
              <w:rPr>
                <w:sz w:val="15"/>
                <w:szCs w:val="15"/>
                <w:color w:val="auto"/>
              </w:rPr>
            </w:pPr>
          </w:p>
        </w:tc>
        <w:tc>
          <w:tcPr>
            <w:tcW w:w="6040" w:type="dxa"/>
            <w:vAlign w:val="bottom"/>
            <w:gridSpan w:val="1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w:t>
              </w:r>
            </w:hyperlink>
          </w:p>
        </w:tc>
        <w:tc>
          <w:tcPr>
            <w:tcW w:w="556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2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for the Six Months Ended June 30, 2016 and 2015</w:t>
              </w:r>
            </w:hyperlink>
          </w:p>
        </w:tc>
        <w:tc>
          <w:tcPr>
            <w:tcW w:w="5500" w:type="dxa"/>
            <w:vAlign w:val="bottom"/>
            <w:gridSpan w:val="8"/>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2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5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Quantitative and Qualitative Disclosures about Market Risk</w:t>
              </w:r>
            </w:hyperlink>
          </w:p>
        </w:tc>
        <w:tc>
          <w:tcPr>
            <w:tcW w:w="2320" w:type="dxa"/>
            <w:vAlign w:val="bottom"/>
            <w:tcBorders>
              <w:top w:val="single" w:sz="8" w:color="0000EE"/>
            </w:tcBorders>
            <w:gridSpan w:val="5"/>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2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0740" w:type="dxa"/>
            <w:vAlign w:val="bottom"/>
            <w:gridSpan w:val="24"/>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 - OTHER INFORMATION</w:t>
              </w:r>
            </w:hyperlink>
          </w:p>
        </w:tc>
        <w:tc>
          <w:tcPr>
            <w:tcW w:w="580" w:type="dxa"/>
            <w:vAlign w:val="bottom"/>
          </w:tcPr>
          <w:p>
            <w:pPr>
              <w:spacing w:after="0"/>
              <w:rPr>
                <w:sz w:val="24"/>
                <w:szCs w:val="24"/>
                <w:color w:val="auto"/>
              </w:rPr>
            </w:pPr>
          </w:p>
        </w:tc>
      </w:tr>
      <w:tr>
        <w:trPr>
          <w:trHeight w:val="291"/>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Legal Proceedings</w:t>
              </w:r>
            </w:hyperlink>
          </w:p>
        </w:tc>
        <w:tc>
          <w:tcPr>
            <w:tcW w:w="100" w:type="dxa"/>
            <w:vAlign w:val="bottom"/>
            <w:tcBorders>
              <w:top w:val="single" w:sz="8" w:color="0000EE"/>
            </w:tcBorders>
          </w:tcPr>
          <w:p>
            <w:pPr>
              <w:spacing w:after="0"/>
              <w:rPr>
                <w:sz w:val="24"/>
                <w:szCs w:val="24"/>
                <w:color w:val="auto"/>
              </w:rPr>
            </w:pPr>
          </w:p>
        </w:tc>
        <w:tc>
          <w:tcPr>
            <w:tcW w:w="808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Risk Factors</w:t>
              </w:r>
            </w:hyperlink>
          </w:p>
        </w:tc>
        <w:tc>
          <w:tcPr>
            <w:tcW w:w="8660" w:type="dxa"/>
            <w:vAlign w:val="bottom"/>
            <w:gridSpan w:val="1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7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Unregistered Sales of Equity Securities and Use of Proceeds</w:t>
              </w:r>
            </w:hyperlink>
          </w:p>
        </w:tc>
        <w:tc>
          <w:tcPr>
            <w:tcW w:w="490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40" w:type="dxa"/>
            <w:vAlign w:val="bottom"/>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1"/>
        </w:trPr>
        <w:tc>
          <w:tcPr>
            <w:tcW w:w="760" w:type="dxa"/>
            <w:vAlign w:val="bottom"/>
            <w:tcBorders>
              <w:bottom w:val="single" w:sz="8" w:color="0000EE"/>
            </w:tcBorders>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Signature</w:t>
              </w:r>
            </w:hyperlink>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6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6,302</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7,661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12,757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4,595</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7,706</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3,066</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5,051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3,283</w:t>
            </w: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 and exit costs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Gain on divestiture</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1,360</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 net earnings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 earnings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earnings attributable to Mondelēz International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Basic earnings per share attributable to Mondelēz International</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0.30</w:t>
            </w:r>
          </w:p>
        </w:tc>
        <w:tc>
          <w:tcPr>
            <w:tcW w:w="240" w:type="dxa"/>
            <w:vAlign w:val="bottom"/>
          </w:tcPr>
          <w:p>
            <w:pPr>
              <w:spacing w:after="0"/>
              <w:rPr>
                <w:sz w:val="17"/>
                <w:szCs w:val="17"/>
                <w:color w:val="auto"/>
              </w:rPr>
            </w:pP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0.25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0.65</w:t>
            </w:r>
          </w:p>
        </w:tc>
        <w:tc>
          <w:tcPr>
            <w:tcW w:w="3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 earnings per share attributable to Mondelēz International</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Dividends declared</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7"/>
                <w:szCs w:val="17"/>
                <w:color w:val="auto"/>
              </w:rPr>
            </w:pPr>
          </w:p>
        </w:tc>
        <w:tc>
          <w:tcPr>
            <w:tcW w:w="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0.15</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0.34</w:t>
            </w:r>
          </w:p>
        </w:tc>
        <w:tc>
          <w:tcPr>
            <w:tcW w:w="3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471</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Other comprehensive earnings / (losses):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Currency translation adjustment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60"/>
              <w:spacing w:after="0" w:line="202" w:lineRule="exact"/>
              <w:rPr>
                <w:sz w:val="20"/>
                <w:szCs w:val="20"/>
                <w:color w:val="auto"/>
              </w:rPr>
            </w:pPr>
            <w:r>
              <w:rPr>
                <w:rFonts w:ascii="Arial" w:cs="Arial" w:eastAsia="Arial" w:hAnsi="Arial"/>
                <w:sz w:val="18"/>
                <w:szCs w:val="18"/>
                <w:color w:val="auto"/>
              </w:rPr>
              <w:t>Pension and other benefit plans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Derivative cash flow hedges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 other comprehensive earnings / (losses)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 / (losses)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952</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1,245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60"/>
              <w:spacing w:after="0" w:line="201" w:lineRule="exact"/>
              <w:rPr>
                <w:sz w:val="20"/>
                <w:szCs w:val="20"/>
                <w:color w:val="auto"/>
              </w:rPr>
            </w:pPr>
            <w:r>
              <w:rPr>
                <w:rFonts w:ascii="Arial" w:cs="Arial" w:eastAsia="Arial" w:hAnsi="Arial"/>
                <w:sz w:val="18"/>
                <w:szCs w:val="18"/>
                <w:color w:val="auto"/>
              </w:rPr>
              <w:t>less: Comprehensive earnings / (losses) attributable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340"/>
              <w:spacing w:after="0" w:line="203" w:lineRule="exact"/>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30</w:t>
            </w:r>
          </w:p>
        </w:tc>
        <w:tc>
          <w:tcPr>
            <w:tcW w:w="240" w:type="dxa"/>
            <w:vAlign w:val="bottom"/>
          </w:tcPr>
          <w:p>
            <w:pPr>
              <w:spacing w:after="0"/>
              <w:rPr>
                <w:sz w:val="17"/>
                <w:szCs w:val="17"/>
                <w:color w:val="auto"/>
              </w:rPr>
            </w:pPr>
          </w:p>
        </w:tc>
        <w:tc>
          <w:tcPr>
            <w:tcW w:w="122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earnings / (losses) attributable to Mondelēz</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International</w:t>
            </w:r>
          </w:p>
        </w:tc>
        <w:tc>
          <w:tcPr>
            <w:tcW w:w="7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77</w:t>
            </w:r>
          </w:p>
        </w:tc>
        <w:tc>
          <w:tcPr>
            <w:tcW w:w="4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922</w:t>
            </w:r>
          </w:p>
        </w:tc>
        <w:tc>
          <w:tcPr>
            <w:tcW w:w="2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1,236</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1,755</w:t>
            </w:r>
          </w:p>
        </w:tc>
        <w:tc>
          <w:tcPr>
            <w:tcW w:w="540" w:type="dxa"/>
            <w:vAlign w:val="bottom"/>
          </w:tcPr>
          <w:p>
            <w:pPr>
              <w:spacing w:after="0"/>
              <w:rPr>
                <w:sz w:val="17"/>
                <w:szCs w:val="17"/>
                <w:color w:val="auto"/>
              </w:rPr>
            </w:pPr>
          </w:p>
        </w:tc>
        <w:tc>
          <w:tcPr>
            <w:tcW w:w="220" w:type="dxa"/>
            <w:vAlign w:val="bottom"/>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Trade receivables (net of allowances of $58 at June 30, 2016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and $54 at December 31, 2015)</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2,796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Other receivables (net of allowances of $104 at June 30, 2016</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and $109 at December 31, 2015)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1,123</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592</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8,979</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8,425</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20,741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18,781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Prepaid pension 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5,618</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63,271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4,562</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Accrued marketing</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1,489</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employment costs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2,545</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12,996</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13,578</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Accrued pension costs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1,715</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postretirement health care costs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2,008</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35,595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34,743</w:t>
            </w:r>
          </w:p>
        </w:tc>
        <w:tc>
          <w:tcPr>
            <w:tcW w:w="0" w:type="dxa"/>
            <w:vAlign w:val="bottom"/>
          </w:tcPr>
          <w:p>
            <w:pPr>
              <w:spacing w:after="0"/>
              <w:rPr>
                <w:sz w:val="1"/>
                <w:szCs w:val="1"/>
                <w:color w:val="auto"/>
              </w:rPr>
            </w:pP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Common Stock, no par value (5,000,000,000 shares authorized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1,996,537,778 shares issued at June 30, 2016 and December 31, 2015)</w:t>
            </w:r>
          </w:p>
        </w:tc>
        <w:tc>
          <w:tcPr>
            <w:tcW w:w="160" w:type="dxa"/>
            <w:vAlign w:val="bottom"/>
          </w:tcPr>
          <w:p>
            <w:pPr>
              <w:spacing w:after="0"/>
              <w:rPr>
                <w:sz w:val="17"/>
                <w:szCs w:val="17"/>
                <w:color w:val="auto"/>
              </w:rPr>
            </w:pPr>
          </w:p>
        </w:tc>
        <w:tc>
          <w:tcPr>
            <w:tcW w:w="138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31,771</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21,127</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losses</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(9,768)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160"/>
              <w:spacing w:after="0" w:line="201" w:lineRule="exact"/>
              <w:rPr>
                <w:sz w:val="20"/>
                <w:szCs w:val="20"/>
                <w:color w:val="auto"/>
              </w:rPr>
            </w:pPr>
            <w:r>
              <w:rPr>
                <w:rFonts w:ascii="Arial" w:cs="Arial" w:eastAsia="Arial" w:hAnsi="Arial"/>
                <w:sz w:val="18"/>
                <w:szCs w:val="18"/>
                <w:color w:val="auto"/>
              </w:rPr>
              <w:t>Treasury stock, at cost (441,480,348 shares at June 30, 2016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340"/>
              <w:spacing w:after="0" w:line="203" w:lineRule="exact"/>
              <w:rPr>
                <w:sz w:val="20"/>
                <w:szCs w:val="20"/>
                <w:color w:val="auto"/>
              </w:rPr>
            </w:pPr>
            <w:r>
              <w:rPr>
                <w:rFonts w:ascii="Arial" w:cs="Arial" w:eastAsia="Arial" w:hAnsi="Arial"/>
                <w:sz w:val="18"/>
                <w:szCs w:val="18"/>
                <w:color w:val="auto"/>
              </w:rPr>
              <w:t>416,504,624 shares at December 31, 2015)</w:t>
            </w:r>
          </w:p>
        </w:tc>
        <w:tc>
          <w:tcPr>
            <w:tcW w:w="160" w:type="dxa"/>
            <w:vAlign w:val="bottom"/>
          </w:tcPr>
          <w:p>
            <w:pPr>
              <w:spacing w:after="0"/>
              <w:rPr>
                <w:sz w:val="18"/>
                <w:szCs w:val="18"/>
                <w:color w:val="auto"/>
              </w:rPr>
            </w:pPr>
          </w:p>
        </w:tc>
        <w:tc>
          <w:tcPr>
            <w:tcW w:w="138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(15,538)</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27,592</w:t>
            </w: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line="202" w:lineRule="exact"/>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27,676</w:t>
            </w:r>
          </w:p>
        </w:tc>
        <w:tc>
          <w:tcPr>
            <w:tcW w:w="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63,271</w:t>
            </w:r>
          </w:p>
        </w:tc>
        <w:tc>
          <w:tcPr>
            <w:tcW w:w="54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2"/>
          </w:tcPr>
          <w:p>
            <w:pPr>
              <w:ind w:left="520"/>
              <w:spacing w:after="0"/>
              <w:rPr>
                <w:sz w:val="20"/>
                <w:szCs w:val="20"/>
                <w:color w:val="auto"/>
              </w:rPr>
            </w:pPr>
            <w:r>
              <w:rPr>
                <w:rFonts w:ascii="Arial" w:cs="Arial" w:eastAsia="Arial" w:hAnsi="Arial"/>
                <w:sz w:val="14"/>
                <w:szCs w:val="14"/>
                <w:b w:val="1"/>
                <w:bCs w:val="1"/>
                <w:color w:val="auto"/>
              </w:rPr>
              <w:t>Mondelēz International Shareholders’ Equity</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 /</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75"/>
        </w:trPr>
        <w:tc>
          <w:tcPr>
            <w:tcW w:w="4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Equity</w:t>
            </w:r>
          </w:p>
        </w:tc>
      </w:tr>
      <w:tr>
        <w:trPr>
          <w:trHeight w:val="88"/>
        </w:trPr>
        <w:tc>
          <w:tcPr>
            <w:tcW w:w="4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Balances at January 1, 2015</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31,651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14,529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(7,318)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(11,112)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$27,853</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7,267</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7,291</w:t>
            </w:r>
          </w:p>
        </w:tc>
      </w:tr>
      <w:tr>
        <w:trPr>
          <w:trHeight w:val="162"/>
        </w:trPr>
        <w:tc>
          <w:tcPr>
            <w:tcW w:w="4240" w:type="dxa"/>
            <w:vAlign w:val="bottom"/>
          </w:tcPr>
          <w:p>
            <w:pPr>
              <w:ind w:left="160"/>
              <w:spacing w:after="0"/>
              <w:rPr>
                <w:sz w:val="20"/>
                <w:szCs w:val="20"/>
                <w:color w:val="auto"/>
              </w:rPr>
            </w:pPr>
            <w:r>
              <w:rPr>
                <w:rFonts w:ascii="Arial" w:cs="Arial" w:eastAsia="Arial" w:hAnsi="Arial"/>
                <w:sz w:val="14"/>
                <w:szCs w:val="14"/>
                <w:color w:val="auto"/>
              </w:rPr>
              <w:t>Other comprehensive losses, net of income taxes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(2,668)</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(2,694)</w:t>
            </w:r>
          </w:p>
        </w:tc>
      </w:tr>
      <w:tr>
        <w:trPr>
          <w:trHeight w:val="167"/>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272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311</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(3,622)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(3,622)</w:t>
            </w: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($0.64 per share)</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(1,026)</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(1,026)</w:t>
            </w:r>
          </w:p>
        </w:tc>
      </w:tr>
      <w:tr>
        <w:trPr>
          <w:trHeight w:val="167"/>
        </w:trPr>
        <w:tc>
          <w:tcPr>
            <w:tcW w:w="4240" w:type="dxa"/>
            <w:vAlign w:val="bottom"/>
          </w:tcPr>
          <w:p>
            <w:pPr>
              <w:spacing w:after="0"/>
              <w:rPr>
                <w:sz w:val="20"/>
                <w:szCs w:val="20"/>
                <w:color w:val="auto"/>
              </w:rPr>
            </w:pPr>
            <w:r>
              <w:rPr>
                <w:rFonts w:ascii="Arial" w:cs="Arial" w:eastAsia="Arial" w:hAnsi="Arial"/>
                <w:sz w:val="14"/>
                <w:szCs w:val="14"/>
                <w:color w:val="auto"/>
              </w:rPr>
              <w:t>Dividends paid on noncontrolling interest and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240" w:type="dxa"/>
            <w:vAlign w:val="bottom"/>
          </w:tcPr>
          <w:p>
            <w:pPr>
              <w:ind w:left="160"/>
              <w:spacing w:after="0" w:line="157" w:lineRule="exact"/>
              <w:rPr>
                <w:sz w:val="20"/>
                <w:szCs w:val="20"/>
                <w:color w:val="auto"/>
              </w:rPr>
            </w:pPr>
            <w:r>
              <w:rPr>
                <w:rFonts w:ascii="Arial" w:cs="Arial" w:eastAsia="Arial" w:hAnsi="Arial"/>
                <w:sz w:val="14"/>
                <w:szCs w:val="14"/>
                <w:color w:val="auto"/>
              </w:rPr>
              <w:t>other activities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4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w:t>
            </w: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(13)</w:t>
            </w:r>
          </w:p>
        </w:tc>
      </w:tr>
      <w:tr>
        <w:trPr>
          <w:trHeight w:val="27"/>
        </w:trPr>
        <w:tc>
          <w:tcPr>
            <w:tcW w:w="4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2015</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31,760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20,700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(9,986)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(14,462)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$28,100</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1,018</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1,028</w:t>
            </w:r>
          </w:p>
        </w:tc>
      </w:tr>
      <w:tr>
        <w:trPr>
          <w:trHeight w:val="167"/>
        </w:trPr>
        <w:tc>
          <w:tcPr>
            <w:tcW w:w="4240" w:type="dxa"/>
            <w:vAlign w:val="bottom"/>
          </w:tcPr>
          <w:p>
            <w:pPr>
              <w:ind w:left="160"/>
              <w:spacing w:after="0"/>
              <w:rPr>
                <w:sz w:val="20"/>
                <w:szCs w:val="20"/>
                <w:color w:val="auto"/>
              </w:rPr>
            </w:pPr>
            <w:r>
              <w:rPr>
                <w:rFonts w:ascii="Arial" w:cs="Arial" w:eastAsia="Arial" w:hAnsi="Arial"/>
                <w:sz w:val="14"/>
                <w:szCs w:val="14"/>
                <w:color w:val="auto"/>
              </w:rPr>
              <w:t>Other comprehensive earnings / (losses),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240" w:type="dxa"/>
            <w:vAlign w:val="bottom"/>
          </w:tcPr>
          <w:p>
            <w:pPr>
              <w:ind w:left="300"/>
              <w:spacing w:after="0" w:line="157" w:lineRule="exact"/>
              <w:rPr>
                <w:sz w:val="20"/>
                <w:szCs w:val="20"/>
                <w:color w:val="auto"/>
              </w:rPr>
            </w:pPr>
            <w:r>
              <w:rPr>
                <w:rFonts w:ascii="Arial" w:cs="Arial" w:eastAsia="Arial" w:hAnsi="Arial"/>
                <w:sz w:val="14"/>
                <w:szCs w:val="14"/>
                <w:color w:val="auto"/>
              </w:rPr>
              <w:t>net of income taxes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4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218</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217</w:t>
            </w:r>
          </w:p>
        </w:tc>
      </w:tr>
      <w:tr>
        <w:trPr>
          <w:trHeight w:val="167"/>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236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189</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(1,312)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(1,312)</w:t>
            </w: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($0.34 per share)</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(533)</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(533)</w:t>
            </w:r>
          </w:p>
        </w:tc>
      </w:tr>
      <w:tr>
        <w:trPr>
          <w:trHeight w:val="167"/>
        </w:trPr>
        <w:tc>
          <w:tcPr>
            <w:tcW w:w="4240" w:type="dxa"/>
            <w:vAlign w:val="bottom"/>
          </w:tcPr>
          <w:p>
            <w:pPr>
              <w:spacing w:after="0"/>
              <w:rPr>
                <w:sz w:val="20"/>
                <w:szCs w:val="20"/>
                <w:color w:val="auto"/>
              </w:rPr>
            </w:pPr>
            <w:r>
              <w:rPr>
                <w:rFonts w:ascii="Arial" w:cs="Arial" w:eastAsia="Arial" w:hAnsi="Arial"/>
                <w:sz w:val="14"/>
                <w:szCs w:val="14"/>
                <w:color w:val="auto"/>
              </w:rPr>
              <w:t>Dividends paid on noncontrolling interest and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240" w:type="dxa"/>
            <w:vAlign w:val="bottom"/>
          </w:tcPr>
          <w:p>
            <w:pPr>
              <w:ind w:left="160"/>
              <w:spacing w:after="0" w:line="157" w:lineRule="exact"/>
              <w:rPr>
                <w:sz w:val="20"/>
                <w:szCs w:val="20"/>
                <w:color w:val="auto"/>
              </w:rPr>
            </w:pPr>
            <w:r>
              <w:rPr>
                <w:rFonts w:ascii="Arial" w:cs="Arial" w:eastAsia="Arial" w:hAnsi="Arial"/>
                <w:sz w:val="14"/>
                <w:szCs w:val="14"/>
                <w:color w:val="auto"/>
              </w:rPr>
              <w:t>other activities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4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w:t>
            </w: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(13)</w:t>
            </w:r>
          </w:p>
        </w:tc>
      </w:tr>
      <w:tr>
        <w:trPr>
          <w:trHeight w:val="27"/>
        </w:trPr>
        <w:tc>
          <w:tcPr>
            <w:tcW w:w="4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Balances at June 30, 2016</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31,771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21,127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(9,768)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(15,538)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27,676</w:t>
            </w:r>
          </w:p>
        </w:tc>
      </w:tr>
      <w:tr>
        <w:trPr>
          <w:trHeight w:val="20"/>
        </w:trPr>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80" w:hanging="335"/>
        <w:spacing w:after="0" w:line="258"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Noncontrolling interest as of June 30, 2015 was $89 million, as compared to $103 million as of January 1, 2015. The change of $(14) million during the six months ended June 30, 2015 was due to $(16) million of other comprehensive losses, net of taxes, $9 million of net earnings and $(7) million of dividends paid.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6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PROVIDED BY / (USED IN) OPERATING ACTIVITIES</w:t>
            </w: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Net earnings</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1,028</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earnings to operating cash flows: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408</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 benefit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(86)</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Gain on divestiture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Asset impairments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142</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early extinguishment of debt</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JDE coffee business transactions currency-related net gains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Income from equity method investments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Distributions from equity method investments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Other non-cash items, net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112</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assets and liabilities, net of acquisitions and divestitures: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520"/>
              <w:spacing w:after="0" w:line="202" w:lineRule="exact"/>
              <w:rPr>
                <w:sz w:val="20"/>
                <w:szCs w:val="20"/>
                <w:color w:val="auto"/>
              </w:rPr>
            </w:pPr>
            <w:r>
              <w:rPr>
                <w:rFonts w:ascii="Arial" w:cs="Arial" w:eastAsia="Arial" w:hAnsi="Arial"/>
                <w:sz w:val="18"/>
                <w:szCs w:val="18"/>
                <w:color w:val="auto"/>
              </w:rPr>
              <w:t>Receivables, net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Inventories, net</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(319)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(457)</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pension and postretirement assets and liabilities, net</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 (USED IN) INVESTING ACTIVITIES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(604)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JDE coffee business transactions currency hedge settlements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Acquisition, net of cash received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divestiture, net of disbursements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 and other</w:t>
            </w:r>
          </w:p>
        </w:tc>
        <w:tc>
          <w:tcPr>
            <w:tcW w:w="1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 provided by investing activities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580" w:type="dxa"/>
            <w:vAlign w:val="bottom"/>
            <w:gridSpan w:val="2"/>
          </w:tcPr>
          <w:p>
            <w:pPr>
              <w:spacing w:after="0"/>
              <w:rPr>
                <w:sz w:val="20"/>
                <w:szCs w:val="20"/>
                <w:color w:val="auto"/>
              </w:rPr>
            </w:pPr>
            <w:r>
              <w:rPr>
                <w:rFonts w:ascii="Arial" w:cs="Arial" w:eastAsia="Arial" w:hAnsi="Arial"/>
                <w:sz w:val="18"/>
                <w:szCs w:val="18"/>
                <w:color w:val="auto"/>
              </w:rPr>
              <w:t>CASH PROVIDED BY / (USED IN) FINANCING ACTIVITIES</w:t>
            </w:r>
          </w:p>
        </w:tc>
        <w:tc>
          <w:tcPr>
            <w:tcW w:w="1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Issuances of commercial paper, maturities greater than 90 days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Repayments of commercial paper, maturities greater than 90 days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issuances of other short-term borrowings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Long-term debt proceeds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1,149</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debt repaid</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(1,757)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Repurchase of Common Stock</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(1,312)</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provided by / (used in) financing activities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(Decrease) / increase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balance included in current assets held for sale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line="202" w:lineRule="exact"/>
              <w:rPr>
                <w:sz w:val="20"/>
                <w:szCs w:val="20"/>
                <w:color w:val="auto"/>
              </w:rPr>
            </w:pPr>
            <w:r>
              <w:rPr>
                <w:rFonts w:ascii="Arial" w:cs="Arial" w:eastAsia="Arial" w:hAnsi="Arial"/>
                <w:sz w:val="18"/>
                <w:szCs w:val="18"/>
                <w:color w:val="auto"/>
              </w:rPr>
              <w:t>Balance at beginning of period</w:t>
            </w:r>
          </w:p>
        </w:tc>
        <w:tc>
          <w:tcPr>
            <w:tcW w:w="1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1,870</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Balance at end of period</w:t>
            </w: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1,755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financial position and operating results. Net revenues and net earnings for any interim period are not necessarily indicative of future or annual results.</w:t>
      </w:r>
    </w:p>
    <w:p>
      <w:pPr>
        <w:spacing w:after="0" w:line="20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derived the condensed consolidated balance sheet data as of December 31, 2015 from audited financial statements, but do not include all disclosures required by U.S. GAAP. You should read these statements in conjunction with our consolidated financial statements and related notes in our Annual Report on Form 10-K for the year ended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As of the close of the fourth quarter of 2015, we deconsolidated our Venezuelan operations from our consolidated financial statements. As such, the results of our Venezuelan subsidiaries are not included in our condensed consolidated financial statements for the three and six months ended June 30, 2016. The operating results of our Venezuelan subsidiaries are included in our condensed consolidated financial statements for the three and six months ended June 30, 2015. See </w:t>
      </w:r>
      <w:r>
        <w:rPr>
          <w:rFonts w:ascii="Arial" w:cs="Arial" w:eastAsia="Arial" w:hAnsi="Arial"/>
          <w:sz w:val="18"/>
          <w:szCs w:val="18"/>
          <w:i w:val="1"/>
          <w:iCs w:val="1"/>
          <w:color w:val="auto"/>
        </w:rPr>
        <w:t>Currency Translation and Highly Inflationary Accounting: Venezuela</w:t>
      </w:r>
      <w:r>
        <w:rPr>
          <w:rFonts w:ascii="Arial" w:cs="Arial" w:eastAsia="Arial" w:hAnsi="Arial"/>
          <w:sz w:val="18"/>
          <w:szCs w:val="18"/>
          <w:color w:val="auto"/>
        </w:rPr>
        <w:t xml:space="preserve"> below for more information.</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On July 2, 2015, we contributed our global coffee businesses to a new company, Jacobs Douwe Egberts (“JDE”), in which we now hold an equity interest (collectively, the “JDE coffee business transactions”). Historically, our coffee businesses and the income from equity method investments were recorded within our operating income as these businesses were part of our base business. While we retain an ongoing interest in coffee through significant equity method investments including JDE and Keurig Green Mountain Inc. (“Keurig”), and we have significant influence with JDE, Keurig and other equity method investments, we do not have control over these operations directly. As such, beginning in the third quarter of 2015, and for the three and six months ended June 30, 2016, we recognize equity method investment earnings outside of operating income and segment income. For the three and six months ended June 30, 2015, our historical coffee business and equity method investment earnings were included within our operating income and segment income. Please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 JDE Coffee Business Transactions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Keurig Transaction</w:t>
      </w:r>
      <w:r>
        <w:rPr>
          <w:rFonts w:ascii="Arial" w:cs="Arial" w:eastAsia="Arial" w:hAnsi="Arial"/>
          <w:sz w:val="18"/>
          <w:szCs w:val="18"/>
          <w:color w:val="auto"/>
        </w:rPr>
        <w:t>, and Note 15,</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for more information on these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185"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On June 23, 2016, the United Kingdom (“U.K.”) voted by referendum to exit the European Union (“E.U.”); this vote is</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referred to as “Brexit.” The referendum is non-binding and the exit from the E.U. is not immediate. Once the U.K. invokes E.U. Article 50, there is a two-year window in which the U.K. and European Commission can negotiate the future terms for imports, exports, taxes, employment, immigration and other areas.</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Brexit has caused volatility in global stock markets and currency exchange rates, affecting the markets in which we operate. The implications of Brexit could adversely affect demand for our products, our financial results and operations, and our relationships with customers, suppliers and employees in the short or long-term. On June 24, 2016, the value of the British pound sterling relative to the U.S. dollar fell by 9%, and the value of both the pound sterling and euro continued to be negatively affected following the vote. Further volatility in both exchange rates is expected over the transition period.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the business operating environment remains uncertain, we continue to monitor our investments and currency exposures abroad. As the U.K. is not a highly-inflationary economy for accounting purposes, we record currency translation adjustments within equity and realized exchange gains and losses on transactions in earnings. While we have not experienced significant business disruptions in our U.K. businesses immediately following the referendum, the devaluation of the British pound sterling in late June adversely affected our translated results reported in U.S. dollars. We have natural hedges in the form of pound sterling as well as euro-denominated debt that act as net investment hedges, moving counter to adverse pound sterling and euro currency translation impacts. British pound sterling currency transaction risks are largely mitigated due to our global chocolate businesses buying cocoa in British pound sterling. Our U.K. operations contributed $486 million, or 7.7% of consolidated net revenues in the three months and $1.1 billion, or 8.7% of consolidated net revenues in the six months ended June 30,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Venezuela. </w:t>
      </w:r>
      <w:r>
        <w:rPr>
          <w:rFonts w:ascii="Arial" w:cs="Arial" w:eastAsia="Arial" w:hAnsi="Arial"/>
          <w:sz w:val="18"/>
          <w:szCs w:val="18"/>
          <w:color w:val="auto"/>
        </w:rPr>
        <w:t>From January 1, 2010 through December 31, 2015, we accounted for the results of our Venezuelan subsidiaries using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dollar as the functional currency as prescribed by U.S. GAAP for highly inflationary economies.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During the fourth quarter of 2015, representatives of the Venezuelan government arbitrarily imposed pricing restrictions on our local operations that resulted in our inability to recover operating costs. We immediately began an appeal process with the Venezuelan authorities to demonstrate that our pricing was in line with the regulatory requirements. In January 2016, local officials communicated that some of the pricing restrictions had been lifted; however, the legally required administrative order has not been issued and it is uncertain when it will be issued. The legal and regulatory environment has become more unreliable. While we have been complying with the Venezuelan law governing pricing and profitability controls and have followed the legal process for appeal, the appeal process was not available to us as outlined under law. Additionally, we have been increasingly facing issues procuring raw materials and packaging. Taken together, these actions, the economic environment in Venezuela and the progressively limited access to dollars to import goods through the use of any of the available currency mechanisms have impaired our ability to operate and control our Venezuelan businesses. As a result of these factors, we concluded that we no longer met the criteria for the consolidation of our Venezuelan subsidiaries.</w:t>
      </w:r>
    </w:p>
    <w:p>
      <w:pPr>
        <w:spacing w:after="0" w:line="20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 The fair value of our investments in our Venezuelan subsidiaries was estimated based on discounted cash flow projections of current and expected operating losses in the foreseeable future and our ability to operate the business on a sustainable basis. Our fair value estimate included U.S. dollar exchange and discount rate assumptions that reflect the inflation and economic uncertainty in Venezuela.</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Beginning in 2016, we no longer include net revenues, earnings or net assets of our Venezuelan subsidiaries within our condensed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including the changes to the currency exchange systems in March 2016, as our current situation in Venezuela may change over time and lead to consolidation at a future date.</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recorded no revenues, earnings or other financial results from our Venezuelan subsidiaries during the three and six months ended June 30, 2016, and we continue to monitor the business, economic and regulatory climate in Venezuela. For the three and six months ended June 30, 2015, the operating results of our Venezuelan operations were included in our condensed consolidated statements of earnings. During the first quarter of 2015, we recognized an $11 million currency-related remeasurement loss resulting from a devaluation of the Venezuela bolivar exchange rate we historically used to source U.S. dollars for purchases of imported raw materials, packaging and other goods and services.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The following table sets forth net revenues and operating income (including the impact of remeasurement losses) for our Venezuelan operations for the three and six months ended June 30, 2015:</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Venezuela operations</w:t>
            </w:r>
          </w:p>
        </w:tc>
        <w:tc>
          <w:tcPr>
            <w:tcW w:w="5180" w:type="dxa"/>
            <w:vAlign w:val="bottom"/>
          </w:tcPr>
          <w:p>
            <w:pPr>
              <w:spacing w:after="0"/>
              <w:rPr>
                <w:sz w:val="15"/>
                <w:szCs w:val="15"/>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Three Months Ended June 30, 2015</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Net revenues</w:t>
            </w:r>
          </w:p>
        </w:tc>
        <w:tc>
          <w:tcPr>
            <w:tcW w:w="7580" w:type="dxa"/>
            <w:vAlign w:val="bottom"/>
            <w:gridSpan w:val="4"/>
          </w:tcPr>
          <w:p>
            <w:pPr>
              <w:ind w:left="4380"/>
              <w:spacing w:after="0" w:line="195" w:lineRule="exact"/>
              <w:rPr>
                <w:sz w:val="20"/>
                <w:szCs w:val="20"/>
                <w:color w:val="auto"/>
              </w:rPr>
            </w:pPr>
            <w:r>
              <w:rPr>
                <w:rFonts w:ascii="Arial" w:cs="Arial" w:eastAsia="Arial" w:hAnsi="Arial"/>
                <w:sz w:val="18"/>
                <w:szCs w:val="18"/>
                <w:color w:val="auto"/>
                <w:w w:val="99"/>
              </w:rPr>
              <w:t>$301 million or 3.9% of consolidated net</w:t>
            </w:r>
          </w:p>
        </w:tc>
        <w:tc>
          <w:tcPr>
            <w:tcW w:w="9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20"/>
                <w:szCs w:val="20"/>
                <w:color w:val="auto"/>
              </w:rPr>
            </w:pPr>
            <w:r>
              <w:rPr>
                <w:rFonts w:ascii="Arial" w:cs="Arial" w:eastAsia="Arial" w:hAnsi="Arial"/>
                <w:sz w:val="18"/>
                <w:szCs w:val="18"/>
                <w:color w:val="auto"/>
              </w:rPr>
              <w:t>Operating income</w:t>
            </w:r>
          </w:p>
        </w:tc>
        <w:tc>
          <w:tcPr>
            <w:tcW w:w="8540" w:type="dxa"/>
            <w:vAlign w:val="bottom"/>
            <w:gridSpan w:val="5"/>
          </w:tcPr>
          <w:p>
            <w:pPr>
              <w:jc w:val="center"/>
              <w:ind w:left="4110"/>
              <w:spacing w:after="0"/>
              <w:rPr>
                <w:sz w:val="20"/>
                <w:szCs w:val="20"/>
                <w:color w:val="auto"/>
              </w:rPr>
            </w:pPr>
            <w:r>
              <w:rPr>
                <w:rFonts w:ascii="Arial" w:cs="Arial" w:eastAsia="Arial" w:hAnsi="Arial"/>
                <w:sz w:val="18"/>
                <w:szCs w:val="18"/>
                <w:color w:val="auto"/>
                <w:w w:val="99"/>
              </w:rPr>
              <w:t>$74 million or 8.8% of consolidated operating income</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gridSpan w:val="3"/>
          </w:tcPr>
          <w:p>
            <w:pPr>
              <w:jc w:val="center"/>
              <w:ind w:right="970"/>
              <w:spacing w:after="0"/>
              <w:rPr>
                <w:sz w:val="20"/>
                <w:szCs w:val="20"/>
                <w:color w:val="auto"/>
              </w:rPr>
            </w:pPr>
            <w:r>
              <w:rPr>
                <w:rFonts w:ascii="Arial" w:cs="Arial" w:eastAsia="Arial" w:hAnsi="Arial"/>
                <w:sz w:val="14"/>
                <w:szCs w:val="14"/>
                <w:b w:val="1"/>
                <w:bCs w:val="1"/>
                <w:color w:val="auto"/>
              </w:rPr>
              <w:t>Six Months Ended June 30, 2015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5260" w:type="dxa"/>
            <w:vAlign w:val="bottom"/>
            <w:gridSpan w:val="2"/>
            <w:vMerge w:val="restart"/>
          </w:tcPr>
          <w:p>
            <w:pPr>
              <w:ind w:left="4380"/>
              <w:spacing w:after="0"/>
              <w:rPr>
                <w:sz w:val="20"/>
                <w:szCs w:val="20"/>
                <w:color w:val="auto"/>
              </w:rPr>
            </w:pPr>
            <w:r>
              <w:rPr>
                <w:rFonts w:ascii="Arial" w:cs="Arial" w:eastAsia="Arial" w:hAnsi="Arial"/>
                <w:sz w:val="18"/>
                <w:szCs w:val="18"/>
                <w:color w:val="auto"/>
                <w:w w:val="89"/>
              </w:rPr>
              <w:t>$519 million</w:t>
            </w:r>
          </w:p>
        </w:tc>
        <w:tc>
          <w:tcPr>
            <w:tcW w:w="22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80" w:type="dxa"/>
            <w:vAlign w:val="bottom"/>
            <w:vMerge w:val="continue"/>
          </w:tcPr>
          <w:p>
            <w:pPr>
              <w:spacing w:after="0"/>
              <w:rPr>
                <w:sz w:val="16"/>
                <w:szCs w:val="16"/>
                <w:color w:val="auto"/>
              </w:rPr>
            </w:pPr>
          </w:p>
        </w:tc>
        <w:tc>
          <w:tcPr>
            <w:tcW w:w="5260" w:type="dxa"/>
            <w:vAlign w:val="bottom"/>
            <w:gridSpan w:val="2"/>
            <w:vMerge w:val="continue"/>
          </w:tcPr>
          <w:p>
            <w:pPr>
              <w:spacing w:after="0"/>
              <w:rPr>
                <w:sz w:val="16"/>
                <w:szCs w:val="16"/>
                <w:color w:val="auto"/>
              </w:rPr>
            </w:pPr>
          </w:p>
        </w:tc>
        <w:tc>
          <w:tcPr>
            <w:tcW w:w="3280" w:type="dxa"/>
            <w:vAlign w:val="bottom"/>
            <w:gridSpan w:val="3"/>
          </w:tcPr>
          <w:p>
            <w:pPr>
              <w:jc w:val="right"/>
              <w:ind w:right="90"/>
              <w:spacing w:after="0" w:line="195" w:lineRule="exact"/>
              <w:rPr>
                <w:sz w:val="20"/>
                <w:szCs w:val="20"/>
                <w:color w:val="auto"/>
              </w:rPr>
            </w:pPr>
            <w:r>
              <w:rPr>
                <w:rFonts w:ascii="Arial" w:cs="Arial" w:eastAsia="Arial" w:hAnsi="Arial"/>
                <w:sz w:val="18"/>
                <w:szCs w:val="18"/>
                <w:color w:val="auto"/>
              </w:rPr>
              <w:t>or 3.4% of consolidated net revenues</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20"/>
                <w:szCs w:val="20"/>
                <w:color w:val="auto"/>
              </w:rPr>
            </w:pPr>
            <w:r>
              <w:rPr>
                <w:rFonts w:ascii="Arial" w:cs="Arial" w:eastAsia="Arial" w:hAnsi="Arial"/>
                <w:sz w:val="18"/>
                <w:szCs w:val="18"/>
                <w:color w:val="auto"/>
              </w:rPr>
              <w:t>Operating income</w:t>
            </w:r>
          </w:p>
        </w:tc>
        <w:tc>
          <w:tcPr>
            <w:tcW w:w="8540" w:type="dxa"/>
            <w:vAlign w:val="bottom"/>
            <w:gridSpan w:val="5"/>
          </w:tcPr>
          <w:p>
            <w:pPr>
              <w:jc w:val="center"/>
              <w:ind w:left="4130"/>
              <w:spacing w:after="0"/>
              <w:rPr>
                <w:sz w:val="20"/>
                <w:szCs w:val="20"/>
                <w:color w:val="auto"/>
              </w:rPr>
            </w:pPr>
            <w:r>
              <w:rPr>
                <w:rFonts w:ascii="Arial" w:cs="Arial" w:eastAsia="Arial" w:hAnsi="Arial"/>
                <w:sz w:val="18"/>
                <w:szCs w:val="18"/>
                <w:color w:val="auto"/>
                <w:w w:val="99"/>
              </w:rPr>
              <w:t>$115 million or 7.0% of consolidated operating income</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On December 16, 2015, the new Argentinean government fiscal authority announced the lifting of strict currency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restrictions on exports and imports. The next day, the value of the Argentinean peso relative to the U.S. dollar fell by 36%. In the first six months of 2016, the value of the Argentinean peso relative to the U.S. dollar declined 16%. Further volatility in the exchange rate is expected. While the business operating environment remains challenging, we continue to monitor and actively manage our investment and exposures in Argentina. We continue executing our hedging programs and refining our product portfolio to improve our product offerings, mix and profitability. We also continue to implement additional cost initiatives to protect the business. While further currency declines could have an adverse impact on our ongoing results of operations, we believe the actions by the new government to reduce economic controls and business restrictions will provide favorable opportunities for our Argentinean subsidiaries. Our Argentinean operations contributed $164 million, or 2.6% of consolidated net revenues in the three months and $294 million, or 2.3% of consolidated net revenues in the six months ended June 30, 2016. As of June 30, 2016, the net monetary liabilities of our Argentina operations were not material. Argentina is not designated as a highly-inflationary economy for accounting purposes, so we record currency translation adjustments within equity and realized exchange gains and losses on transactions in earnings.</w:t>
      </w:r>
    </w:p>
    <w:p>
      <w:pPr>
        <w:spacing w:after="0" w:line="184"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have operations in over 80 countries and sell in 165 countries, we regularly monitor economic and currency-related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risks and seek to take protective measures in response to these exposures. Some of the countries in which we do business have recently experienced periods of significant economic uncertainty. These include Brazil, China, Mexico, Russia, Turkey, Egypt, Nigeria and Ukraine, most of which have had either currency devaluation or volatility in exchange rates. We continue to monitor operations, currencies and net monetary exposures in these countries. At this time, we do not anticipate any risk to our operating results from changing to highly inflationary accounting in these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$820 million. Under the program, we may sell eligible short-term trade receivables to the bank in exchange for cash. We then continue to collect the receivables sold, acting solely as a collecting agent on behalf of the bank. We also enter into certain arrangements with customers to achieve earlier collection of receivables. The incremental cost of factoring receivables was $ 1 million in the three months and $ 2 million in the six months ended June 30, 2016 and $1 million in the three and six months ended June 30, 2015 and was recorded in net revenue. The outstanding principal amount of receivables under these arrangements amounted to $494 million as of June 30, 2016 and $379 million as of June 30,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Calendar Change:</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connection with moving toward a common consolidation date across the Company, in the first quarter of 2015, we changed the consolidation date for our North America segment from the last Saturday of each period to the last calendar day of each period. The change had a favorable impact of $38 million on net revenues and $18 million on operating income in the six months ended June 30, 2015. As a result of this change, each of our operating subsidiaries now reports results as of the last calendar day of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March 2016, the Financial Accounting Standards Board (“FASB”) issued an Accounting Standards Update (“ASU”) to simplify the accounting for stock-based compensation. The ASU addresses several areas of accounting for share-based payment transactions, including the income tax consequences, classification of awards as either equity or liabilities and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cash flow statement presentation. The ASU is effective for fiscal years beginning after December 15, 2016, with early adoption permitted. We are currently assessing the impact across our operations and on our condensed consolidated financial statements.</w:t>
      </w:r>
    </w:p>
    <w:p>
      <w:pPr>
        <w:spacing w:after="0" w:line="1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2016, the FASB issued an ASU that simplifies the transition accounting for increases in investments that require a change from the cost basis to the equity method of accounting. U.S. GAAP currently requires the impact of such changes in accounting method to be retroactively applied to all prior periods that the investment was held. Under the new standard, adjustments to the investor’s basis in the investment should be recorded on the date the investment becomes qualified for equity method accounting. The equity method of accounting is then applied prospectively from that date. The ASU is effective for fiscal years beginning after December 15, 2016, with early adoption permitted. This ASU is not expected to have a significant impact on our condensed consolidated financial statements. We plan to adopt when the ASU becomes effective or earlier if an in-scope transaction arises.</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March 2016, the FASB issued an ASU that clarifies whether contingent put and call options meet the “clearly and closely related” criteria in connection with accounting for embedded derivatives. U.S GAAP requires that embedded derivatives be separated from the host contract and accounted for separately as derivatives if certain criteria are met. The criteria include determining that the economic characteristics and risks of the embedded derivatives are not “clearly and closely related” to those of the host contract. The ASU is effective for fiscal years beginning after December 15, 2016, with early adoption permitted. We are currently assessing the impact across our operations and on our condensed consolidated financial statements.</w:t>
      </w:r>
    </w:p>
    <w:p>
      <w:pPr>
        <w:spacing w:after="0" w:line="20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March 2016, the FASB issued an ASU that applies when there is a contract novation to a new counterparty for a derivative designated as an accounting hedge. The ASU clarifies that such a change in counterparty does not, in and of itself, require de-designation of the hedging relationship, provided that all other hedge accounting criteria continue to be met. The ASU is effective for fiscal years beginning after December 15, 2016, with early adoption permitted. This ASU is not expected to have a significant impact on our condensed consolidated financial statements.</w:t>
      </w:r>
    </w:p>
    <w:p>
      <w:pPr>
        <w:spacing w:after="0" w:line="20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condensed consolidated statement of earnings, lessees will classify leases as either operating (resulting in straight-line expense) or financing (resulting in a front-loaded expense pattern). The ASU is effective for fiscal years beginning after December 15, 2018, with early adoption permitted. We are currently assessing the impact across our operations and on our condensed consolidated financial statements.</w:t>
      </w:r>
    </w:p>
    <w:p>
      <w:pPr>
        <w:spacing w:after="0" w:line="2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We are currently assessing the impact across our operations and on our condensed consolidated financial statements.</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May 2014, the FASB issued an ASU on revenue recognition from contracts with customers. The new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the first six months of 2016, the FASB issued several ASUs that clarified principal versus agent (gross versus net) revenue presentation considerations, confirmed certain prepaid stored-value products should be accounted for under the new revenue recognition ASU and not under other U.S. GAAP and clarified the guidance for identifying performance obligations within a contract and the accounting for licenses. In May 2016, the FASB also issued an ASU providing narrow scope exceptions and practical expedients to clarify and improve the implementation of the new revenue recognition guidance. Early adoption is permitted as of the original effective date which was for annual reporting periods beginning after December 15, 2016. The ASU may be applied retrospectively to historical periods presented or as a cumulative-effect adjustment as of the date of adoption. We continue to make progress on our due diligence across our operations and our efforts to assess the impact of the ASU and on our condensed consolidated financial statements. We anticipate adopting the new standard on a full retrospective basis on January 1, 2018.</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Jacobs Douwe Egberts (“JDE”). Following the exchange of a portion of our investment in JDE for an interest in Keurig Green Mountain Inc. (“Keurig”) in March 2016, we held a 26.5% equity interest in JDE. The remaining 73.5% equity interest in JDE was held by a subsidiary of Acorn Holdings B.V. (“AHBV,” owner of DEMB prior to July 2, 2015). Please see discussion of the acquisition of an interest in Keurig below under </w:t>
      </w:r>
      <w:r>
        <w:rPr>
          <w:rFonts w:ascii="Arial" w:cs="Arial" w:eastAsia="Arial" w:hAnsi="Arial"/>
          <w:sz w:val="18"/>
          <w:szCs w:val="18"/>
          <w:i w:val="1"/>
          <w:iCs w:val="1"/>
          <w:color w:val="auto"/>
        </w:rPr>
        <w:t>Keurig Transaction</w:t>
      </w:r>
      <w:r>
        <w:rPr>
          <w:rFonts w:ascii="Arial" w:cs="Arial" w:eastAsia="Arial" w:hAnsi="Arial"/>
          <w:sz w:val="18"/>
          <w:szCs w:val="18"/>
          <w:color w:val="auto"/>
        </w:rPr>
        <w:t xml:space="preserve">. As of June 30, 2016, we hold a 26.4% equity interest in JDE following the transactions discussed under </w:t>
      </w:r>
      <w:r>
        <w:rPr>
          <w:rFonts w:ascii="Arial" w:cs="Arial" w:eastAsia="Arial" w:hAnsi="Arial"/>
          <w:sz w:val="18"/>
          <w:szCs w:val="18"/>
          <w:i w:val="1"/>
          <w:iCs w:val="1"/>
          <w:color w:val="auto"/>
        </w:rPr>
        <w:t>JDE Stock-Based Compensation Arrangements</w:t>
      </w:r>
      <w:r>
        <w:rPr>
          <w:rFonts w:ascii="Arial" w:cs="Arial" w:eastAsia="Arial" w:hAnsi="Arial"/>
          <w:sz w:val="18"/>
          <w:szCs w:val="18"/>
          <w:color w:val="auto"/>
        </w:rPr>
        <w:t xml:space="preserve"> below.</w:t>
      </w:r>
    </w:p>
    <w:p>
      <w:pPr>
        <w:spacing w:after="0" w:line="19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consideration we received in the JDE coffee business transactions completed on July 2, 2015 consisted of €3.8 billion of cash ($4.2 billion as of July 2, 2015), a 43.5% equity interest in JDE (prior to the decrease in ownership due to the Keurig transaction and the compensation arrangements discussed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and $794 million in receivables (related to sales price adjustments and tax formation cost payments). During the third quarter of 2015, we also recorded $283 million of cash and receivables from JDE related to reimbursement of costs that we incurred in separating our coffee businesses. The cash and equity consideration we received at closing reflects that we retained our interest in a Korea-based joint venture, Dongsuh Foods Corporation (“DSF”). During the second quarter of 2015, we also completed the sale of our interest in a Japanese coffee joint venture, Ajinomoto General Foods, Inc. (“AGF”). In lieu of contributing our interest in the AGF joint venture to JDE, we contributed the net cash proceeds from this sale as part of the overall JDE coffee business transactions. Please see discussion of the divestiture of AGF below under </w:t>
      </w: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20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July 5, 2016, we received an expected cash payment of $275 million from JDE to settle the receivable related to tax formation costs that were part of the initial sales price.</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contribution of our global coffee businesses to JDE on July 2, 2015, we recorded a final pre-tax gain of $6.8 billion (or $6.6 billion after taxes) in 2015 after final adjustments as described below. We also recorded approximately $1.0 billion of pre-tax net gains related to hedging the expected cash proceeds from the transactions as described further below. During the fourth quarter of 2015, we and JDE concluded negotiations of a sales price adjustment and completed the valuation of our investment in JDE. Primarily due to the negotiated resolution of the sales price adjustment in the fourth quarter of 2015, we recorded a $ 313 million reduction in the pre-tax gain on the coffee transaction, reducing the $7.1 billion estimated gain in the third quarter of 2015 to the $6.8 billion final gain for 2015. As part of our sales price negotiations, we retained the right to collect future cash payments if certain estimated pension liabilities are realized over an agreed amount in the future. As such, we may recognize additional income related to this negotiated term in the future.</w:t>
      </w:r>
    </w:p>
    <w:p>
      <w:pPr>
        <w:spacing w:after="0" w:line="19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The final value of our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agreed to divest to comply with the conditioned approval by the European Commission related to the JDE coffee business transactions. As of the end of the first quarter of 2016, these businesses were sold by JDE. As the July 2, 2015 fair values for these businesses were recorded by JDE at their pending sales values, we did not record any gain or loss on the sales of these businesses in our share of JDE’s earnings.</w:t>
      </w:r>
    </w:p>
    <w:p>
      <w:pPr>
        <w:spacing w:after="0" w:line="2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connection with the expected receipt of cash in euros at the time of closing, we entered into a number of consecutive currency exchange forward contracts in 2014 and 2015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we recognized net losses of $144 million in the three months and net gains of $407 million in the six months ended June 30, 2015 within interest and other expense, net.</w:t>
      </w:r>
    </w:p>
    <w:p>
      <w:pPr>
        <w:spacing w:after="0" w:line="20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also incurred incremental expenses related to readying our global coffee businesses for the transactions that totaled $157 million in the three months and $185 million in the six months ended June 30, 2015. These expenses were recorded within selling, general and administrative expenses of primarily our Europe segment, as well as within our Eastern Europe, Middle East and Africa (“EEMEA”) segment and general corporate expenses.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Capital Increase:</w:t>
      </w:r>
    </w:p>
    <w:p>
      <w:pPr>
        <w:spacing w:after="0" w:line="1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On December 18, 2015, AHBV and we agreed to provide JDE additional capital to pay down some of its debt with lenders. Our pro rata share of the capital increase was €499 million ($544 million as of December 18, 2015) and was made in return for a pro rata number of additional shares in JDE such that our ownership in JDE did not change following the capital increase. To fund our share of the capital increase, we contributed €460 million ($501 million) of JDE receivables and made a €39 million ($43 million) cash payment.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At the close of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JDE employees. Under these arrangements, dilution of the JDE shares is limited to 2%. Upon execution of the agreements and the creation of the Class C, D and E JDE shares, our ownership of Class B shares in JDE changed from</w:t>
      </w:r>
    </w:p>
    <w:p>
      <w:pPr>
        <w:spacing w:after="0" w:line="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26.5% to 26.4% and AHBV’s Class A ownership changed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ownership interests will decrease. Based on estimated achievement and forfeiture assumptions, we do not expect our JDE ownership interest to decrease below 26.27%.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Tax Matter Resolution:</w:t>
      </w:r>
    </w:p>
    <w:p>
      <w:pPr>
        <w:spacing w:after="0" w:line="14" w:lineRule="exact"/>
        <w:rPr>
          <w:sz w:val="20"/>
          <w:szCs w:val="20"/>
          <w:color w:val="auto"/>
        </w:rPr>
      </w:pPr>
    </w:p>
    <w:p>
      <w:pPr>
        <w:jc w:val="both"/>
        <w:ind w:right="540"/>
        <w:spacing w:after="0" w:line="248" w:lineRule="auto"/>
        <w:rPr>
          <w:sz w:val="20"/>
          <w:szCs w:val="20"/>
          <w:color w:val="auto"/>
        </w:rPr>
      </w:pPr>
      <w:r>
        <w:rPr>
          <w:rFonts w:ascii="Arial" w:cs="Arial" w:eastAsia="Arial" w:hAnsi="Arial"/>
          <w:sz w:val="18"/>
          <w:szCs w:val="18"/>
          <w:color w:val="auto"/>
        </w:rPr>
        <w:t>On July 19, 2016, the Supreme Court of Spain reached a final resolution on a challenged JDE tax position held by a predecessor DEMB company that resulted in an unfavorable €117 million ($129 million as of July 19, 2016) tax expense. As a result, our earnings in the third quarter of 2016 could be negatively affected by up to a maximum amount of €31 million ($34 million as of July 19,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3, 2016, a subsidiary of AHBV completed the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equity method investment exchange in March 2016. Following the exchange, our ownership interest in JDE was 26.5% and our interest in Keurig is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June 30, 2016. The shareholder loan has a 5.5% interest rate and is payable at the end of a seven-year term on February 27, 2023. We recorded equity earnings of $21 million for the three months and $29 million for the four months ended June 30, 2016 and interest income from the shareholder loan of $6 million for the three months and $8 million for the four months ended June 30, 2016 within equity method earnings. Additionally in the three months ended June 30, 2016, we received $2 million of dividends on our investment in Keurig. We continue to account for our investments in JDE and Keurig under the equity method and recognize our share of their earnings within equity method investment earnings and our share of their dividends within our cash flows.</w:t>
      </w:r>
    </w:p>
    <w:p>
      <w:pPr>
        <w:spacing w:after="0" w:line="2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reflected the results of our historical coffee businesses and equity earnings from JDE, Keurig and DSF in our results from continuing operations as the coffee category continues to be a significant part of our net earnings and business strategy going forward. The equity method investment earnings and interest income contributed by our coffee investments included $45 million from JDE, $27 million from Keurig and $21 million from DSF for the three months and $92 million from JDE, $ 37 million from Keurig (since March 7, 2016) and $45 million from DSF for the six months ended June 30, 2016. For the three months ended June 30, 2015, after-tax earnings were $ 183 million for the coffee businesses we contributed to JDE on July 2, 2015 and $20 million for DSF. For the six months ended June 30, 2015, after-tax earnings were $296 million for the coffee businesses we contributed to JDE on July 2, 2015 and $40 million for DSF.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1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On May 2, 2016, we completed the sale of certain local biscuit brands in Finland as part of our strategic decisions to exit select small and local brands and shift investment towards our Power Brands. The transaction is structured as an asset sale with a total sales price of €14 million ($16 million as of May 2, 2016) for the brands and related finished goods and fixed assets. We received cash proceeds of €12 million ($14 million as of May 2, 2016) upon closing and will receive the remaining consideration in the third quarter of 2016 upon the completion of post-closing conditions. Upon closing, we divested $8 million of indefinite lived intangible assets and less than $1 million of other assets. After transaction costs, we recorded a pre-tax gain of $6 million ($5 million after-tax) in the three months ended June 30, 2016 within selling, general and administrative expenses of our Europe segment.</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March 31, 2016, we received a binding offer totaling €176 million ($195 million as of June 30, 2016) for the sale of several manufacturing facilities in France and sale or license of several local confectionery brands. Taking into account agreed upon sales price adjustments related to cash, employee-related liabilities and working capital to be transferred at closing, we currently estimate a sales price of €218 million ($242 million as of June 30, 2016) based on net book values as of June 30, 2016. The final sales price is subject to change as working capital and other account balances may change at the time of closing. The sale transactions are expected to be completed and remaining pre -closing conditions satisfied in the second quarter of 2017. The transactions are subject to E.U. and local regulatory approvals, completion of employee consultation requirements and additional steps to prepare the assets for transfer. Prior to closing, together with the buyer, we will undertake consultations with all Works Councils and employee representatives required in connection with the transactions. During the second quarter, we made progress on the pre-closing sale conditions and met the qualifications for and began held for sale accounting. As of June 30, 2016, the assets and liabilities to be transferred consisted of $122 million of current assets, $183 million of non-current assets, $33 million of current liabilities and $30 million of non-current liabilities based on the June 30, 2016 euro-to-U.S. dollar exchange rate. On March 31, 2016, we recorded a $14 million impairment charge for a gum &amp; candy trademark as a portion of its carrying value would not be recoverable based on future cash flows expected under a planned license agreement with the buyer. In May 2016, we recorded an additional $5 million impairment charge for another candy trademark to reduce the overall net assets to the estimated net sales proceeds after transaction costs. Additionally, in the six months ended June 30, 2016, we incurred and accrued $84 million of incremental expenses to ready the business for the sale transactions expected to close in 2017. We recorded these costs within cost of sales and selling, general and administrative expenses of our Europe segment.</w:t>
      </w:r>
    </w:p>
    <w:p>
      <w:pPr>
        <w:spacing w:after="0" w:line="2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July 15, 2015, we acquired an 80% interest in a biscuit operation in Vietnam, which is now a subsidiary within our Asia Pacific segment. Total cash paid to date for the biscuit operation, intellectual property, non-compete and consulting agreements less purchase price adjustments received was 11,645 billion Vietnamese dong ($534 million using applicable exchange rates on July 15 and November 27, 2015). We have made, received and expect to make the following cash payments in connection with the acquisition:</w:t>
      </w:r>
    </w:p>
    <w:p>
      <w:pPr>
        <w:ind w:left="900" w:hanging="325"/>
        <w:spacing w:after="0" w:line="23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10, 2014, we deposited $46 million in escrow upon signing the purchase agreement.</w:t>
      </w:r>
    </w:p>
    <w:p>
      <w:pPr>
        <w:ind w:left="900" w:right="14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15, 2015, we made a 9,122 billion Vietnamese dong ($418 million as of July 15, 2015) payment for the biscuit operation, a $44 million additional escrow deposit and a 759 billion Vietnamese dong ($35 million as of July 15, 2015) partial payment for the non-compete and continued consulting agreements.</w:t>
      </w:r>
    </w:p>
    <w:p>
      <w:pPr>
        <w:spacing w:after="0" w:line="2" w:lineRule="exact"/>
        <w:rPr>
          <w:rFonts w:ascii="Arial" w:cs="Arial" w:eastAsia="Arial" w:hAnsi="Arial"/>
          <w:sz w:val="18"/>
          <w:szCs w:val="18"/>
          <w:color w:val="auto"/>
        </w:rPr>
      </w:pPr>
    </w:p>
    <w:p>
      <w:pPr>
        <w:ind w:left="900" w:right="64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27, 2015, we received 197 billion Vietnamese dong ($9 million as of November 27, 2015) as a purchase price adjustment related to working capital adjustments at closing.</w:t>
      </w:r>
    </w:p>
    <w:p>
      <w:pPr>
        <w:spacing w:after="0" w:line="1" w:lineRule="exact"/>
        <w:rPr>
          <w:rFonts w:ascii="Arial" w:cs="Arial" w:eastAsia="Arial" w:hAnsi="Arial"/>
          <w:sz w:val="18"/>
          <w:szCs w:val="18"/>
          <w:color w:val="auto"/>
        </w:rPr>
      </w:pP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the satisfaction of final conditions, we expect to release the balance of the escrowed funds less the agreed holdback for</w:t>
      </w:r>
    </w:p>
    <w:p>
      <w:pPr>
        <w:spacing w:after="0" w:line="1" w:lineRule="exact"/>
        <w:rPr>
          <w:sz w:val="20"/>
          <w:szCs w:val="20"/>
          <w:color w:val="auto"/>
        </w:rPr>
      </w:pPr>
    </w:p>
    <w:p>
      <w:pPr>
        <w:ind w:left="900" w:right="180"/>
        <w:spacing w:after="0" w:line="234" w:lineRule="auto"/>
        <w:rPr>
          <w:sz w:val="20"/>
          <w:szCs w:val="20"/>
          <w:color w:val="auto"/>
        </w:rPr>
      </w:pPr>
      <w:r>
        <w:rPr>
          <w:rFonts w:ascii="Arial" w:cs="Arial" w:eastAsia="Arial" w:hAnsi="Arial"/>
          <w:sz w:val="18"/>
          <w:szCs w:val="18"/>
          <w:color w:val="auto"/>
        </w:rPr>
        <w:t>any outstanding claims in consideration for the remaining 20% interest in the biscuit operation and to make a final payment for the non-compete and consulting agreements by the end of the third quarter of 2016.</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in the process of completing the valuation work for the acquired net assets. As of June 30, 2016, we have recorded a preliminary allocation of the consideration paid including $10 million to inventory, $49 million to property, plant and equipment, $86 million of intangible assets, $385 million of goodwill and $31 million to other net liabilities. The allocation of the fair values had an immaterial impact on operating results in periods following the initial July 15, 2015 closing date. We recorded the non-compete and consulting agreements as prepaid contracts within other current and non-current assets and they are amortized into net earnings over the contract terms. For the three months ended June 30, 2016, the acquisition added $33 million in incremental net revenues and less than $1 million in incremental operating income. For the six months ended June 30, 2016, the acquisition added $70 million in incremental net revenues and $3 million in incremental operating income. Integration costs were not material to our condensed consolidated financial statements for the three and six months ended June 30, 2016.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On April 23, 2015, we completed the divestiture of our 50% equity interest in AGF, our Japanese coffee joint venture, to our joint venture partner, which generated cash proceeds of 27 billion Japanese yen ($ 225 million as of April 23, 2015) and a pre-tax gain of $13 million (after-tax loss of $9 million) in the second quarter of 2015. Upon closing, we divested our $99 million investment in the joint venture, $65 million of goodwill and $41 million of accumulated other comprehensive losses. We also incurred approximately $7 million of transaction costs. The operating results of the divestiture were not material to our condensed consolidated financial statements for the three and six months ended June 30, 2015.</w:t>
      </w:r>
    </w:p>
    <w:p>
      <w:pPr>
        <w:spacing w:after="0" w:line="20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February 16, 2015, we acquired a U.S. snack food company, Enjoy Life Foods, within our North America segment. We paid cash and settled debt totaling $81 million in connection with the acquisition. Upon finalizing the valuation of the acquired net assets during the second quarter of 2015, we recorded an $ 81 million purchase price allocation of $ 58 million in identifiable intangible assets, $20 million of goodwill and $3 million of other net assets. The acquisition-related costs and operating results of the acquisition were not material to our condensed consolidated financial statements for the three and six months ended June 30, 2016 and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Property:</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three months ended June 30, 2016, we sold property within our North America segment and from our centrally held corporate assets. The North America sale generated cash proceeds of $40 million and a pre-tax gain of $33 million. The corporate aircraft sale generated cash proceeds of $20 million and a pre-tax gain of $6 million. The gains were recorded within selling, general and administrative expenses and cash proceeds were recorded in cash flows from other investing activities in the three and six months ended June 30,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As of June 30,</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8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ind w:left="102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Finished product</w:t>
            </w:r>
          </w:p>
        </w:tc>
        <w:tc>
          <w:tcPr>
            <w:tcW w:w="140" w:type="dxa"/>
            <w:vAlign w:val="bottom"/>
          </w:tcPr>
          <w:p>
            <w:pPr>
              <w:spacing w:after="0"/>
              <w:rPr>
                <w:sz w:val="17"/>
                <w:szCs w:val="17"/>
                <w:color w:val="auto"/>
              </w:rPr>
            </w:pPr>
          </w:p>
        </w:tc>
        <w:tc>
          <w:tcPr>
            <w:tcW w:w="16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1,983</w:t>
            </w:r>
          </w:p>
        </w:tc>
        <w:tc>
          <w:tcPr>
            <w:tcW w:w="34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115"/>
        </w:trPr>
        <w:tc>
          <w:tcPr>
            <w:tcW w:w="80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2,816</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Inventory reserves</w:t>
            </w:r>
          </w:p>
        </w:tc>
        <w:tc>
          <w:tcPr>
            <w:tcW w:w="140" w:type="dxa"/>
            <w:vAlign w:val="bottom"/>
          </w:tcPr>
          <w:p>
            <w:pPr>
              <w:spacing w:after="0"/>
              <w:rPr>
                <w:sz w:val="17"/>
                <w:szCs w:val="17"/>
                <w:color w:val="auto"/>
              </w:rPr>
            </w:pPr>
          </w:p>
        </w:tc>
        <w:tc>
          <w:tcPr>
            <w:tcW w:w="16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2,713</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8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As of June 30,</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8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ind w:left="102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Buildings and building improvements</w:t>
            </w:r>
          </w:p>
        </w:tc>
        <w:tc>
          <w:tcPr>
            <w:tcW w:w="140" w:type="dxa"/>
            <w:vAlign w:val="bottom"/>
          </w:tcPr>
          <w:p>
            <w:pPr>
              <w:spacing w:after="0"/>
              <w:rPr>
                <w:sz w:val="17"/>
                <w:szCs w:val="17"/>
                <w:color w:val="auto"/>
              </w:rPr>
            </w:pPr>
          </w:p>
        </w:tc>
        <w:tc>
          <w:tcPr>
            <w:tcW w:w="16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2,880</w:t>
            </w:r>
          </w:p>
        </w:tc>
        <w:tc>
          <w:tcPr>
            <w:tcW w:w="34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10,367</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7"/>
                <w:szCs w:val="17"/>
                <w:color w:val="auto"/>
              </w:rPr>
            </w:pPr>
          </w:p>
        </w:tc>
        <w:tc>
          <w:tcPr>
            <w:tcW w:w="16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1,200</w:t>
            </w:r>
          </w:p>
        </w:tc>
        <w:tc>
          <w:tcPr>
            <w:tcW w:w="34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14,951</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7"/>
                <w:szCs w:val="17"/>
                <w:color w:val="auto"/>
              </w:rPr>
            </w:pPr>
          </w:p>
        </w:tc>
        <w:tc>
          <w:tcPr>
            <w:tcW w:w="16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(6,526)</w:t>
            </w:r>
          </w:p>
        </w:tc>
        <w:tc>
          <w:tcPr>
            <w:tcW w:w="34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8,425</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Capital expenditures of $604 million for the six months ended June 30, 2016 exclude $222 million of accrued capital expenditures remaining unpaid at June 30, 2016 and include payment for $322 million of capital expenditures that were accrued and unpaid at December 31, 2015.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 xml:space="preserve">In connection with our restructuring programs, we recorded non-cash asset write-downs (including accelerated depreciation and asset impairments) of $61 million in the three months and $113 million in the six months ended June 30, 2016 and $57 million in the three months and $135 million in the six months ended June 30, 2015 (see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These charges were recorded in the condensed consolidated statements of earnings within asset impairment and exit costs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4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17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2" w:lineRule="exact"/>
              <w:rPr>
                <w:sz w:val="20"/>
                <w:szCs w:val="20"/>
                <w:color w:val="auto"/>
              </w:rPr>
            </w:pPr>
            <w:r>
              <w:rPr>
                <w:rFonts w:ascii="Arial" w:cs="Arial" w:eastAsia="Arial" w:hAnsi="Arial"/>
                <w:sz w:val="18"/>
                <w:szCs w:val="18"/>
                <w:color w:val="auto"/>
              </w:rPr>
              <w:t>Asia Pacific</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EEMEA</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2" w:lineRule="exact"/>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North America</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2" w:lineRule="exact"/>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non-cash asset write-downs</w:t>
            </w:r>
          </w:p>
        </w:tc>
        <w:tc>
          <w:tcPr>
            <w:tcW w:w="170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61</w:t>
            </w:r>
          </w:p>
        </w:tc>
        <w:tc>
          <w:tcPr>
            <w:tcW w:w="8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113</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440" w:type="dxa"/>
            <w:vAlign w:val="bottom"/>
          </w:tcPr>
          <w:p>
            <w:pPr>
              <w:spacing w:after="0"/>
              <w:rPr>
                <w:sz w:val="20"/>
                <w:szCs w:val="20"/>
                <w:color w:val="auto"/>
              </w:rPr>
            </w:pPr>
            <w:r>
              <w:rPr>
                <w:rFonts w:ascii="Arial" w:cs="Arial" w:eastAsia="Arial" w:hAnsi="Arial"/>
                <w:sz w:val="18"/>
                <w:szCs w:val="18"/>
                <w:color w:val="auto"/>
              </w:rPr>
              <w:t>Goodwill by reportable segment was:</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As of June 30,</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942</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2" w:lineRule="exact"/>
              <w:rPr>
                <w:sz w:val="20"/>
                <w:szCs w:val="20"/>
                <w:color w:val="auto"/>
              </w:rPr>
            </w:pPr>
            <w:r>
              <w:rPr>
                <w:rFonts w:ascii="Arial" w:cs="Arial" w:eastAsia="Arial" w:hAnsi="Arial"/>
                <w:sz w:val="18"/>
                <w:szCs w:val="18"/>
                <w:color w:val="auto"/>
              </w:rPr>
              <w:t>Asia Pacific</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2,467</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EEMEA</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1,329</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2" w:lineRule="exact"/>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7,091</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North America</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8,912</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540"/>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20,741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As of June 30,</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Non-amortizable intangible assets</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17,618</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2" w:lineRule="exact"/>
              <w:rPr>
                <w:sz w:val="20"/>
                <w:szCs w:val="20"/>
                <w:color w:val="auto"/>
              </w:rPr>
            </w:pPr>
            <w:r>
              <w:rPr>
                <w:rFonts w:ascii="Arial" w:cs="Arial" w:eastAsia="Arial" w:hAnsi="Arial"/>
                <w:sz w:val="18"/>
                <w:szCs w:val="18"/>
                <w:color w:val="auto"/>
              </w:rPr>
              <w:t>Amortizable intangible assets</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2,338</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88"/>
        </w:trPr>
        <w:tc>
          <w:tcPr>
            <w:tcW w:w="4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19,956</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19,847</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2" w:lineRule="exact"/>
              <w:rPr>
                <w:sz w:val="20"/>
                <w:szCs w:val="20"/>
                <w:color w:val="auto"/>
              </w:rPr>
            </w:pPr>
            <w:r>
              <w:rPr>
                <w:rFonts w:ascii="Arial" w:cs="Arial" w:eastAsia="Arial" w:hAnsi="Arial"/>
                <w:sz w:val="18"/>
                <w:szCs w:val="18"/>
                <w:color w:val="auto"/>
              </w:rPr>
              <w:t>Accumulated amortization</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(1,175)</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Intangible assets, net</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18,781</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 At June 30, 2016, the weighted-average life of our amortizable intangible assets was 13.6 years.</w:t>
      </w:r>
    </w:p>
    <w:p>
      <w:pPr>
        <w:spacing w:after="0" w:line="229"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Amortization expense for intangible assets was $44 million in the three months and $88 million in the six months ended June 30, 2016 and $46 million in the three months and $92 million in the six months ended June 30, 2015. We currently estimate annual amortization expense for each of the next five years to be approximately $185 million, estimated using June 30, 2016 exchange rates.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Intangible</w:t>
            </w:r>
          </w:p>
        </w:tc>
      </w:tr>
      <w:tr>
        <w:trPr>
          <w:trHeight w:val="162"/>
        </w:trPr>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Assets,</w:t>
            </w:r>
          </w:p>
        </w:tc>
      </w:tr>
      <w:tr>
        <w:trPr>
          <w:trHeight w:val="175"/>
        </w:trPr>
        <w:tc>
          <w:tcPr>
            <w:tcW w:w="8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at cost</w:t>
            </w:r>
          </w:p>
        </w:tc>
      </w:tr>
      <w:tr>
        <w:trPr>
          <w:trHeight w:val="184"/>
        </w:trPr>
        <w:tc>
          <w:tcPr>
            <w:tcW w:w="88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r>
      <w:tr>
        <w:trPr>
          <w:trHeight w:val="80"/>
        </w:trPr>
        <w:tc>
          <w:tcPr>
            <w:tcW w:w="8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8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20,664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19,847</w:t>
            </w:r>
          </w:p>
        </w:tc>
      </w:tr>
      <w:tr>
        <w:trPr>
          <w:trHeight w:val="203"/>
        </w:trPr>
        <w:tc>
          <w:tcPr>
            <w:tcW w:w="8820" w:type="dxa"/>
            <w:vAlign w:val="bottom"/>
          </w:tcPr>
          <w:p>
            <w:pPr>
              <w:ind w:left="540"/>
              <w:spacing w:after="0" w:line="202" w:lineRule="exact"/>
              <w:rPr>
                <w:sz w:val="20"/>
                <w:szCs w:val="20"/>
                <w:color w:val="auto"/>
              </w:rPr>
            </w:pPr>
            <w:r>
              <w:rPr>
                <w:rFonts w:ascii="Arial" w:cs="Arial" w:eastAsia="Arial" w:hAnsi="Arial"/>
                <w:sz w:val="18"/>
                <w:szCs w:val="18"/>
                <w:color w:val="auto"/>
              </w:rPr>
              <w:t>Changes due to:</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r>
      <w:tr>
        <w:trPr>
          <w:trHeight w:val="203"/>
        </w:trPr>
        <w:tc>
          <w:tcPr>
            <w:tcW w:w="8820" w:type="dxa"/>
            <w:vAlign w:val="bottom"/>
          </w:tcPr>
          <w:p>
            <w:pPr>
              <w:ind w:left="720"/>
              <w:spacing w:after="0" w:line="202" w:lineRule="exact"/>
              <w:rPr>
                <w:sz w:val="20"/>
                <w:szCs w:val="20"/>
                <w:color w:val="auto"/>
              </w:rPr>
            </w:pPr>
            <w:r>
              <w:rPr>
                <w:rFonts w:ascii="Arial" w:cs="Arial" w:eastAsia="Arial" w:hAnsi="Arial"/>
                <w:sz w:val="18"/>
                <w:szCs w:val="18"/>
                <w:color w:val="auto"/>
              </w:rPr>
              <w:t>Acquisition</w:t>
            </w:r>
          </w:p>
        </w:tc>
        <w:tc>
          <w:tcPr>
            <w:tcW w:w="16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(73)</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w:t>
            </w:r>
          </w:p>
        </w:tc>
      </w:tr>
      <w:tr>
        <w:trPr>
          <w:trHeight w:val="203"/>
        </w:trPr>
        <w:tc>
          <w:tcPr>
            <w:tcW w:w="8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10"/>
        </w:trPr>
        <w:tc>
          <w:tcPr>
            <w:tcW w:w="8820" w:type="dxa"/>
            <w:vAlign w:val="bottom"/>
          </w:tcPr>
          <w:p>
            <w:pPr>
              <w:ind w:left="720"/>
              <w:spacing w:after="0" w:line="202" w:lineRule="exact"/>
              <w:rPr>
                <w:sz w:val="20"/>
                <w:szCs w:val="20"/>
                <w:color w:val="auto"/>
              </w:rPr>
            </w:pPr>
            <w:r>
              <w:rPr>
                <w:rFonts w:ascii="Arial" w:cs="Arial" w:eastAsia="Arial" w:hAnsi="Arial"/>
                <w:sz w:val="18"/>
                <w:szCs w:val="18"/>
                <w:color w:val="auto"/>
              </w:rPr>
              <w:t>Asset sale</w:t>
            </w:r>
          </w:p>
        </w:tc>
        <w:tc>
          <w:tcPr>
            <w:tcW w:w="160" w:type="dxa"/>
            <w:vAlign w:val="bottom"/>
          </w:tcPr>
          <w:p>
            <w:pPr>
              <w:spacing w:after="0"/>
              <w:rPr>
                <w:sz w:val="18"/>
                <w:szCs w:val="18"/>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8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June 30, 2016</w:t>
            </w: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20,741</w:t>
            </w: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19,956</w:t>
            </w:r>
          </w:p>
        </w:tc>
        <w:tc>
          <w:tcPr>
            <w:tcW w:w="120" w:type="dxa"/>
            <w:vAlign w:val="bottom"/>
            <w:shd w:val="clear" w:color="auto" w:fill="CCEEFF"/>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ind w:left="900" w:right="140" w:hanging="325"/>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Asset impairments – During the six months ended June 30, 2016, we recorded $19 million of impairment charges related to two gum &amp; candy trademarks in our Europe segment, both related to the planned sale of a confectionery business in France. See Note 2, </w:t>
      </w:r>
      <w:r>
        <w:rPr>
          <w:rFonts w:ascii="Arial" w:cs="Arial" w:eastAsia="Arial" w:hAnsi="Arial"/>
          <w:sz w:val="18"/>
          <w:szCs w:val="18"/>
          <w:i w:val="1"/>
          <w:iCs w:val="1"/>
          <w:color w:val="auto"/>
        </w:rPr>
        <w:t>Divestitures and Acquisitions – Other Divestitures and Acquisitions</w:t>
      </w:r>
      <w:r>
        <w:rPr>
          <w:rFonts w:ascii="Arial" w:cs="Arial" w:eastAsia="Arial" w:hAnsi="Arial"/>
          <w:sz w:val="18"/>
          <w:szCs w:val="18"/>
          <w:color w:val="auto"/>
        </w:rPr>
        <w:t>, for additional information. On June 30, 2016, in connection with our global supply chain reinvention initiatives, we made a determination to discontinue manufacturing a candy product that resulted in a $7 million impairment charge in our North America segment.</w:t>
      </w:r>
    </w:p>
    <w:p>
      <w:pPr>
        <w:spacing w:after="0" w:line="3" w:lineRule="exact"/>
        <w:rPr>
          <w:rFonts w:ascii="Arial" w:cs="Arial" w:eastAsia="Arial" w:hAnsi="Arial"/>
          <w:sz w:val="18"/>
          <w:szCs w:val="18"/>
          <w:color w:val="auto"/>
        </w:rPr>
      </w:pPr>
    </w:p>
    <w:p>
      <w:pPr>
        <w:ind w:left="900" w:right="200" w:hanging="325"/>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Acquisition – During the first six months of 2016, in connection with the July 15, 2015 acquisition of an 80% interest in a biscuit operation in Vietnam, we recorded a preliminary allocation of the consideration paid including $25 million of amortizable intangible assets and $61 million of non-amortizable intangible assets. Intangible assets acquired included trademarks and customer-related intangibles with definite and indefinite lives. A preliminary goodwill balance recorded as of July 15, 2015, was adjusted during the first half of 2016 to reflect intangible asset and other asset fair valuations. See Note 2, </w:t>
      </w:r>
      <w:r>
        <w:rPr>
          <w:rFonts w:ascii="Arial" w:cs="Arial" w:eastAsia="Arial" w:hAnsi="Arial"/>
          <w:sz w:val="18"/>
          <w:szCs w:val="18"/>
          <w:i w:val="1"/>
          <w:iCs w:val="1"/>
          <w:color w:val="auto"/>
        </w:rPr>
        <w:t>Divestitures and Acquisitions – Other</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4" w:lineRule="exact"/>
        <w:rPr>
          <w:rFonts w:ascii="Arial" w:cs="Arial" w:eastAsia="Arial" w:hAnsi="Arial"/>
          <w:sz w:val="18"/>
          <w:szCs w:val="18"/>
          <w:color w:val="auto"/>
        </w:rPr>
      </w:pPr>
    </w:p>
    <w:p>
      <w:pPr>
        <w:ind w:left="900" w:right="420" w:hanging="325"/>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Asset sale – During the second quarter of 2016, we sold $8 million of non-amortizable intangible assets in Finland. See Note 2, </w:t>
      </w:r>
      <w:r>
        <w:rPr>
          <w:rFonts w:ascii="Arial" w:cs="Arial" w:eastAsia="Arial" w:hAnsi="Arial"/>
          <w:sz w:val="18"/>
          <w:szCs w:val="18"/>
          <w:i w:val="1"/>
          <w:iCs w:val="1"/>
          <w:color w:val="auto"/>
        </w:rPr>
        <w:t>Divestitures and Acquisitions – Sales of Property</w:t>
      </w:r>
      <w:r>
        <w:rPr>
          <w:rFonts w:ascii="Arial" w:cs="Arial" w:eastAsia="Arial" w:hAnsi="Arial"/>
          <w:sz w:val="18"/>
          <w:szCs w:val="18"/>
          <w:color w:val="auto"/>
        </w:rPr>
        <w:t>, for additional information.</w:t>
      </w:r>
    </w:p>
    <w:p>
      <w:pPr>
        <w:spacing w:after="0" w:line="1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our 2015 annual testing of non-amortizable intangible assets, we recorded $71 million of impairment charges in the three months ended December 31, 2015 related to four trademarks in Asia Pacific, Europe and Latin America. We also noted seven brands, including the four impaired trademarks, with $598 million of aggregate book value as of December 31, 2015 that each had a fair value in excess of book value of 10% or less. While these intangible assets passed our annual impairment testing and we believe our current plans for each of these brands will allow them to continue to not be impaired, if expectations are not met or specific valuation factors outside of our control, such as discount rates, change significantly, then a brand or brands could become impaired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2014-2018 Restructuring Program</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May 6, 2014, our Board of Directors approved a $3.5 billion restructuring program, comprised of approximately $2.5 billion in cash costs and $ 1 billion in non-cash costs (the “2014-2018 Restructuring Program”), and up to $2.2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$1.8 billion related to the 2014-2018 Restructuring Program. We expect to incur the majority of the program’s remaining charges in 2016 and to complete the program by year-end 2018.</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recorded restructuring charges of $154 million in the three months and $293 million in the six months ended June 30, 2016 and $135 million in the three months and $297 million in the six months ended June 30, 2015 within asset impairment and exit costs. The activity for the 2014-2018 Restructuring Program liability for the six months ended June 30, 2016 was: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and related</w:t>
            </w:r>
          </w:p>
        </w:tc>
        <w:tc>
          <w:tcPr>
            <w:tcW w:w="10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costs</w:t>
            </w: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84"/>
        </w:trPr>
        <w:tc>
          <w:tcPr>
            <w:tcW w:w="7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1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Liability balance, January 1, 2016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r>
      <w:tr>
        <w:trPr>
          <w:trHeight w:val="203"/>
        </w:trPr>
        <w:tc>
          <w:tcPr>
            <w:tcW w:w="7100" w:type="dxa"/>
            <w:vAlign w:val="bottom"/>
          </w:tcPr>
          <w:p>
            <w:pPr>
              <w:ind w:left="720"/>
              <w:spacing w:after="0" w:line="202" w:lineRule="exact"/>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114</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20" w:type="dxa"/>
            <w:vAlign w:val="bottom"/>
          </w:tcPr>
          <w:p>
            <w:pPr>
              <w:spacing w:after="0"/>
              <w:rPr>
                <w:sz w:val="17"/>
                <w:szCs w:val="17"/>
                <w:color w:val="auto"/>
              </w:rPr>
            </w:pPr>
          </w:p>
        </w:tc>
      </w:tr>
      <w:tr>
        <w:trPr>
          <w:trHeight w:val="203"/>
        </w:trPr>
        <w:tc>
          <w:tcPr>
            <w:tcW w:w="7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spent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7100" w:type="dxa"/>
            <w:vAlign w:val="bottom"/>
          </w:tcPr>
          <w:p>
            <w:pPr>
              <w:ind w:left="720"/>
              <w:spacing w:after="0" w:line="202" w:lineRule="exact"/>
              <w:rPr>
                <w:sz w:val="20"/>
                <w:szCs w:val="20"/>
                <w:color w:val="auto"/>
              </w:rPr>
            </w:pPr>
            <w:r>
              <w:rPr>
                <w:rFonts w:ascii="Arial" w:cs="Arial" w:eastAsia="Arial" w:hAnsi="Arial"/>
                <w:sz w:val="18"/>
                <w:szCs w:val="18"/>
                <w:color w:val="auto"/>
              </w:rPr>
              <w:t>Non-cash settlements / adjustments</w:t>
            </w:r>
          </w:p>
        </w:tc>
        <w:tc>
          <w:tcPr>
            <w:tcW w:w="100" w:type="dxa"/>
            <w:vAlign w:val="bottom"/>
          </w:tcPr>
          <w:p>
            <w:pPr>
              <w:spacing w:after="0"/>
              <w:rPr>
                <w:sz w:val="17"/>
                <w:szCs w:val="17"/>
                <w:color w:val="auto"/>
              </w:rPr>
            </w:pP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(114)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03"/>
        </w:trPr>
        <w:tc>
          <w:tcPr>
            <w:tcW w:w="7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00" w:type="dxa"/>
            <w:vAlign w:val="bottom"/>
          </w:tcPr>
          <w:p>
            <w:pPr>
              <w:ind w:left="540"/>
              <w:spacing w:after="0"/>
              <w:rPr>
                <w:sz w:val="20"/>
                <w:szCs w:val="20"/>
                <w:color w:val="auto"/>
              </w:rPr>
            </w:pPr>
            <w:r>
              <w:rPr>
                <w:rFonts w:ascii="Arial" w:cs="Arial" w:eastAsia="Arial" w:hAnsi="Arial"/>
                <w:sz w:val="18"/>
                <w:szCs w:val="18"/>
                <w:color w:val="auto"/>
              </w:rPr>
              <w:t>Liability balance, June 30,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 xml:space="preserve">We spent $86 million in the three months and $160 million in the six months ended June 30, 2016 and $66 million in the three months and $105 million in the six months ended June 30, 2015 in cash severance and related costs. We also recognized non-cash pension settlement losses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of $72 million in the three months and $124 million in the six months ended June 30, 2016 and $62 million in the three months and $140 million in the six months ended June 30, 2015. At June 30, 2016, $335 million of our net restructuring liability was recorded within other current liabilities and $76 million was recorded within other long-term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$74 million in the three months and $172 million in the six months ended June 30, 2016 and $47 million in the three months and $109 million in the six months ended June 30, 2015. We recorded these costs within cost of sales and general corporate expense within selling, general and administrative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During the three and six months ended June 30, 2016 and 2015 and since inception of the 2014-2018 Restructuring Program, we recorded restructuring and implementation costs within operating income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Latin</w:t>
            </w:r>
          </w:p>
        </w:tc>
        <w:tc>
          <w:tcPr>
            <w:tcW w:w="6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Asia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43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America</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Pacific</w:t>
            </w:r>
          </w:p>
        </w:tc>
        <w:tc>
          <w:tcPr>
            <w:tcW w:w="2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EEMEA</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Europe</w:t>
            </w:r>
          </w:p>
        </w:tc>
        <w:tc>
          <w:tcPr>
            <w:tcW w:w="200" w:type="dxa"/>
            <w:vAlign w:val="bottom"/>
          </w:tcPr>
          <w:p>
            <w:pPr>
              <w:spacing w:after="0"/>
              <w:rPr>
                <w:sz w:val="15"/>
                <w:szCs w:val="15"/>
                <w:color w:val="auto"/>
              </w:rPr>
            </w:pPr>
          </w:p>
        </w:tc>
        <w:tc>
          <w:tcPr>
            <w:tcW w:w="96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200" w:type="dxa"/>
            <w:vAlign w:val="bottom"/>
          </w:tcPr>
          <w:p>
            <w:pPr>
              <w:spacing w:after="0"/>
              <w:rPr>
                <w:sz w:val="15"/>
                <w:szCs w:val="15"/>
                <w:color w:val="auto"/>
              </w:rPr>
            </w:pPr>
          </w:p>
        </w:tc>
        <w:tc>
          <w:tcPr>
            <w:tcW w:w="108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 xml:space="preserve">Corporate </w:t>
            </w:r>
            <w:r>
              <w:rPr>
                <w:rFonts w:ascii="Arial" w:cs="Arial" w:eastAsia="Arial" w:hAnsi="Arial"/>
                <w:sz w:val="20"/>
                <w:szCs w:val="20"/>
                <w:b w:val="1"/>
                <w:bCs w:val="1"/>
                <w:color w:val="auto"/>
                <w:vertAlign w:val="superscript"/>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84"/>
        </w:trPr>
        <w:tc>
          <w:tcPr>
            <w:tcW w:w="4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0"/>
        </w:trPr>
        <w:tc>
          <w:tcPr>
            <w:tcW w:w="430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30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23</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w:t>
            </w: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w:t>
            </w:r>
          </w:p>
        </w:tc>
      </w:tr>
      <w:tr>
        <w:trPr>
          <w:trHeight w:val="20"/>
        </w:trPr>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0"/>
        </w:trPr>
        <w:tc>
          <w:tcPr>
            <w:tcW w:w="430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Six Months Ended</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30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44</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102</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293</w:t>
            </w: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172</w:t>
            </w:r>
          </w:p>
        </w:tc>
      </w:tr>
      <w:tr>
        <w:trPr>
          <w:trHeight w:val="20"/>
        </w:trPr>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0"/>
        </w:trPr>
        <w:tc>
          <w:tcPr>
            <w:tcW w:w="430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30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w:t>
            </w: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r>
      <w:tr>
        <w:trPr>
          <w:trHeight w:val="20"/>
        </w:trPr>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0"/>
        </w:trPr>
        <w:tc>
          <w:tcPr>
            <w:tcW w:w="430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Six Months Ended</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30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14</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157</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297</w:t>
            </w: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w:t>
            </w:r>
          </w:p>
        </w:tc>
      </w:tr>
      <w:tr>
        <w:trPr>
          <w:trHeight w:val="20"/>
        </w:trPr>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Project 2014-2016 </w:t>
            </w: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30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4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200" w:type="dxa"/>
            <w:vAlign w:val="bottom"/>
          </w:tcPr>
          <w:p>
            <w:pPr>
              <w:spacing w:after="0"/>
              <w:rPr>
                <w:sz w:val="17"/>
                <w:szCs w:val="17"/>
                <w:color w:val="auto"/>
              </w:rPr>
            </w:pP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4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422</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238</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1,278</w:t>
            </w: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570</w:t>
            </w:r>
          </w:p>
        </w:tc>
      </w:tr>
      <w:tr>
        <w:trPr>
          <w:trHeight w:val="210"/>
        </w:trPr>
        <w:tc>
          <w:tcPr>
            <w:tcW w:w="4300" w:type="dxa"/>
            <w:vAlign w:val="bottom"/>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1,848</w:t>
            </w:r>
          </w:p>
        </w:tc>
        <w:tc>
          <w:tcPr>
            <w:tcW w:w="10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1140" w:right="60" w:hanging="335"/>
        <w:spacing w:after="0" w:line="241"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six months ended June 30, 2016, our North America region implementation costs included incremental costs that we incurred related to re-negotiating collective bargaining agreements that expired at the end of February 2016 for eight U.S. facilities and related to executing business continuity plans for the North America business. We expect to incur additional costs related to these activities in future quarters of 2016.</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June 30,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As of June 30, 2016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ind w:left="380"/>
              <w:spacing w:after="0"/>
              <w:rPr>
                <w:sz w:val="20"/>
                <w:szCs w:val="20"/>
                <w:color w:val="auto"/>
              </w:rPr>
            </w:pPr>
            <w:r>
              <w:rPr>
                <w:rFonts w:ascii="Arial" w:cs="Arial" w:eastAsia="Arial" w:hAnsi="Arial"/>
                <w:sz w:val="14"/>
                <w:szCs w:val="14"/>
                <w:b w:val="1"/>
                <w:bCs w:val="1"/>
                <w:color w:val="auto"/>
              </w:rPr>
              <w:t>As of December 31, 2015</w:t>
            </w:r>
          </w:p>
        </w:tc>
      </w:tr>
      <w:tr>
        <w:trPr>
          <w:trHeight w:val="142"/>
        </w:trPr>
        <w:tc>
          <w:tcPr>
            <w:tcW w:w="5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right="760"/>
              <w:spacing w:after="0" w:line="143" w:lineRule="exact"/>
              <w:rPr>
                <w:sz w:val="20"/>
                <w:szCs w:val="20"/>
                <w:color w:val="auto"/>
              </w:rPr>
            </w:pPr>
            <w:r>
              <w:rPr>
                <w:rFonts w:ascii="Arial" w:cs="Arial" w:eastAsia="Arial" w:hAnsi="Arial"/>
                <w:sz w:val="14"/>
                <w:szCs w:val="14"/>
                <w:b w:val="1"/>
                <w:bCs w:val="1"/>
                <w:color w:val="auto"/>
              </w:rPr>
              <w:t>Amount</w:t>
            </w:r>
          </w:p>
        </w:tc>
        <w:tc>
          <w:tcPr>
            <w:tcW w:w="940" w:type="dxa"/>
            <w:vAlign w:val="bottom"/>
            <w:tcBorders>
              <w:top w:val="single" w:sz="8" w:color="auto"/>
            </w:tcBorders>
          </w:tcPr>
          <w:p>
            <w:pPr>
              <w:jc w:val="right"/>
              <w:ind w:right="39"/>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78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r>
      <w:tr>
        <w:trPr>
          <w:trHeight w:val="175"/>
        </w:trPr>
        <w:tc>
          <w:tcPr>
            <w:tcW w:w="5360" w:type="dxa"/>
            <w:vAlign w:val="bottom"/>
          </w:tcPr>
          <w:p>
            <w:pPr>
              <w:spacing w:after="0"/>
              <w:rPr>
                <w:sz w:val="15"/>
                <w:szCs w:val="15"/>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Outstanding</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Average Rate</w:t>
            </w:r>
          </w:p>
        </w:tc>
        <w:tc>
          <w:tcPr>
            <w:tcW w:w="680" w:type="dxa"/>
            <w:vAlign w:val="bottom"/>
          </w:tcPr>
          <w:p>
            <w:pPr>
              <w:spacing w:after="0"/>
              <w:rPr>
                <w:sz w:val="15"/>
                <w:szCs w:val="15"/>
                <w:color w:val="auto"/>
              </w:rPr>
            </w:pPr>
          </w:p>
        </w:tc>
        <w:tc>
          <w:tcPr>
            <w:tcW w:w="17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Outstanding</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r>
      <w:tr>
        <w:trPr>
          <w:trHeight w:val="184"/>
        </w:trPr>
        <w:tc>
          <w:tcPr>
            <w:tcW w:w="5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2,405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w:t>
            </w:r>
          </w:p>
        </w:tc>
      </w:tr>
      <w:tr>
        <w:trPr>
          <w:trHeight w:val="210"/>
        </w:trPr>
        <w:tc>
          <w:tcPr>
            <w:tcW w:w="5360" w:type="dxa"/>
            <w:vAlign w:val="bottom"/>
          </w:tcPr>
          <w:p>
            <w:pPr>
              <w:ind w:left="540"/>
              <w:spacing w:after="0" w:line="202" w:lineRule="exact"/>
              <w:rPr>
                <w:sz w:val="20"/>
                <w:szCs w:val="20"/>
                <w:color w:val="auto"/>
              </w:rPr>
            </w:pPr>
            <w:r>
              <w:rPr>
                <w:rFonts w:ascii="Arial" w:cs="Arial" w:eastAsia="Arial" w:hAnsi="Arial"/>
                <w:sz w:val="18"/>
                <w:szCs w:val="18"/>
                <w:color w:val="auto"/>
              </w:rPr>
              <w:t>Bank loans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w:t>
            </w:r>
          </w:p>
        </w:tc>
        <w:tc>
          <w:tcPr>
            <w:tcW w:w="6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680" w:type="dxa"/>
            <w:vAlign w:val="bottom"/>
          </w:tcPr>
          <w:p>
            <w:pPr>
              <w:spacing w:after="0"/>
              <w:rPr>
                <w:sz w:val="18"/>
                <w:szCs w:val="18"/>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w:t>
            </w:r>
          </w:p>
        </w:tc>
      </w:tr>
      <w:tr>
        <w:trPr>
          <w:trHeight w:val="203"/>
        </w:trPr>
        <w:tc>
          <w:tcPr>
            <w:tcW w:w="5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short-term borrowings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2,691</w:t>
            </w:r>
          </w:p>
        </w:tc>
        <w:tc>
          <w:tcPr>
            <w:tcW w:w="9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236</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June 30, 2016, the commercial paper issued and outstanding had between 5 and 104 days remaining to maturity. Bank loans include borrowings on primarily uncommitted credit lines maintained by some of our international subsidiaries to meet short-term working capital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maintain a revolving credit facility for general corporate purposes, including working capital needs, and to support our commercial paper program. Our $4.5 billion multi-year senior unsecured revolving credit facility expires on October 11, 2018. The revolving credit agreement includes a covenant that we maintain a minimum shareholders’ equity of at least $24.6 billion, excluding accumulated other comprehensive earnings / (losses) and the cumulative effects of any changes in accounting principles. At June 30, 2016, we complied with this covenant as our shareholders’ equity, as defined by the covenant, was $37.4 billion. The revolving credit facility agreement also contains customary representations, covenants and events of default. There are no credit rating triggers, provisions or other financial covenants that could require us to post collateral as security. As of June 30, 2016, no amounts were drawn on the facility.</w:t>
      </w:r>
    </w:p>
    <w:p>
      <w:pPr>
        <w:spacing w:after="0" w:line="20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$1.9 billion at June 30, 2016 and December 31, 2015. Borrowings on these lines amounted to $286 million at June 30, 2016 and $236 million at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4"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 xml:space="preserve">On February 9, 2016, $1,750 million of our 4.125% U.S. dollar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.400 million Swiss franc-denominated notes issued on January 26, 2016 and the €700 million euro-denominated notes issued on January 21, 2016, as well as cash on hand and the issuance of commercial paper. As we refinanced $1,150 million of the matured notes with net proceeds from the long-term debt issued in January 2016, we reflected this amount within long-term debt as of December 31, 2015.</w:t>
      </w:r>
    </w:p>
    <w:p>
      <w:pPr>
        <w:spacing w:after="0" w:line="185"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 xml:space="preserve">On January 26, 2016, we issued </w:t>
      </w:r>
      <w:r>
        <w:rPr>
          <w:rFonts w:ascii="Arial" w:cs="Arial" w:eastAsia="Arial" w:hAnsi="Arial"/>
          <w:sz w:val="18"/>
          <w:szCs w:val="18"/>
          <w:i w:val="1"/>
          <w:iCs w:val="1"/>
          <w:color w:val="auto"/>
        </w:rPr>
        <w:t>fr</w:t>
      </w:r>
      <w:r>
        <w:rPr>
          <w:rFonts w:ascii="Arial" w:cs="Arial" w:eastAsia="Arial" w:hAnsi="Arial"/>
          <w:sz w:val="18"/>
          <w:szCs w:val="18"/>
          <w:color w:val="auto"/>
        </w:rPr>
        <w:t>.400 million of Swiss franc-denominated notes, or $399 million in U.S. dollars locked in with a forward currency contract on January 12, 2016, consisting of:</w:t>
      </w:r>
    </w:p>
    <w:p>
      <w:pPr>
        <w:ind w:left="900" w:hanging="325"/>
        <w:spacing w:after="0" w:line="23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.250 million (or $249 million) of 0.080% fixed rate notes that mature on January 26, 2018</w:t>
      </w:r>
    </w:p>
    <w:p>
      <w:pPr>
        <w:ind w:left="90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.150 million (or $150 million) of 0.650% fixed rate notes that mature on July 26, 2022</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received proceeds, net of premiums and deferred financing costs, of $398 million that were used to partially fund the February 2016 note maturity and for other general corporate purposes. We recorded approximately $1 million of premiums and deferred financing costs, which will be amortized into interest expense over the life of the notes.</w:t>
      </w:r>
    </w:p>
    <w:p>
      <w:pPr>
        <w:spacing w:after="0" w:line="18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On January 21, 2016, we issued €700 million of euro-denominated 1.625% notes, or $760 million in U.S. dollars locked in with a forward currency contract on January 13, 2016. The euro-denominated notes will mature on January 20, 2023. We received proceeds, net of discounts and deferred financing costs, of $752 million that were used to partially fund the February 2016 note maturity and for other general corporate purposes. We recorded approximately $8 million of discounts and deferred financing costs, which will be amortized into interest expense over the life of the notes.</w:t>
      </w:r>
    </w:p>
    <w:p>
      <w:pPr>
        <w:spacing w:after="0" w:line="19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weighted-average interest rate on our total debt was 3.0% as of June 30, 2016, following the refinancing of the February 9, 2016 debt maturity. Our weighted-average interest rate on our total debt was 3.7% as of December 31, 2015, down from 4.3% as of December 31, 2014.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fair value of our short-term borrowings at June 30, 2016 and December 31, 2015 reflects current market interest rates and approximates the amounts we have recorded on our condensed consolidated balance sheet. The fair value of our long-term debt was determined using quoted prices in active markets (Level 1 valuation data) for the publicly traded debt obligations. At June 30, 2016, the aggregate fair value of our total debt was $18,494 million and its carrying value was $17,280 million. At December 31, 2015, the aggregate fair value of our total debt was $15,908 million and its carrying value was $15,398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5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5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3"/>
        </w:trPr>
        <w:tc>
          <w:tcPr>
            <w:tcW w:w="5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5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expense, debt</w:t>
            </w:r>
          </w:p>
        </w:tc>
        <w:tc>
          <w:tcPr>
            <w:tcW w:w="680" w:type="dxa"/>
            <w:vAlign w:val="bottom"/>
            <w:shd w:val="clear" w:color="auto" w:fill="CCEEFF"/>
          </w:tcPr>
          <w:p>
            <w:pPr>
              <w:jc w:val="right"/>
              <w:ind w:right="49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135</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9"/>
              </w:rPr>
              <w:t>147</w:t>
            </w:r>
          </w:p>
        </w:tc>
        <w:tc>
          <w:tcPr>
            <w:tcW w:w="5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7"/>
                <w:szCs w:val="17"/>
                <w:color w:val="auto"/>
              </w:rPr>
            </w:pPr>
          </w:p>
        </w:tc>
      </w:tr>
      <w:tr>
        <w:trPr>
          <w:trHeight w:val="203"/>
        </w:trPr>
        <w:tc>
          <w:tcPr>
            <w:tcW w:w="5580" w:type="dxa"/>
            <w:vAlign w:val="bottom"/>
          </w:tcPr>
          <w:p>
            <w:pPr>
              <w:ind w:left="54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120" w:type="dxa"/>
            <w:vAlign w:val="bottom"/>
          </w:tcPr>
          <w:p>
            <w:pPr>
              <w:spacing w:after="0"/>
              <w:rPr>
                <w:sz w:val="17"/>
                <w:szCs w:val="17"/>
                <w:color w:val="auto"/>
              </w:rPr>
            </w:pPr>
          </w:p>
        </w:tc>
      </w:tr>
      <w:tr>
        <w:trPr>
          <w:trHeight w:val="202"/>
        </w:trPr>
        <w:tc>
          <w:tcPr>
            <w:tcW w:w="55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JDE coffee business transactions currency-related net</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58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loss / (gain)</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9"/>
              </w:rPr>
              <w:t>144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(407)</w:t>
            </w:r>
          </w:p>
        </w:tc>
      </w:tr>
      <w:tr>
        <w:trPr>
          <w:trHeight w:val="203"/>
        </w:trPr>
        <w:tc>
          <w:tcPr>
            <w:tcW w:w="5580" w:type="dxa"/>
            <w:vAlign w:val="bottom"/>
          </w:tcPr>
          <w:p>
            <w:pPr>
              <w:ind w:left="540"/>
              <w:spacing w:after="0" w:line="202" w:lineRule="exact"/>
              <w:rPr>
                <w:sz w:val="20"/>
                <w:szCs w:val="20"/>
                <w:color w:val="auto"/>
              </w:rPr>
            </w:pPr>
            <w:r>
              <w:rPr>
                <w:rFonts w:ascii="Arial" w:cs="Arial" w:eastAsia="Arial" w:hAnsi="Arial"/>
                <w:sz w:val="18"/>
                <w:szCs w:val="18"/>
                <w:color w:val="auto"/>
              </w:rPr>
              <w:t>Loss related to interest rate swaps</w:t>
            </w: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97</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expense, net</w:t>
            </w:r>
          </w:p>
        </w:tc>
        <w:tc>
          <w:tcPr>
            <w:tcW w:w="6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7"/>
                <w:szCs w:val="17"/>
                <w:color w:val="auto"/>
              </w:rPr>
            </w:pPr>
          </w:p>
        </w:tc>
      </w:tr>
      <w:tr>
        <w:trPr>
          <w:trHeight w:val="210"/>
        </w:trPr>
        <w:tc>
          <w:tcPr>
            <w:tcW w:w="558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680" w:type="dxa"/>
            <w:vAlign w:val="bottom"/>
          </w:tcPr>
          <w:p>
            <w:pPr>
              <w:jc w:val="right"/>
              <w:ind w:right="49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151</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314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currency exchange forward contracts associated with the JDE coffee business transactions. Also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loss related to U.S. dollar interest rate swaps no longer designated as accounting cash flow hedges during the first quarters of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6"/>
          </w:tcPr>
          <w:p>
            <w:pPr>
              <w:ind w:left="520"/>
              <w:spacing w:after="0"/>
              <w:rPr>
                <w:sz w:val="20"/>
                <w:szCs w:val="20"/>
                <w:color w:val="auto"/>
              </w:rPr>
            </w:pPr>
            <w:r>
              <w:rPr>
                <w:rFonts w:ascii="Arial" w:cs="Arial" w:eastAsia="Arial" w:hAnsi="Arial"/>
                <w:sz w:val="14"/>
                <w:szCs w:val="14"/>
                <w:b w:val="1"/>
                <w:bCs w:val="1"/>
                <w:color w:val="auto"/>
              </w:rPr>
              <w:t>As of June 30, 2016</w:t>
            </w:r>
          </w:p>
        </w:tc>
        <w:tc>
          <w:tcPr>
            <w:tcW w:w="120" w:type="dxa"/>
            <w:vAlign w:val="bottom"/>
          </w:tcPr>
          <w:p>
            <w:pPr>
              <w:spacing w:after="0"/>
              <w:rPr>
                <w:sz w:val="15"/>
                <w:szCs w:val="15"/>
                <w:color w:val="auto"/>
              </w:rPr>
            </w:pPr>
          </w:p>
        </w:tc>
        <w:tc>
          <w:tcPr>
            <w:tcW w:w="2580" w:type="dxa"/>
            <w:vAlign w:val="bottom"/>
            <w:gridSpan w:val="6"/>
          </w:tcPr>
          <w:p>
            <w:pPr>
              <w:ind w:left="320"/>
              <w:spacing w:after="0"/>
              <w:rPr>
                <w:sz w:val="20"/>
                <w:szCs w:val="20"/>
                <w:color w:val="auto"/>
              </w:rPr>
            </w:pPr>
            <w:r>
              <w:rPr>
                <w:rFonts w:ascii="Arial" w:cs="Arial" w:eastAsia="Arial" w:hAnsi="Arial"/>
                <w:sz w:val="14"/>
                <w:szCs w:val="14"/>
                <w:b w:val="1"/>
                <w:bCs w:val="1"/>
                <w:color w:val="auto"/>
              </w:rPr>
              <w:t>As of December 31, 2015</w:t>
            </w:r>
          </w:p>
        </w:tc>
      </w:tr>
      <w:tr>
        <w:trPr>
          <w:trHeight w:val="142"/>
        </w:trPr>
        <w:tc>
          <w:tcPr>
            <w:tcW w:w="4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4"/>
              <w:spacing w:after="0" w:line="143" w:lineRule="exact"/>
              <w:rPr>
                <w:sz w:val="20"/>
                <w:szCs w:val="20"/>
                <w:color w:val="auto"/>
              </w:rPr>
            </w:pPr>
            <w:r>
              <w:rPr>
                <w:rFonts w:ascii="Arial" w:cs="Arial" w:eastAsia="Arial" w:hAnsi="Arial"/>
                <w:sz w:val="14"/>
                <w:szCs w:val="14"/>
                <w:b w:val="1"/>
                <w:bCs w:val="1"/>
                <w:color w:val="auto"/>
              </w:rPr>
              <w:t>Liability</w:t>
            </w: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3"/>
              <w:spacing w:after="0" w:line="143"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2"/>
                <w:szCs w:val="12"/>
                <w:color w:val="auto"/>
              </w:rPr>
            </w:pPr>
          </w:p>
        </w:tc>
      </w:tr>
      <w:tr>
        <w:trPr>
          <w:trHeight w:val="175"/>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Derivatives</w:t>
            </w:r>
          </w:p>
        </w:tc>
      </w:tr>
      <w:tr>
        <w:trPr>
          <w:trHeight w:val="184"/>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0"/>
        </w:trPr>
        <w:tc>
          <w:tcPr>
            <w:tcW w:w="432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Derivatives designated as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320" w:type="dxa"/>
            <w:vAlign w:val="bottom"/>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10"/>
        </w:trPr>
        <w:tc>
          <w:tcPr>
            <w:tcW w:w="4320" w:type="dxa"/>
            <w:vAlign w:val="bottom"/>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03"/>
        </w:trPr>
        <w:tc>
          <w:tcPr>
            <w:tcW w:w="4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54</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295"/>
        </w:trPr>
        <w:tc>
          <w:tcPr>
            <w:tcW w:w="4320" w:type="dxa"/>
            <w:vAlign w:val="bottom"/>
          </w:tcPr>
          <w:p>
            <w:pPr>
              <w:ind w:left="540"/>
              <w:spacing w:after="0"/>
              <w:rPr>
                <w:sz w:val="20"/>
                <w:szCs w:val="20"/>
                <w:color w:val="auto"/>
              </w:rPr>
            </w:pPr>
            <w:r>
              <w:rPr>
                <w:rFonts w:ascii="Arial" w:cs="Arial" w:eastAsia="Arial" w:hAnsi="Arial"/>
                <w:sz w:val="18"/>
                <w:szCs w:val="18"/>
                <w:b w:val="1"/>
                <w:bCs w:val="1"/>
                <w:color w:val="auto"/>
              </w:rPr>
              <w:t>Derivatives not designated as</w:t>
            </w:r>
          </w:p>
        </w:tc>
        <w:tc>
          <w:tcPr>
            <w:tcW w:w="1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4320" w:type="dxa"/>
            <w:vAlign w:val="bottom"/>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61</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3"/>
        </w:trPr>
        <w:tc>
          <w:tcPr>
            <w:tcW w:w="43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r>
      <w:tr>
        <w:trPr>
          <w:trHeight w:val="210"/>
        </w:trPr>
        <w:tc>
          <w:tcPr>
            <w:tcW w:w="43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7"/>
        </w:trPr>
        <w:tc>
          <w:tcPr>
            <w:tcW w:w="4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fair value</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198</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r>
      <w:tr>
        <w:trPr>
          <w:trHeight w:val="20"/>
        </w:trPr>
        <w:tc>
          <w:tcPr>
            <w:tcW w:w="4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During the first six months of 2016 and 2015, 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We record derivative assets and liabilities on a gross basis in our condensed consolidated balance sheet.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asset derivatives is recorded within other current assets and the fair value of our liability derivatives is recorded within other current liabilities.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 / (liability)) of our derivative instruments were determined using: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4"/>
                <w:szCs w:val="14"/>
                <w:b w:val="1"/>
                <w:bCs w:val="1"/>
                <w:color w:val="auto"/>
              </w:rPr>
              <w:t>As of June 30, 2016</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Assets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58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 / (Liability)</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(Level 1)</w:t>
            </w:r>
          </w:p>
        </w:tc>
        <w:tc>
          <w:tcPr>
            <w:tcW w:w="16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Inputs (Level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214"/>
              <w:spacing w:after="0" w:line="202" w:lineRule="exact"/>
              <w:rPr>
                <w:sz w:val="20"/>
                <w:szCs w:val="20"/>
                <w:color w:val="auto"/>
              </w:rPr>
            </w:pPr>
            <w:r>
              <w:rPr>
                <w:rFonts w:ascii="Arial" w:cs="Arial" w:eastAsia="Arial" w:hAnsi="Arial"/>
                <w:sz w:val="18"/>
                <w:szCs w:val="18"/>
                <w:color w:val="auto"/>
                <w:w w:val="99"/>
              </w:rPr>
              <w:t>(56)</w:t>
            </w: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900" w:type="dxa"/>
            <w:vAlign w:val="bottom"/>
          </w:tcPr>
          <w:p>
            <w:pPr>
              <w:jc w:val="center"/>
              <w:ind w:left="614"/>
              <w:spacing w:after="0" w:line="202" w:lineRule="exact"/>
              <w:rPr>
                <w:sz w:val="20"/>
                <w:szCs w:val="20"/>
                <w:color w:val="auto"/>
              </w:rPr>
            </w:pPr>
            <w:r>
              <w:rPr>
                <w:rFonts w:ascii="Arial" w:cs="Arial" w:eastAsia="Arial" w:hAnsi="Arial"/>
                <w:sz w:val="18"/>
                <w:szCs w:val="18"/>
                <w:color w:val="auto"/>
                <w:w w:val="99"/>
              </w:rPr>
              <w:t>51</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14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14"/>
              <w:spacing w:after="0" w:line="202" w:lineRule="exact"/>
              <w:rPr>
                <w:sz w:val="20"/>
                <w:szCs w:val="20"/>
                <w:color w:val="auto"/>
              </w:rPr>
            </w:pPr>
            <w:r>
              <w:rPr>
                <w:rFonts w:ascii="Arial" w:cs="Arial" w:eastAsia="Arial" w:hAnsi="Arial"/>
                <w:sz w:val="18"/>
                <w:szCs w:val="18"/>
                <w:color w:val="auto"/>
                <w:w w:val="99"/>
              </w:rPr>
              <w:t>23</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614"/>
              <w:spacing w:after="0"/>
              <w:rPr>
                <w:sz w:val="20"/>
                <w:szCs w:val="20"/>
                <w:color w:val="auto"/>
              </w:rPr>
            </w:pPr>
            <w:r>
              <w:rPr>
                <w:rFonts w:ascii="Arial" w:cs="Arial" w:eastAsia="Arial" w:hAnsi="Arial"/>
                <w:sz w:val="18"/>
                <w:szCs w:val="18"/>
                <w:color w:val="auto"/>
                <w:w w:val="99"/>
              </w:rPr>
              <w:t>18</w:t>
            </w:r>
          </w:p>
        </w:tc>
        <w:tc>
          <w:tcPr>
            <w:tcW w:w="4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jc w:val="center"/>
              <w:ind w:right="72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Assets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58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 / (Liability)</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(Level 1)</w:t>
            </w:r>
          </w:p>
        </w:tc>
        <w:tc>
          <w:tcPr>
            <w:tcW w:w="16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Inputs (Level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gridSpan w:val="2"/>
          </w:tcPr>
          <w:p>
            <w:pPr>
              <w:spacing w:after="0"/>
              <w:rPr>
                <w:sz w:val="6"/>
                <w:szCs w:val="6"/>
                <w:color w:val="auto"/>
              </w:rPr>
            </w:pPr>
          </w:p>
        </w:tc>
        <w:tc>
          <w:tcPr>
            <w:tcW w:w="172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46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614"/>
              <w:spacing w:after="0" w:line="202" w:lineRule="exact"/>
              <w:rPr>
                <w:sz w:val="20"/>
                <w:szCs w:val="20"/>
                <w:color w:val="auto"/>
              </w:rPr>
            </w:pPr>
            <w:r>
              <w:rPr>
                <w:rFonts w:ascii="Arial" w:cs="Arial" w:eastAsia="Arial" w:hAnsi="Arial"/>
                <w:sz w:val="18"/>
                <w:szCs w:val="18"/>
                <w:color w:val="auto"/>
                <w:w w:val="99"/>
              </w:rPr>
              <w:t>41</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41</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900" w:type="dxa"/>
            <w:vAlign w:val="bottom"/>
          </w:tcPr>
          <w:p>
            <w:pPr>
              <w:jc w:val="center"/>
              <w:ind w:left="614"/>
              <w:spacing w:after="0" w:line="202" w:lineRule="exact"/>
              <w:rPr>
                <w:sz w:val="20"/>
                <w:szCs w:val="20"/>
                <w:color w:val="auto"/>
              </w:rPr>
            </w:pPr>
            <w:r>
              <w:rPr>
                <w:rFonts w:ascii="Arial" w:cs="Arial" w:eastAsia="Arial" w:hAnsi="Arial"/>
                <w:sz w:val="18"/>
                <w:szCs w:val="18"/>
                <w:color w:val="auto"/>
                <w:w w:val="99"/>
              </w:rPr>
              <w:t>16</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left="214"/>
              <w:spacing w:after="0" w:line="202" w:lineRule="exact"/>
              <w:rPr>
                <w:sz w:val="20"/>
                <w:szCs w:val="20"/>
                <w:color w:val="auto"/>
              </w:rPr>
            </w:pPr>
            <w:r>
              <w:rPr>
                <w:rFonts w:ascii="Arial" w:cs="Arial" w:eastAsia="Arial" w:hAnsi="Arial"/>
                <w:sz w:val="18"/>
                <w:szCs w:val="18"/>
                <w:color w:val="auto"/>
                <w:w w:val="99"/>
              </w:rPr>
              <w:t>(30)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614"/>
              <w:spacing w:after="0"/>
              <w:rPr>
                <w:sz w:val="20"/>
                <w:szCs w:val="20"/>
                <w:color w:val="auto"/>
              </w:rPr>
            </w:pPr>
            <w:r>
              <w:rPr>
                <w:rFonts w:ascii="Arial" w:cs="Arial" w:eastAsia="Arial" w:hAnsi="Arial"/>
                <w:sz w:val="18"/>
                <w:szCs w:val="18"/>
                <w:color w:val="auto"/>
                <w:w w:val="99"/>
              </w:rPr>
              <w:t>27</w:t>
            </w:r>
          </w:p>
        </w:tc>
        <w:tc>
          <w:tcPr>
            <w:tcW w:w="4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excess related to our exchange-traded derivatives of $14 million as of June 30, 2016 and margin deposits of $22 million as of December 31, 2015 within other current assets. Based on our net asset or liability positions with individual counterparties, in the event of default and immediate net settlement of all of our open positions, for derivatives we have in a net asset position, our counterparties would owe us a total of $15 million as of June 30, 2016 and $52 million as of December 31, 2015. For derivatives we have in a net liability position, we would owe less than $1 million as of June 30, 2016. As of December 31, 2015, there were no Level 1 derivatives in a net liability position.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commodity and currency exchange OTC derivatives do not have a legal right of set-off. In connection with our OTC derivatives that could be net-settled in the event of default, assuming all parties were to fail to comply with the terms of the agreements, for derivatives we have in a net liability position, we would owe $34 million as of June 30, 2016 and $101 million as of December 31, 2015, and for derivatives we have in a net asset position, our counterparties would owe us a total of $85 million as of June 30, 2016 and $64 million as of December 31, 2015.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Notional Amount</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5"/>
          </w:tcPr>
          <w:p>
            <w:pPr>
              <w:jc w:val="right"/>
              <w:ind w:right="188"/>
              <w:spacing w:after="0" w:line="143" w:lineRule="exact"/>
              <w:rPr>
                <w:sz w:val="20"/>
                <w:szCs w:val="20"/>
                <w:color w:val="auto"/>
              </w:rPr>
            </w:pPr>
            <w:r>
              <w:rPr>
                <w:rFonts w:ascii="Arial" w:cs="Arial" w:eastAsia="Arial" w:hAnsi="Arial"/>
                <w:sz w:val="14"/>
                <w:szCs w:val="14"/>
                <w:b w:val="1"/>
                <w:bCs w:val="1"/>
                <w:color w:val="auto"/>
              </w:rPr>
              <w:t>As of June 30,</w:t>
            </w:r>
          </w:p>
        </w:tc>
        <w:tc>
          <w:tcPr>
            <w:tcW w:w="780" w:type="dxa"/>
            <w:vAlign w:val="bottom"/>
          </w:tcPr>
          <w:p>
            <w:pPr>
              <w:spacing w:after="0"/>
              <w:rPr>
                <w:sz w:val="12"/>
                <w:szCs w:val="12"/>
                <w:color w:val="auto"/>
              </w:rPr>
            </w:pPr>
          </w:p>
        </w:tc>
        <w:tc>
          <w:tcPr>
            <w:tcW w:w="1620" w:type="dxa"/>
            <w:vAlign w:val="bottom"/>
            <w:gridSpan w:val="4"/>
          </w:tcPr>
          <w:p>
            <w:pPr>
              <w:jc w:val="right"/>
              <w:ind w:right="20"/>
              <w:spacing w:after="0" w:line="143"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2"/>
                <w:szCs w:val="12"/>
                <w:color w:val="auto"/>
              </w:rPr>
            </w:pPr>
          </w:p>
        </w:tc>
      </w:t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 interest payments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4,155</w:t>
            </w:r>
          </w:p>
        </w:tc>
        <w:tc>
          <w:tcPr>
            <w:tcW w:w="1360" w:type="dxa"/>
            <w:vAlign w:val="bottom"/>
            <w:gridSpan w:val="2"/>
          </w:tcPr>
          <w:p>
            <w:pPr>
              <w:jc w:val="center"/>
              <w:ind w:left="737"/>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4,148</w:t>
            </w: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1,491</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1,094</w:t>
            </w:r>
          </w:p>
        </w:tc>
      </w:tr>
      <w:tr>
        <w:trPr>
          <w:trHeight w:val="203"/>
        </w:trPr>
        <w:tc>
          <w:tcPr>
            <w:tcW w:w="550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747</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732</w:t>
            </w: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2,066</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3,033</w:t>
            </w:r>
          </w:p>
        </w:tc>
      </w:tr>
      <w:tr>
        <w:trPr>
          <w:trHeight w:val="203"/>
        </w:trPr>
        <w:tc>
          <w:tcPr>
            <w:tcW w:w="5500" w:type="dxa"/>
            <w:vAlign w:val="bottom"/>
          </w:tcPr>
          <w:p>
            <w:pPr>
              <w:ind w:left="540"/>
              <w:spacing w:after="0" w:line="202" w:lineRule="exact"/>
              <w:rPr>
                <w:sz w:val="20"/>
                <w:szCs w:val="20"/>
                <w:color w:val="auto"/>
              </w:rPr>
            </w:pPr>
            <w:r>
              <w:rPr>
                <w:rFonts w:ascii="Arial" w:cs="Arial" w:eastAsia="Arial" w:hAnsi="Arial"/>
                <w:sz w:val="18"/>
                <w:szCs w:val="18"/>
                <w:color w:val="auto"/>
              </w:rPr>
              <w:t>Net investment hedge – euro notes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5,220</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4,345</w:t>
            </w: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investment hedge – pound sterling notes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1,268</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1,404</w:t>
            </w:r>
          </w:p>
        </w:tc>
      </w:tr>
      <w:tr>
        <w:trPr>
          <w:trHeight w:val="217"/>
        </w:trPr>
        <w:tc>
          <w:tcPr>
            <w:tcW w:w="5500" w:type="dxa"/>
            <w:vAlign w:val="bottom"/>
          </w:tcPr>
          <w:p>
            <w:pPr>
              <w:ind w:left="540"/>
              <w:spacing w:after="0"/>
              <w:rPr>
                <w:sz w:val="20"/>
                <w:szCs w:val="20"/>
                <w:color w:val="auto"/>
              </w:rPr>
            </w:pPr>
            <w:r>
              <w:rPr>
                <w:rFonts w:ascii="Arial" w:cs="Arial" w:eastAsia="Arial" w:hAnsi="Arial"/>
                <w:sz w:val="18"/>
                <w:szCs w:val="18"/>
                <w:color w:val="auto"/>
              </w:rPr>
              <w:t>Net investment hedge – Swiss franc notes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1,073</w:t>
            </w:r>
          </w:p>
        </w:tc>
      </w:tr>
      <w:tr>
        <w:trPr>
          <w:trHeight w:val="403"/>
        </w:trPr>
        <w:tc>
          <w:tcPr>
            <w:tcW w:w="55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920" w:type="dxa"/>
            <w:vAlign w:val="bottom"/>
            <w:gridSpan w:val="11"/>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 / (losses) included:</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4"/>
          </w:tcPr>
          <w:p>
            <w:pPr>
              <w:jc w:val="right"/>
              <w:ind w:right="48"/>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Accumulated gain / (loss) at beginning of period</w:t>
            </w:r>
          </w:p>
        </w:tc>
        <w:tc>
          <w:tcPr>
            <w:tcW w:w="7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5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2"/>
        </w:trPr>
        <w:tc>
          <w:tcPr>
            <w:tcW w:w="5500" w:type="dxa"/>
            <w:vAlign w:val="bottom"/>
          </w:tcPr>
          <w:p>
            <w:pPr>
              <w:ind w:left="540"/>
              <w:spacing w:after="0" w:line="201" w:lineRule="exact"/>
              <w:rPr>
                <w:sz w:val="20"/>
                <w:szCs w:val="20"/>
                <w:color w:val="auto"/>
              </w:rPr>
            </w:pPr>
            <w:r>
              <w:rPr>
                <w:rFonts w:ascii="Arial" w:cs="Arial" w:eastAsia="Arial" w:hAnsi="Arial"/>
                <w:sz w:val="18"/>
                <w:szCs w:val="18"/>
                <w:color w:val="auto"/>
              </w:rPr>
              <w:t>Transfer of realized losses / (gains) in fair value to</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00" w:type="dxa"/>
            <w:vAlign w:val="bottom"/>
          </w:tcPr>
          <w:p>
            <w:pPr>
              <w:ind w:left="720"/>
              <w:spacing w:after="0" w:line="203" w:lineRule="exact"/>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gridSpan w:val="2"/>
          </w:tcPr>
          <w:p>
            <w:pPr>
              <w:jc w:val="right"/>
              <w:ind w:right="508"/>
              <w:spacing w:after="0" w:line="203" w:lineRule="exact"/>
              <w:rPr>
                <w:sz w:val="20"/>
                <w:szCs w:val="20"/>
                <w:color w:val="auto"/>
              </w:rPr>
            </w:pPr>
            <w:r>
              <w:rPr>
                <w:rFonts w:ascii="Arial" w:cs="Arial" w:eastAsia="Arial" w:hAnsi="Arial"/>
                <w:sz w:val="18"/>
                <w:szCs w:val="18"/>
                <w:color w:val="auto"/>
              </w:rPr>
              <w:t>8</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508"/>
              <w:spacing w:after="0" w:line="203"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17"/>
                <w:szCs w:val="17"/>
                <w:color w:val="auto"/>
              </w:rPr>
            </w:pPr>
          </w:p>
        </w:tc>
        <w:tc>
          <w:tcPr>
            <w:tcW w:w="98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(54)</w:t>
            </w: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Unrealized gain / (loss) in fair value</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10"/>
        </w:trPr>
        <w:tc>
          <w:tcPr>
            <w:tcW w:w="5500" w:type="dxa"/>
            <w:vAlign w:val="bottom"/>
          </w:tcPr>
          <w:p>
            <w:pPr>
              <w:ind w:left="540"/>
              <w:spacing w:after="0"/>
              <w:rPr>
                <w:sz w:val="20"/>
                <w:szCs w:val="20"/>
                <w:color w:val="auto"/>
              </w:rPr>
            </w:pPr>
            <w:r>
              <w:rPr>
                <w:rFonts w:ascii="Arial" w:cs="Arial" w:eastAsia="Arial" w:hAnsi="Arial"/>
                <w:sz w:val="18"/>
                <w:szCs w:val="18"/>
                <w:color w:val="auto"/>
              </w:rPr>
              <w:t>Accumulated gain / (loss) at end of period</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48"/>
              <w:spacing w:after="0"/>
              <w:rPr>
                <w:sz w:val="20"/>
                <w:szCs w:val="20"/>
                <w:color w:val="auto"/>
              </w:rPr>
            </w:pPr>
            <w:r>
              <w:rPr>
                <w:rFonts w:ascii="Arial" w:cs="Arial" w:eastAsia="Arial" w:hAnsi="Arial"/>
                <w:sz w:val="18"/>
                <w:szCs w:val="18"/>
                <w:color w:val="auto"/>
              </w:rPr>
              <w:t>(36)</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8"/>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 / (losses) reclassified from accumulated other comprehensive earnings / (losses) into net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4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40" w:type="dxa"/>
            <w:vAlign w:val="bottom"/>
          </w:tcPr>
          <w:p>
            <w:pPr>
              <w:spacing w:after="0"/>
              <w:rPr>
                <w:sz w:val="13"/>
                <w:szCs w:val="13"/>
                <w:color w:val="auto"/>
              </w:rPr>
            </w:pPr>
          </w:p>
        </w:tc>
        <w:tc>
          <w:tcPr>
            <w:tcW w:w="7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 – forecasted transactions</w:t>
            </w:r>
          </w:p>
        </w:tc>
        <w:tc>
          <w:tcPr>
            <w:tcW w:w="760" w:type="dxa"/>
            <w:vAlign w:val="bottom"/>
            <w:shd w:val="clear" w:color="auto" w:fill="CCEEFF"/>
          </w:tcPr>
          <w:p>
            <w:pPr>
              <w:jc w:val="right"/>
              <w:ind w:right="579"/>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ind w:right="57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w:t>
            </w: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w:t>
            </w:r>
          </w:p>
        </w:tc>
      </w:tr>
      <w:tr>
        <w:trPr>
          <w:trHeight w:val="203"/>
        </w:trPr>
        <w:tc>
          <w:tcPr>
            <w:tcW w:w="544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760" w:type="dxa"/>
            <w:vAlign w:val="bottom"/>
          </w:tcPr>
          <w:p>
            <w:pPr>
              <w:spacing w:after="0"/>
              <w:rPr>
                <w:sz w:val="17"/>
                <w:szCs w:val="17"/>
                <w:color w:val="auto"/>
              </w:rPr>
            </w:pPr>
          </w:p>
        </w:tc>
        <w:tc>
          <w:tcPr>
            <w:tcW w:w="8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(6)</w:t>
            </w:r>
          </w:p>
        </w:tc>
        <w:tc>
          <w:tcPr>
            <w:tcW w:w="760" w:type="dxa"/>
            <w:vAlign w:val="bottom"/>
          </w:tcPr>
          <w:p>
            <w:pPr>
              <w:spacing w:after="0"/>
              <w:rPr>
                <w:sz w:val="17"/>
                <w:szCs w:val="17"/>
                <w:color w:val="auto"/>
              </w:rPr>
            </w:pPr>
          </w:p>
        </w:tc>
        <w:tc>
          <w:tcPr>
            <w:tcW w:w="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468"/>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54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0"/>
        </w:trPr>
        <w:tc>
          <w:tcPr>
            <w:tcW w:w="5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40" w:type="dxa"/>
            <w:vAlign w:val="bottom"/>
          </w:tcPr>
          <w:p>
            <w:pPr>
              <w:ind w:left="54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8"/>
              <w:spacing w:after="0"/>
              <w:rPr>
                <w:sz w:val="20"/>
                <w:szCs w:val="20"/>
                <w:color w:val="auto"/>
              </w:rPr>
            </w:pPr>
            <w:r>
              <w:rPr>
                <w:rFonts w:ascii="Arial" w:cs="Arial" w:eastAsia="Arial" w:hAnsi="Arial"/>
                <w:sz w:val="18"/>
                <w:szCs w:val="18"/>
                <w:color w:val="auto"/>
              </w:rPr>
              <w:t>(8)</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8"/>
              <w:spacing w:after="0"/>
              <w:rPr>
                <w:sz w:val="20"/>
                <w:szCs w:val="20"/>
                <w:color w:val="auto"/>
              </w:rPr>
            </w:pPr>
            <w:r>
              <w:rPr>
                <w:rFonts w:ascii="Arial" w:cs="Arial" w:eastAsia="Arial" w:hAnsi="Arial"/>
                <w:sz w:val="18"/>
                <w:szCs w:val="18"/>
                <w:color w:val="auto"/>
              </w:rPr>
              <w:t>(66)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r>
      <w:tr>
        <w:trPr>
          <w:trHeight w:val="20"/>
        </w:trPr>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 / (losses) recognized in other comprehensive earnings / (losses)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2"/>
        </w:trPr>
        <w:tc>
          <w:tcPr>
            <w:tcW w:w="54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Currency exchange contracts –</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2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forecasted transactions</w:t>
            </w:r>
          </w:p>
        </w:tc>
        <w:tc>
          <w:tcPr>
            <w:tcW w:w="740" w:type="dxa"/>
            <w:vAlign w:val="bottom"/>
            <w:gridSpan w:val="2"/>
            <w:shd w:val="clear" w:color="auto" w:fill="CCEEFF"/>
          </w:tcPr>
          <w:p>
            <w:pPr>
              <w:jc w:val="right"/>
              <w:ind w:right="568"/>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6"/>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8"/>
              <w:spacing w:after="0" w:line="203"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25</w:t>
            </w:r>
          </w:p>
        </w:tc>
      </w:tr>
      <w:tr>
        <w:trPr>
          <w:trHeight w:val="203"/>
        </w:trPr>
        <w:tc>
          <w:tcPr>
            <w:tcW w:w="54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528"/>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5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20" w:type="dxa"/>
            <w:vAlign w:val="bottom"/>
          </w:tcPr>
          <w:p>
            <w:pPr>
              <w:ind w:left="54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568"/>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8"/>
              <w:spacing w:after="0"/>
              <w:rPr>
                <w:sz w:val="20"/>
                <w:szCs w:val="20"/>
                <w:color w:val="auto"/>
              </w:rPr>
            </w:pPr>
            <w:r>
              <w:rPr>
                <w:rFonts w:ascii="Arial" w:cs="Arial" w:eastAsia="Arial" w:hAnsi="Arial"/>
                <w:sz w:val="18"/>
                <w:szCs w:val="18"/>
                <w:color w:val="auto"/>
              </w:rPr>
              <w:t>(57)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Within interest and other expense, net, we recorded pre-tax losses of $ 97 million in the first quarter of 2016 and $34 million in the first quarter of 2015 related to amounts excluded from effectiveness testing. These amounts relate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our plans to issue U.S. dollar-denominated debt changed and we instead issued euro and Swiss franc-denominated notes in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current year first quarter, and euro, British pound sterling and Swiss franc-denominated notes in the prior-year first quarter. Amounts excluded from effectiveness testing were not material for the second quarter of 2016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record pre-tax and after-tax (i) gains or losses reclassified from accumulated other comprehensive earnings / (losses) into earnings,</w:t>
      </w:r>
    </w:p>
    <w:p>
      <w:pPr>
        <w:ind w:left="260" w:hanging="252"/>
        <w:spacing w:after="0" w:line="234"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gains or losses on ineffectiveness and (iii) gains or losses on amounts excluded from effectiveness testing in:</w:t>
      </w:r>
    </w:p>
    <w:p>
      <w:pPr>
        <w:ind w:left="900" w:hanging="325"/>
        <w:spacing w:after="0" w:line="23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cost of sales for commodity contracts;</w:t>
      </w:r>
    </w:p>
    <w:p>
      <w:pPr>
        <w:ind w:left="900" w:hanging="325"/>
        <w:spacing w:after="0" w:line="23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 and</w:t>
      </w:r>
    </w:p>
    <w:p>
      <w:pPr>
        <w:ind w:left="900" w:hanging="325"/>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Based on current market conditions, we would expect to transfer unrealized gains of $16 million (net of taxes) for commodity cash flow hedges, unrealized losses of $4 million (net of taxes) for currency cash flow hedges and unrealized losses of less than $1 million (net of taxes) for interest rate cash flow hedges to earnings during the next 12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Coverage: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we hedged transactions forecasted to impact cash flows over the following periods:</w:t>
      </w:r>
    </w:p>
    <w:p>
      <w:pPr>
        <w:ind w:left="900" w:hanging="325"/>
        <w:spacing w:after="0" w:line="23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transactions for periods not exceeding the next 18 months;</w:t>
      </w:r>
    </w:p>
    <w:p>
      <w:pPr>
        <w:ind w:left="900" w:hanging="325"/>
        <w:spacing w:after="0" w:line="23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transactions for periods not exceeding the next 7 years and 3 months; and</w:t>
      </w: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transactions for periods not exceeding the next 18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Pre-tax gains / (losses) due to changes in fair value of our interest rate swaps and related hedged long-term debt were recorded in interest and other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10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For the Six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50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54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479"/>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5080" w:type="dxa"/>
            <w:vAlign w:val="bottom"/>
          </w:tcPr>
          <w:p>
            <w:pPr>
              <w:spacing w:after="0"/>
              <w:rPr>
                <w:sz w:val="13"/>
                <w:szCs w:val="13"/>
                <w:color w:val="auto"/>
              </w:rPr>
            </w:pPr>
          </w:p>
        </w:tc>
        <w:tc>
          <w:tcPr>
            <w:tcW w:w="74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84"/>
        </w:trPr>
        <w:tc>
          <w:tcPr>
            <w:tcW w:w="5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66"/>
        </w:trPr>
        <w:tc>
          <w:tcPr>
            <w:tcW w:w="5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03"/>
        </w:trPr>
        <w:tc>
          <w:tcPr>
            <w:tcW w:w="5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Derivatives</w:t>
            </w:r>
          </w:p>
        </w:tc>
        <w:tc>
          <w:tcPr>
            <w:tcW w:w="740" w:type="dxa"/>
            <w:vAlign w:val="bottom"/>
            <w:shd w:val="clear" w:color="auto" w:fill="CCEEFF"/>
          </w:tcPr>
          <w:p>
            <w:pPr>
              <w:jc w:val="right"/>
              <w:ind w:right="562"/>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jc w:val="right"/>
              <w:ind w:right="722"/>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9</w:t>
            </w:r>
          </w:p>
        </w:tc>
        <w:tc>
          <w:tcPr>
            <w:tcW w:w="900" w:type="dxa"/>
            <w:vAlign w:val="bottom"/>
            <w:shd w:val="clear" w:color="auto" w:fill="CCEEFF"/>
          </w:tcPr>
          <w:p>
            <w:pPr>
              <w:jc w:val="right"/>
              <w:ind w:right="639"/>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r>
      <w:tr>
        <w:trPr>
          <w:trHeight w:val="217"/>
        </w:trPr>
        <w:tc>
          <w:tcPr>
            <w:tcW w:w="508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Pre-tax gains / (losses) recorded in net earnings for economic hedges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3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For the 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95"/>
        </w:trPr>
        <w:tc>
          <w:tcPr>
            <w:tcW w:w="5080" w:type="dxa"/>
            <w:vAlign w:val="bottom"/>
          </w:tcPr>
          <w:p>
            <w:pPr>
              <w:spacing w:after="0"/>
              <w:rPr>
                <w:sz w:val="8"/>
                <w:szCs w:val="8"/>
                <w:color w:val="auto"/>
              </w:rPr>
            </w:pPr>
          </w:p>
        </w:tc>
        <w:tc>
          <w:tcPr>
            <w:tcW w:w="236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1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Gain / (Loss)</w:t>
            </w:r>
          </w:p>
        </w:tc>
        <w:tc>
          <w:tcPr>
            <w:tcW w:w="0" w:type="dxa"/>
            <w:vAlign w:val="bottom"/>
          </w:tcPr>
          <w:p>
            <w:pPr>
              <w:spacing w:after="0"/>
              <w:rPr>
                <w:sz w:val="1"/>
                <w:szCs w:val="1"/>
                <w:color w:val="auto"/>
              </w:rPr>
            </w:pPr>
          </w:p>
        </w:tc>
      </w:tr>
      <w:tr>
        <w:trPr>
          <w:trHeight w:val="68"/>
        </w:trPr>
        <w:tc>
          <w:tcPr>
            <w:tcW w:w="5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vMerge w:val="continue"/>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34"/>
        </w:trPr>
        <w:tc>
          <w:tcPr>
            <w:tcW w:w="5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0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6"/>
          </w:tcPr>
          <w:p>
            <w:pPr>
              <w:jc w:val="right"/>
              <w:ind w:right="920"/>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720"/>
              <w:spacing w:after="0"/>
              <w:rPr>
                <w:sz w:val="20"/>
                <w:szCs w:val="20"/>
                <w:color w:val="auto"/>
              </w:rPr>
            </w:pPr>
            <w:r>
              <w:rPr>
                <w:rFonts w:ascii="Arial" w:cs="Arial" w:eastAsia="Arial" w:hAnsi="Arial"/>
                <w:sz w:val="18"/>
                <w:szCs w:val="18"/>
                <w:color w:val="auto"/>
              </w:rPr>
              <w:t>Intercompany loans and forecasted interest</w:t>
            </w:r>
          </w:p>
        </w:tc>
        <w:tc>
          <w:tcPr>
            <w:tcW w:w="740" w:type="dxa"/>
            <w:vAlign w:val="bottom"/>
            <w:vMerge w:val="restart"/>
          </w:tcPr>
          <w:p>
            <w:pPr>
              <w:jc w:val="right"/>
              <w:ind w:right="557"/>
              <w:spacing w:after="0"/>
              <w:rPr>
                <w:sz w:val="20"/>
                <w:szCs w:val="20"/>
                <w:color w:val="auto"/>
              </w:rPr>
            </w:pPr>
            <w:r>
              <w:rPr>
                <w:rFonts w:ascii="Arial" w:cs="Arial" w:eastAsia="Arial" w:hAnsi="Arial"/>
                <w:sz w:val="18"/>
                <w:szCs w:val="18"/>
                <w:color w:val="auto"/>
                <w:w w:val="79"/>
              </w:rPr>
              <w:t>$</w:t>
            </w: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5080" w:type="dxa"/>
            <w:vAlign w:val="bottom"/>
          </w:tcPr>
          <w:p>
            <w:pPr>
              <w:ind w:left="900"/>
              <w:spacing w:after="0" w:line="189" w:lineRule="exact"/>
              <w:rPr>
                <w:sz w:val="20"/>
                <w:szCs w:val="20"/>
                <w:color w:val="auto"/>
              </w:rPr>
            </w:pPr>
            <w:r>
              <w:rPr>
                <w:rFonts w:ascii="Arial" w:cs="Arial" w:eastAsia="Arial" w:hAnsi="Arial"/>
                <w:sz w:val="18"/>
                <w:szCs w:val="18"/>
                <w:color w:val="auto"/>
              </w:rPr>
              <w:t>payments</w:t>
            </w:r>
          </w:p>
        </w:tc>
        <w:tc>
          <w:tcPr>
            <w:tcW w:w="7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7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(46)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67"/>
        </w:trPr>
        <w:tc>
          <w:tcPr>
            <w:tcW w:w="5080" w:type="dxa"/>
            <w:vAlign w:val="bottom"/>
            <w:vMerge w:val="restart"/>
          </w:tcPr>
          <w:p>
            <w:pPr>
              <w:ind w:left="720"/>
              <w:spacing w:after="0"/>
              <w:rPr>
                <w:sz w:val="20"/>
                <w:szCs w:val="20"/>
                <w:color w:val="auto"/>
              </w:rPr>
            </w:pPr>
            <w:r>
              <w:rPr>
                <w:rFonts w:ascii="Arial" w:cs="Arial" w:eastAsia="Arial" w:hAnsi="Arial"/>
                <w:sz w:val="18"/>
                <w:szCs w:val="18"/>
                <w:color w:val="auto"/>
              </w:rPr>
              <w:t>Forecasted transactions</w:t>
            </w:r>
          </w:p>
        </w:tc>
        <w:tc>
          <w:tcPr>
            <w:tcW w:w="740" w:type="dxa"/>
            <w:vAlign w:val="bottom"/>
          </w:tcPr>
          <w:p>
            <w:pPr>
              <w:spacing w:after="0"/>
              <w:rPr>
                <w:sz w:val="14"/>
                <w:szCs w:val="14"/>
                <w:color w:val="auto"/>
              </w:rPr>
            </w:pP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50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67"/>
        </w:trPr>
        <w:tc>
          <w:tcPr>
            <w:tcW w:w="50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62"/>
        </w:trPr>
        <w:tc>
          <w:tcPr>
            <w:tcW w:w="508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Forecasted transactions</w:t>
            </w:r>
          </w:p>
        </w:tc>
        <w:tc>
          <w:tcPr>
            <w:tcW w:w="7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administrative</w:t>
            </w:r>
          </w:p>
        </w:tc>
        <w:tc>
          <w:tcPr>
            <w:tcW w:w="0" w:type="dxa"/>
            <w:vAlign w:val="bottom"/>
          </w:tcPr>
          <w:p>
            <w:pPr>
              <w:spacing w:after="0"/>
              <w:rPr>
                <w:sz w:val="1"/>
                <w:szCs w:val="1"/>
                <w:color w:val="auto"/>
              </w:rPr>
            </w:pPr>
          </w:p>
        </w:tc>
      </w:tr>
      <w:tr>
        <w:trPr>
          <w:trHeight w:val="157"/>
        </w:trPr>
        <w:tc>
          <w:tcPr>
            <w:tcW w:w="508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480" w:type="dxa"/>
            <w:vAlign w:val="bottom"/>
            <w:gridSpan w:val="2"/>
            <w:shd w:val="clear" w:color="auto" w:fill="CCEEFF"/>
          </w:tcPr>
          <w:p>
            <w:pPr>
              <w:jc w:val="center"/>
              <w:ind w:right="140"/>
              <w:spacing w:after="0" w:line="157" w:lineRule="exact"/>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167"/>
        </w:trPr>
        <w:tc>
          <w:tcPr>
            <w:tcW w:w="5080" w:type="dxa"/>
            <w:vAlign w:val="bottom"/>
            <w:vMerge w:val="restart"/>
          </w:tcPr>
          <w:p>
            <w:pPr>
              <w:ind w:left="540"/>
              <w:spacing w:after="0"/>
              <w:rPr>
                <w:sz w:val="20"/>
                <w:szCs w:val="20"/>
                <w:color w:val="auto"/>
              </w:rPr>
            </w:pPr>
            <w:r>
              <w:rPr>
                <w:rFonts w:ascii="Arial" w:cs="Arial" w:eastAsia="Arial" w:hAnsi="Arial"/>
                <w:sz w:val="18"/>
                <w:szCs w:val="18"/>
                <w:color w:val="auto"/>
              </w:rPr>
              <w:t>Interest rate contracts</w:t>
            </w:r>
          </w:p>
        </w:tc>
        <w:tc>
          <w:tcPr>
            <w:tcW w:w="740" w:type="dxa"/>
            <w:vAlign w:val="bottom"/>
          </w:tcPr>
          <w:p>
            <w:pPr>
              <w:spacing w:after="0"/>
              <w:rPr>
                <w:sz w:val="14"/>
                <w:szCs w:val="14"/>
                <w:color w:val="auto"/>
              </w:rPr>
            </w:pP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50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7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ind w:left="540"/>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In connection with the JDE coffee business transactions, we entered into a number of consecutive euro to U.S. dollar currency exchange forward contracts in 2015 to lock in an equivalent expected value in U.S. dollars. The mark-to-market gains and losses on the derivatives were recorded in earnings. We recorded net losses of $144 million for the three months and net gains of $407 million for the six months ended June 30, 2015 within interest and other expense, net in connection with the forward contracts and the transferring of proceeds to our subsidiaries where coffee net assets and shares were deconsolidated. The currency hedge and related gains and losses were recorded within interest and other expense, net. See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After-tax gains / (losses) related to hedges of net investments in international operations in the form of euro, pound sterling and Swiss franc-denominated debt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27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For the Six Months Ended June 30,</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Gain / (Loss)</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Recognized in</w:t>
            </w: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25"/>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03"/>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40" w:type="dxa"/>
            <w:vAlign w:val="bottom"/>
            <w:gridSpan w:val="5"/>
          </w:tcPr>
          <w:p>
            <w:pPr>
              <w:jc w:val="right"/>
              <w:ind w:right="90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Euro notes</w:t>
            </w:r>
          </w:p>
        </w:tc>
        <w:tc>
          <w:tcPr>
            <w:tcW w:w="7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82</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(72)</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189"/>
        </w:trPr>
        <w:tc>
          <w:tcPr>
            <w:tcW w:w="4840" w:type="dxa"/>
            <w:vAlign w:val="bottom"/>
          </w:tcPr>
          <w:p>
            <w:pPr>
              <w:ind w:left="640"/>
              <w:spacing w:after="0"/>
              <w:rPr>
                <w:sz w:val="20"/>
                <w:szCs w:val="20"/>
                <w:color w:val="auto"/>
              </w:rPr>
            </w:pPr>
            <w:r>
              <w:rPr>
                <w:rFonts w:ascii="Arial" w:cs="Arial" w:eastAsia="Arial" w:hAnsi="Arial"/>
                <w:sz w:val="16"/>
                <w:szCs w:val="16"/>
                <w:color w:val="auto"/>
              </w:rPr>
              <w:t>Pound sterling notes</w:t>
            </w:r>
          </w:p>
        </w:tc>
        <w:tc>
          <w:tcPr>
            <w:tcW w:w="760" w:type="dxa"/>
            <w:vAlign w:val="bottom"/>
          </w:tcPr>
          <w:p>
            <w:pPr>
              <w:spacing w:after="0"/>
              <w:rPr>
                <w:sz w:val="16"/>
                <w:szCs w:val="16"/>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63</w:t>
            </w:r>
          </w:p>
        </w:tc>
        <w:tc>
          <w:tcPr>
            <w:tcW w:w="4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980" w:type="dxa"/>
            <w:vAlign w:val="bottom"/>
          </w:tcPr>
          <w:p>
            <w:pPr>
              <w:jc w:val="center"/>
              <w:spacing w:after="0"/>
              <w:rPr>
                <w:sz w:val="20"/>
                <w:szCs w:val="20"/>
                <w:color w:val="auto"/>
              </w:rPr>
            </w:pPr>
            <w:r>
              <w:rPr>
                <w:rFonts w:ascii="Arial" w:cs="Arial" w:eastAsia="Arial" w:hAnsi="Arial"/>
                <w:sz w:val="16"/>
                <w:szCs w:val="16"/>
                <w:color w:val="auto"/>
              </w:rPr>
              <w:t>Translation</w:t>
            </w: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Swiss franc notes</w:t>
            </w: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w:t>
            </w:r>
          </w:p>
        </w:tc>
        <w:tc>
          <w:tcPr>
            <w:tcW w:w="4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(29)</w:t>
            </w:r>
          </w:p>
        </w:tc>
        <w:tc>
          <w:tcPr>
            <w:tcW w:w="4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Adjustment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Service cost</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cost</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Expected return on plan assets</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w:t>
      </w:r>
    </w:p>
    <w:p>
      <w:pPr>
        <w:spacing w:after="0" w:line="5" w:lineRule="exact"/>
        <w:rPr>
          <w:sz w:val="20"/>
          <w:szCs w:val="20"/>
          <w:color w:val="auto"/>
        </w:rPr>
      </w:pPr>
    </w:p>
    <w:p>
      <w:pPr>
        <w:ind w:left="640" w:right="880"/>
        <w:spacing w:after="0" w:line="246" w:lineRule="auto"/>
        <w:rPr>
          <w:sz w:val="20"/>
          <w:szCs w:val="20"/>
          <w:color w:val="auto"/>
        </w:rPr>
      </w:pPr>
      <w:r>
        <w:rPr>
          <w:rFonts w:ascii="Arial" w:cs="Arial" w:eastAsia="Arial" w:hAnsi="Arial"/>
          <w:sz w:val="16"/>
          <w:szCs w:val="16"/>
          <w:color w:val="auto"/>
        </w:rPr>
        <w:t>Net loss from experience differences Prior service cost / (credit)</w:t>
      </w:r>
    </w:p>
    <w:p>
      <w:pPr>
        <w:spacing w:after="0" w:line="1" w:lineRule="exact"/>
        <w:rPr>
          <w:sz w:val="20"/>
          <w:szCs w:val="20"/>
          <w:color w:val="auto"/>
        </w:rPr>
      </w:pPr>
    </w:p>
    <w:p>
      <w:pPr>
        <w:ind w:left="480" w:right="280"/>
        <w:spacing w:after="0" w:line="313" w:lineRule="auto"/>
        <w:rPr>
          <w:sz w:val="20"/>
          <w:szCs w:val="20"/>
          <w:color w:val="auto"/>
        </w:rPr>
      </w:pPr>
      <w:r>
        <w:rPr>
          <w:rFonts w:ascii="Arial" w:cs="Arial" w:eastAsia="Arial" w:hAnsi="Arial"/>
          <w:sz w:val="16"/>
          <w:szCs w:val="16"/>
          <w:color w:val="auto"/>
        </w:rPr>
        <w:t>Settlement losses / (gains) and other expenses Net periodic pension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Service cost</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cost</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Expected return on plan assets</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loss from experience differences</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Prior service cost / (credit)</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Settlement losses / (gains) and other expenses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Net periodic pension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rPr>
              <w:t>U.S. Plans</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Non-U.S. Plans</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58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tcBorders>
              <w:bottom w:val="single" w:sz="8" w:color="auto"/>
            </w:tcBorders>
            <w:gridSpan w:val="6"/>
          </w:tcPr>
          <w:p>
            <w:pPr>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60" w:type="dxa"/>
            <w:vAlign w:val="bottom"/>
          </w:tcPr>
          <w:p>
            <w:pPr>
              <w:spacing w:after="0"/>
              <w:rPr>
                <w:sz w:val="13"/>
                <w:szCs w:val="13"/>
                <w:color w:val="auto"/>
              </w:rPr>
            </w:pPr>
          </w:p>
        </w:tc>
      </w:tr>
      <w:tr>
        <w:trPr>
          <w:trHeight w:val="156"/>
        </w:trPr>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84"/>
        </w:trPr>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22"/>
                <w:szCs w:val="22"/>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r>
      <w:tr>
        <w:trPr>
          <w:trHeight w:val="189"/>
        </w:trPr>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r>
      <w:tr>
        <w:trPr>
          <w:trHeight w:val="195"/>
        </w:trPr>
        <w:tc>
          <w:tcPr>
            <w:tcW w:w="100" w:type="dxa"/>
            <w:vAlign w:val="bottom"/>
          </w:tcPr>
          <w:p>
            <w:pPr>
              <w:spacing w:after="0"/>
              <w:rPr>
                <w:sz w:val="16"/>
                <w:szCs w:val="16"/>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(119)</w:t>
            </w:r>
          </w:p>
        </w:tc>
      </w:tr>
      <w:tr>
        <w:trPr>
          <w:trHeight w:val="373"/>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r>
      <w:tr>
        <w:trPr>
          <w:trHeight w:val="195"/>
        </w:trPr>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195"/>
        </w:trPr>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4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2"/>
        </w:trPr>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rPr>
              <w:t>U.S. Plans</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Non-U.S. Plans</w:t>
            </w: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1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center"/>
              <w:ind w:right="21"/>
              <w:spacing w:after="0" w:line="155" w:lineRule="exact"/>
              <w:rPr>
                <w:sz w:val="20"/>
                <w:szCs w:val="20"/>
                <w:color w:val="auto"/>
              </w:rPr>
            </w:pPr>
            <w:r>
              <w:rPr>
                <w:rFonts w:ascii="Arial" w:cs="Arial" w:eastAsia="Arial" w:hAnsi="Arial"/>
                <w:sz w:val="14"/>
                <w:szCs w:val="14"/>
                <w:b w:val="1"/>
                <w:bCs w:val="1"/>
                <w:color w:val="auto"/>
              </w:rPr>
              <w:t>For the Six Months Ended June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tcBorders>
              <w:bottom w:val="single" w:sz="8" w:color="auto"/>
            </w:tcBorders>
            <w:gridSpan w:val="6"/>
          </w:tcPr>
          <w:p>
            <w:pPr>
              <w:jc w:val="right"/>
              <w:ind w:right="20"/>
              <w:spacing w:after="0" w:line="155" w:lineRule="exact"/>
              <w:rPr>
                <w:sz w:val="20"/>
                <w:szCs w:val="20"/>
                <w:color w:val="auto"/>
              </w:rPr>
            </w:pPr>
            <w:r>
              <w:rPr>
                <w:rFonts w:ascii="Arial" w:cs="Arial" w:eastAsia="Arial" w:hAnsi="Arial"/>
                <w:sz w:val="14"/>
                <w:szCs w:val="14"/>
                <w:b w:val="1"/>
                <w:bCs w:val="1"/>
                <w:color w:val="auto"/>
              </w:rPr>
              <w:t>For the Six Months Ended June 30,</w:t>
            </w:r>
          </w:p>
        </w:tc>
        <w:tc>
          <w:tcPr>
            <w:tcW w:w="60" w:type="dxa"/>
            <w:vAlign w:val="bottom"/>
          </w:tcPr>
          <w:p>
            <w:pPr>
              <w:spacing w:after="0"/>
              <w:rPr>
                <w:sz w:val="13"/>
                <w:szCs w:val="13"/>
                <w:color w:val="auto"/>
              </w:rPr>
            </w:pPr>
          </w:p>
        </w:tc>
      </w:tr>
      <w:tr>
        <w:trPr>
          <w:trHeight w:val="156"/>
        </w:trPr>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84"/>
        </w:trPr>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6"/>
        </w:trPr>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4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4"/>
                <w:szCs w:val="24"/>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r>
      <w:tr>
        <w:trPr>
          <w:trHeight w:val="203"/>
        </w:trPr>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154</w:t>
            </w:r>
          </w:p>
        </w:tc>
      </w:tr>
      <w:tr>
        <w:trPr>
          <w:trHeight w:val="203"/>
        </w:trPr>
        <w:tc>
          <w:tcPr>
            <w:tcW w:w="10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(221)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(238)</w:t>
            </w:r>
          </w:p>
        </w:tc>
      </w:tr>
      <w:tr>
        <w:trPr>
          <w:trHeight w:val="405"/>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r>
      <w:tr>
        <w:trPr>
          <w:trHeight w:val="203"/>
        </w:trPr>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195"/>
        </w:trPr>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
        </w:trPr>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4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-2709545</wp:posOffset>
            </wp:positionV>
            <wp:extent cx="662051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0510" cy="12001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-2469515</wp:posOffset>
            </wp:positionV>
            <wp:extent cx="662051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0510" cy="12001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-2228850</wp:posOffset>
            </wp:positionV>
            <wp:extent cx="662051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0510" cy="12001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-1988820</wp:posOffset>
            </wp:positionV>
            <wp:extent cx="662051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0510" cy="1289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-1071245</wp:posOffset>
            </wp:positionV>
            <wp:extent cx="662051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0510" cy="1289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-814070</wp:posOffset>
            </wp:positionV>
            <wp:extent cx="662051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0510" cy="1289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-556895</wp:posOffset>
            </wp:positionV>
            <wp:extent cx="662051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0510" cy="1289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-299720</wp:posOffset>
            </wp:positionV>
            <wp:extent cx="662051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0510" cy="12890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4140" w:space="700"/>
            <w:col w:w="65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Net periodic pension cost decreased in the three and six months ended June 30, 2016 due to a combination of factors, including a decreased number of plan participants, changes in discount rates, company contributions to the plans and a change in our approach to measuring service and interest costs. For 2015, we measured service and interest costs utilizing a single weighted-average discount rate derived from the yield curve used to measure the plan obligations. For 2016, we have elected to measure service and interest costs by applying the specific spot rates along that yield curve to the plans’ liability cash flows. We believe the new approach provides a more precise measurement of service and interest costs by aligning the timing of the plans’ liability cash flows to the corresponding spot rates on the yield curve. The impact of this change was a decrease in net periodic pension cost of approximately $16 million for the three months and $32 million for the six months ended June 30, 2016. This change does not affect the measurement of our plan obligations. We have accounted for this change as a change in accounting estimate and, accordingly, have accounted for it on a prospective basis.</w:t>
      </w:r>
    </w:p>
    <w:p>
      <w:pPr>
        <w:spacing w:after="0" w:line="20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Net pension costs of our non-U.S. plans in the three and six months ended June 30, 2016 were also favorably impacted by the reduction in our pension plan obligations due to the JDE coffee business transactions. Prior to the July 2, 2015 closing of the JDE coffee business transactions, certain active employees who transitioned to JDE participated in our non-U.S. pension plans. Following the transactions, benefits began to be provided directly by JDE to participants continuing with JDE. JDE assumed certain pension plan obligations and received the related plan assets. In 2015, we reduced our net benefit plan liabilities by $131 million and the related deferred tax assets by $24 million. Prior to the transactions, for the three and six months ended June 30, 2015, amortization of prior service cost includes $17 million of pension curtailment losses related to employees who subsequently transitioned to JDE. Refer to Note 2, </w:t>
      </w:r>
      <w:r>
        <w:rPr>
          <w:rFonts w:ascii="Arial" w:cs="Arial" w:eastAsia="Arial" w:hAnsi="Arial"/>
          <w:sz w:val="18"/>
          <w:szCs w:val="18"/>
          <w:i w:val="1"/>
          <w:iCs w:val="1"/>
          <w:color w:val="auto"/>
        </w:rPr>
        <w:t>Divestitures and Acquisitions – JDE Coffee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for more information. For participants that elected not to transfer into the JDE plans, we retained the plan obligations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plan assets.</w:t>
      </w:r>
    </w:p>
    <w:p>
      <w:pPr>
        <w:spacing w:after="0" w:line="20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Settlement losses also include pension settlement losses for employees who elected lump-sum payments in connection with our 2014-2018 Restructuring Program. These settlement losses were $9 million for the three and six months ended June 30, 2016 and $6 million for the three and six months ended June 30, 2015. See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During the six months ended June 30, 2016, we contributed $160 million (of which, $150 million was voluntarily contributed) to our U.S. plans and $272 million (of which, $100 million was a non-recurring contribution related to merging our and legacy Cadbury plans in the U.K.) to our non-U.S. plans. As of June 30, 2016, we plan to make further contributions of approximately $10 million to our U.S. plans and approximately $107 million to our non-U.S. plans during the remainder of 2016. However, our actual contributions may differ due to many factors, including changes in tax and other benefit laws or significant differences between expected and actual pension asset performance or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6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r>
      <w:tr>
        <w:trPr>
          <w:trHeight w:val="203"/>
        </w:trPr>
        <w:tc>
          <w:tcPr>
            <w:tcW w:w="550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36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36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Prior service credit</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00" w:type="dxa"/>
            <w:vAlign w:val="bottom"/>
          </w:tcPr>
          <w:p>
            <w:pPr>
              <w:ind w:left="540"/>
              <w:spacing w:after="0"/>
              <w:rPr>
                <w:sz w:val="20"/>
                <w:szCs w:val="20"/>
                <w:color w:val="auto"/>
              </w:rPr>
            </w:pPr>
            <w:r>
              <w:rPr>
                <w:rFonts w:ascii="Arial" w:cs="Arial" w:eastAsia="Arial" w:hAnsi="Arial"/>
                <w:sz w:val="18"/>
                <w:szCs w:val="18"/>
                <w:color w:val="auto"/>
              </w:rPr>
              <w:t>Net periodic postretirement health care costs</w:t>
            </w:r>
          </w:p>
        </w:tc>
        <w:tc>
          <w:tcPr>
            <w:tcW w:w="760" w:type="dxa"/>
            <w:vAlign w:val="bottom"/>
            <w:gridSpan w:val="2"/>
          </w:tcPr>
          <w:p>
            <w:pPr>
              <w:jc w:val="right"/>
              <w:ind w:right="588"/>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8"/>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Net periodic postretirement health care costs decreased in the three and six months ended June 30, 2016 due to a combination of factors, including a decreased number of plan participants, changes in discount rates, company contributions to the plans and a change in our approach to measuring service and interest costs. For 2015, we measured service and interest costs utilizing a single weighted-average discount rate derived from the yield curve used to measure the plan obligations. For 2016, we elected to measure service and interest costs by applying the specific spot rates along that yield curve to the plans’ liability cash flows. We believe the new approach provides a more precise measurement of service and interest costs by aligning the timing of the plans’ liability cash flows to the corresponding spot rates on the yield curve. The impact of this change was a decrease in net periodic postretirement health care costs of approximately $1 million for the three months and $2 million for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six months ended June 30, 2016. This change does not affect the measurement of our plan obligations. We have accounted for this change as a change in accounting estimate and, accordingly, have accounted for it on a prospective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5"/>
          </w:tcPr>
          <w:p>
            <w:pPr>
              <w:ind w:left="4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17"/>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gridSpan w:val="6"/>
          </w:tcPr>
          <w:p>
            <w:pPr>
              <w:jc w:val="right"/>
              <w:ind w:right="15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1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periodic postemployment costs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Note 10. Stock Plans</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1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Stock option activity is reflected below:</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Exercise or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760" w:type="dxa"/>
            <w:vAlign w:val="bottom"/>
            <w:gridSpan w:val="4"/>
          </w:tcPr>
          <w:p>
            <w:pPr>
              <w:ind w:left="640"/>
              <w:spacing w:after="0"/>
              <w:rPr>
                <w:sz w:val="20"/>
                <w:szCs w:val="20"/>
                <w:color w:val="auto"/>
              </w:rPr>
            </w:pPr>
            <w:r>
              <w:rPr>
                <w:rFonts w:ascii="Arial" w:cs="Arial" w:eastAsia="Arial" w:hAnsi="Arial"/>
                <w:sz w:val="14"/>
                <w:szCs w:val="14"/>
                <w:b w:val="1"/>
                <w:bCs w:val="1"/>
                <w:color w:val="auto"/>
              </w:rPr>
              <w:t>Shares Subject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Grant Price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 Option</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Term</w:t>
            </w:r>
          </w:p>
        </w:tc>
        <w:tc>
          <w:tcPr>
            <w:tcW w:w="1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88"/>
        </w:trPr>
        <w:tc>
          <w:tcPr>
            <w:tcW w:w="4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57,034,108</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26.12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 years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229 million</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ind w:left="720"/>
              <w:spacing w:after="0" w:line="196" w:lineRule="exact"/>
              <w:rPr>
                <w:sz w:val="20"/>
                <w:szCs w:val="20"/>
                <w:color w:val="auto"/>
              </w:rPr>
            </w:pPr>
            <w:r>
              <w:rPr>
                <w:rFonts w:ascii="Arial" w:cs="Arial" w:eastAsia="Arial" w:hAnsi="Arial"/>
                <w:sz w:val="18"/>
                <w:szCs w:val="18"/>
                <w:color w:val="auto"/>
              </w:rPr>
              <w:t>Annual grant to eligible employees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7,517,290</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39.70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Additional options issued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81,040</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42.90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Pr>
          <w:p>
            <w:pPr>
              <w:ind w:left="900"/>
              <w:spacing w:after="0"/>
              <w:rPr>
                <w:sz w:val="20"/>
                <w:szCs w:val="20"/>
                <w:color w:val="auto"/>
              </w:rPr>
            </w:pPr>
            <w:r>
              <w:rPr>
                <w:rFonts w:ascii="Arial" w:cs="Arial" w:eastAsia="Arial" w:hAnsi="Arial"/>
                <w:sz w:val="18"/>
                <w:szCs w:val="18"/>
                <w:color w:val="auto"/>
              </w:rPr>
              <w:t>Total options granted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7,598,330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Options exercised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(5,454,431)</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24.20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103 million</w:t>
            </w:r>
          </w:p>
        </w:tc>
        <w:tc>
          <w:tcPr>
            <w:tcW w:w="0" w:type="dxa"/>
            <w:vAlign w:val="bottom"/>
          </w:tcPr>
          <w:p>
            <w:pPr>
              <w:spacing w:after="0"/>
              <w:rPr>
                <w:sz w:val="1"/>
                <w:szCs w:val="1"/>
                <w:color w:val="auto"/>
              </w:rPr>
            </w:pPr>
          </w:p>
        </w:tc>
      </w:tr>
      <w:tr>
        <w:trPr>
          <w:trHeight w:val="203"/>
        </w:trPr>
        <w:tc>
          <w:tcPr>
            <w:tcW w:w="4120" w:type="dxa"/>
            <w:vAlign w:val="bottom"/>
          </w:tcPr>
          <w:p>
            <w:pPr>
              <w:ind w:left="720"/>
              <w:spacing w:after="0" w:line="202" w:lineRule="exact"/>
              <w:rPr>
                <w:sz w:val="20"/>
                <w:szCs w:val="20"/>
                <w:color w:val="auto"/>
              </w:rPr>
            </w:pPr>
            <w:r>
              <w:rPr>
                <w:rFonts w:ascii="Arial" w:cs="Arial" w:eastAsia="Arial" w:hAnsi="Arial"/>
                <w:sz w:val="18"/>
                <w:szCs w:val="18"/>
                <w:color w:val="auto"/>
              </w:rPr>
              <w:t>Options cancelled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(1,254,004)</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35.77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June 30, 2016</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57,924,003</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27.87</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 years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261 million</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will only grant deferred stock units and performance share units and no longer grant restricted stock. Our deferred stock unit, performance share unit and restricted stock activity is reflected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Weighted-Average</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980" w:type="dxa"/>
            <w:vAlign w:val="bottom"/>
            <w:gridSpan w:val="3"/>
          </w:tcPr>
          <w:p>
            <w:pPr>
              <w:jc w:val="right"/>
              <w:ind w:right="908"/>
              <w:spacing w:after="0"/>
              <w:rPr>
                <w:sz w:val="20"/>
                <w:szCs w:val="20"/>
                <w:color w:val="auto"/>
              </w:rPr>
            </w:pPr>
            <w:r>
              <w:rPr>
                <w:rFonts w:ascii="Arial" w:cs="Arial" w:eastAsia="Arial" w:hAnsi="Arial"/>
                <w:sz w:val="14"/>
                <w:szCs w:val="14"/>
                <w:b w:val="1"/>
                <w:bCs w:val="1"/>
                <w:color w:val="auto"/>
              </w:rPr>
              <w:t>Grant Date</w:t>
            </w: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8"/>
        </w:trPr>
        <w:tc>
          <w:tcPr>
            <w:tcW w:w="476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16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9,418,216</w:t>
            </w:r>
          </w:p>
        </w:tc>
        <w:tc>
          <w:tcPr>
            <w:tcW w:w="198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28.00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720"/>
              <w:spacing w:after="0"/>
              <w:rPr>
                <w:sz w:val="20"/>
                <w:szCs w:val="20"/>
                <w:color w:val="auto"/>
              </w:rPr>
            </w:pPr>
            <w:r>
              <w:rPr>
                <w:rFonts w:ascii="Arial" w:cs="Arial" w:eastAsia="Arial" w:hAnsi="Arial"/>
                <w:sz w:val="18"/>
                <w:szCs w:val="18"/>
                <w:color w:val="auto"/>
              </w:rPr>
              <w:t>Annual grant to eligible employees: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3"/>
            <w:vMerge w:val="restart"/>
          </w:tcPr>
          <w:p>
            <w:pPr>
              <w:jc w:val="center"/>
              <w:ind w:right="548"/>
              <w:spacing w:after="0"/>
              <w:rPr>
                <w:sz w:val="20"/>
                <w:szCs w:val="20"/>
                <w:color w:val="auto"/>
              </w:rPr>
            </w:pPr>
            <w:r>
              <w:rPr>
                <w:rFonts w:ascii="Arial" w:cs="Arial" w:eastAsia="Arial" w:hAnsi="Arial"/>
                <w:sz w:val="18"/>
                <w:szCs w:val="18"/>
                <w:color w:val="auto"/>
              </w:rPr>
              <w:t>Feb. 22, 2016</w:t>
            </w: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Performance share units</w:t>
            </w:r>
          </w:p>
        </w:tc>
        <w:tc>
          <w:tcPr>
            <w:tcW w:w="16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1,406,500</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39.70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900"/>
              <w:spacing w:after="0" w:line="202" w:lineRule="exact"/>
              <w:rPr>
                <w:sz w:val="20"/>
                <w:szCs w:val="20"/>
                <w:color w:val="auto"/>
              </w:rPr>
            </w:pPr>
            <w:r>
              <w:rPr>
                <w:rFonts w:ascii="Arial" w:cs="Arial" w:eastAsia="Arial" w:hAnsi="Arial"/>
                <w:sz w:val="18"/>
                <w:szCs w:val="18"/>
                <w:color w:val="auto"/>
              </w:rPr>
              <w:t>Deferred stock units</w:t>
            </w:r>
          </w:p>
        </w:tc>
        <w:tc>
          <w:tcPr>
            <w:tcW w:w="16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1,040,790</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39.70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16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699,480</w:t>
            </w:r>
          </w:p>
        </w:tc>
        <w:tc>
          <w:tcPr>
            <w:tcW w:w="1980" w:type="dxa"/>
            <w:vAlign w:val="bottom"/>
            <w:gridSpan w:val="3"/>
            <w:shd w:val="clear" w:color="auto" w:fill="CCEEFF"/>
          </w:tcPr>
          <w:p>
            <w:pPr>
              <w:jc w:val="center"/>
              <w:ind w:right="548"/>
              <w:spacing w:after="0" w:line="202" w:lineRule="exact"/>
              <w:rPr>
                <w:sz w:val="20"/>
                <w:szCs w:val="20"/>
                <w:color w:val="auto"/>
              </w:rPr>
            </w:pPr>
            <w:r>
              <w:rPr>
                <w:rFonts w:ascii="Arial" w:cs="Arial" w:eastAsia="Arial" w:hAnsi="Arial"/>
                <w:sz w:val="18"/>
                <w:szCs w:val="18"/>
                <w:color w:val="auto"/>
                <w:w w:val="98"/>
              </w:rPr>
              <w:t>Various</w:t>
            </w:r>
          </w:p>
        </w:tc>
        <w:tc>
          <w:tcPr>
            <w:tcW w:w="16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23.71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900"/>
              <w:spacing w:after="0"/>
              <w:rPr>
                <w:sz w:val="20"/>
                <w:szCs w:val="20"/>
                <w:color w:val="auto"/>
              </w:rPr>
            </w:pPr>
            <w:r>
              <w:rPr>
                <w:rFonts w:ascii="Arial" w:cs="Arial" w:eastAsia="Arial" w:hAnsi="Arial"/>
                <w:sz w:val="18"/>
                <w:szCs w:val="18"/>
                <w:color w:val="auto"/>
              </w:rPr>
              <w:t>Total shares granted</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3,146,770</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36.15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114 million</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(3,764,481)</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40.01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151 million</w:t>
            </w:r>
          </w:p>
        </w:tc>
        <w:tc>
          <w:tcPr>
            <w:tcW w:w="0" w:type="dxa"/>
            <w:vAlign w:val="bottom"/>
          </w:tcPr>
          <w:p>
            <w:pPr>
              <w:spacing w:after="0"/>
              <w:rPr>
                <w:sz w:val="1"/>
                <w:szCs w:val="1"/>
                <w:color w:val="auto"/>
              </w:rPr>
            </w:pPr>
          </w:p>
        </w:tc>
      </w:tr>
      <w:tr>
        <w:trPr>
          <w:trHeight w:val="203"/>
        </w:trPr>
        <w:tc>
          <w:tcPr>
            <w:tcW w:w="4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(858,698)</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37.53</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June 30, 2016</w:t>
            </w:r>
          </w:p>
        </w:tc>
        <w:tc>
          <w:tcPr>
            <w:tcW w:w="16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7,941,807</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24.51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During 2013, our Board of Directors authorized the repurchase of $7.7 billion of our Common Stock through December 31, 2016. On July 29, 2015, our Finance Committee, with authorization delegated from our Board of Directors, approved an increase of $6.0 billion in the share repurchase program, raising the authorization to $13.7 billion of Common Stock repurchases, and extended the program through December 31, 2018. Repurchases under the program are determined by management and are wholly discretionary. During the six months ended June 30, 2016, we repurchased 32.0 million shares of Common Stock at an average cost of $41.07 per share, or an aggregate cost of $1.3 billion, all of which was paid during the period. All share repurchases were funded through available cash and commercial paper issuances. As of June 30, 2016, we have $4.1 billion in remaining share repurchase capacity.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 compliant and ethical corporate culture, which includes adhering to laws and industry regulations in all jurisdictions in which we do business, is integral to our success. Accordingly, after we acquired Cadbury in February 2010, we began reviewing and adjusting, as needed, Cadbury’s operations in light of applicable standards as well as our policies and practices. We initially focused on such high priority areas as food safety, the Foreign Corrupt Practices Act (“FCPA”) and antitrust. Based upon Cadbury’s pre-acquisition policies and compliance programs and our post-acquisition reviews, our preliminary findings indicated that Cadbury’s overall state of compliance was sound. Nonetheless, through our reviews, we determined that in certain jurisdictions, including India, there appeared to be facts and circumstances warranting further investigation. We are continuing our investigations in certain jurisdictions, including in India, and we continue to cooperate with governmental authorities.</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we previously disclosed, on February 1, 2011, we received a subpoena from the SEC in connection with an investigation under the FCPA, primarily related to a facility in India that we acquired in the Cadbury acquisition. The subpoena primarily requests information regarding dealings with Indian governmental agencies and officials to obtain approvals related to the operation of that facility. We are continuing to cooperate with the U.S. and Indian governments in their investigations of these matters. On February 11, 2016, we received a “Wells” notice from the SEC indicating that the staff has made a preliminary determination to recommend that the SEC file an enforcement action against us for violations of the books and records and internal controls provisions of the Securities Exchange Act of 1934, as amended (the “Exchange Act”), in connection with the investigation. On March 18, 2016, we made a submission to the staff of the SEC in response to the notice. We have engaged in discussions with the SEC and with the U.S. Department of Justice to discuss potential resolution of their respective investigations.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($55 million as of June 30, 2016)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($87 million as of June 30, 2016). We have appealed this order. In addition, the Excise Authority issued additional show cause notices on February 6, 2015 and December 8, 2015 on the same issue but covering the periods January to October 2014 and November 2014 to September 2015, respectively. These notices added a total of 2.4 billion Indian rupees ($35 million as of June 30, 2016) of unpaid excise taxes as well as penalties to be determined up to an amount equivalent to that claimed by the Excise Authority and interest. We believe that the decision to claim the excise tax benefit is valid and we are continuing to contest the show cause notices through the administrative and judicial process.</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 Northern District of Illinois, Eastern Division (the “CFTC action”). The complaint alleges that Kraft Foods Group and Mondelēz Global (1) manipulated or attempted to manipulate the wheat markets during the fall of 2011; (2) violated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In June 2016, the court denied Mondelēz Global and Kraft Foods Group’s motion to dismiss, and the parties are now in discovery. It is not possible to predict the outcome of these matters; however, based on our Separation and Distribution Agreement with Kraft Foods Group dated as of September 27, 2012, we expect to predominantly bear any monetary penalties or other payments in connection with the CFTC action.</w:t>
      </w:r>
    </w:p>
    <w:p>
      <w:pPr>
        <w:spacing w:after="0" w:line="20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While we cannot predict with certainty the results of any Legal Matters in which we are currently involved, we do not expect that the ultimate costs to resolve any of these Legal Matters, individually or in the aggregate, will have a material effect on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enter into third-party guarantees primarily to cover the long-term obligations of our vendors. As part of these transactions, we guarantee that third parties will make contractual payments or achieve performance measures. At June 30, 2016, we had no material third-party guarantees recorded on our condensed consolidated balance sheet.</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from Accumulated Other Comprehensive Income</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 / (losses) attributable to Mondelēz International. Amounts reclassified from accumulated other comprehensive earnings / (losses) to net earnings (net of tax) were net losses of $ 38 million in the three months and $178 million for the six months ended June 30, 2016 and $13 million in the three months and $38 million in the six months ended June 30,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Currency Translation Adjustments: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(7,418)</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(6,930)</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(8,006)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translation adjustments attributable to:</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Translation of international operations </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752</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Pension and other benefit plans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5940" w:type="dxa"/>
            <w:vAlign w:val="bottom"/>
          </w:tcPr>
          <w:p>
            <w:pPr>
              <w:ind w:left="720"/>
              <w:spacing w:after="0" w:line="201" w:lineRule="exact"/>
              <w:rPr>
                <w:sz w:val="20"/>
                <w:szCs w:val="20"/>
                <w:color w:val="auto"/>
              </w:rPr>
            </w:pPr>
            <w:r>
              <w:rPr>
                <w:rFonts w:ascii="Arial" w:cs="Arial" w:eastAsia="Arial" w:hAnsi="Arial"/>
                <w:sz w:val="18"/>
                <w:szCs w:val="18"/>
                <w:color w:val="auto"/>
              </w:rPr>
              <w:t>Derivatives accounted for as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900"/>
              <w:spacing w:after="0" w:line="203" w:lineRule="exact"/>
              <w:rPr>
                <w:sz w:val="20"/>
                <w:szCs w:val="20"/>
                <w:color w:val="auto"/>
              </w:rPr>
            </w:pPr>
            <w:r>
              <w:rPr>
                <w:rFonts w:ascii="Arial" w:cs="Arial" w:eastAsia="Arial" w:hAnsi="Arial"/>
                <w:sz w:val="18"/>
                <w:szCs w:val="18"/>
                <w:color w:val="auto"/>
              </w:rPr>
              <w:t>net investment hedges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251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(284)</w:t>
            </w:r>
          </w:p>
        </w:tc>
        <w:tc>
          <w:tcPr>
            <w:tcW w:w="260" w:type="dxa"/>
            <w:vAlign w:val="bottom"/>
          </w:tcPr>
          <w:p>
            <w:pPr>
              <w:spacing w:after="0"/>
              <w:rPr>
                <w:sz w:val="17"/>
                <w:szCs w:val="17"/>
                <w:color w:val="auto"/>
              </w:rPr>
            </w:pPr>
          </w:p>
        </w:tc>
        <w:tc>
          <w:tcPr>
            <w:tcW w:w="11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Tax (expense) / benefit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501</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Less: portion attributable to noncontrolling interests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end of period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(7,867)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(6,438)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(7,867)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10"/>
        </w:trPr>
        <w:tc>
          <w:tcPr>
            <w:tcW w:w="5940" w:type="dxa"/>
            <w:vAlign w:val="bottom"/>
          </w:tcPr>
          <w:p>
            <w:pPr>
              <w:ind w:left="360"/>
              <w:spacing w:after="0"/>
              <w:rPr>
                <w:sz w:val="20"/>
                <w:szCs w:val="20"/>
                <w:color w:val="auto"/>
              </w:rPr>
            </w:pPr>
            <w:r>
              <w:rPr>
                <w:rFonts w:ascii="Arial" w:cs="Arial" w:eastAsia="Arial" w:hAnsi="Arial"/>
                <w:sz w:val="18"/>
                <w:szCs w:val="18"/>
                <w:b w:val="1"/>
                <w:bCs w:val="1"/>
                <w:color w:val="auto"/>
              </w:rPr>
              <w:t>Pension and Other Benefit Plans: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(1,910)</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(2,232)</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(1,934)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Net actuarial gain / (loss) arising during period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w:t>
            </w:r>
          </w:p>
        </w:tc>
        <w:tc>
          <w:tcPr>
            <w:tcW w:w="26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Tax (expense) / benefit on net actuarial</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gain / (loss)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Amortization of experience losses and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Settlement losses </w:t>
            </w:r>
            <w:r>
              <w:rPr>
                <w:rFonts w:ascii="Arial" w:cs="Arial" w:eastAsia="Arial" w:hAnsi="Arial"/>
                <w:sz w:val="15"/>
                <w:szCs w:val="15"/>
                <w:color w:val="auto"/>
              </w:rPr>
              <w:t>(2)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540"/>
              <w:spacing w:after="0"/>
              <w:rPr>
                <w:sz w:val="20"/>
                <w:szCs w:val="20"/>
                <w:color w:val="auto"/>
              </w:rPr>
            </w:pPr>
            <w:r>
              <w:rPr>
                <w:rFonts w:ascii="Arial" w:cs="Arial" w:eastAsia="Arial" w:hAnsi="Arial"/>
                <w:sz w:val="18"/>
                <w:szCs w:val="18"/>
                <w:color w:val="auto"/>
              </w:rPr>
              <w:t>Other comprehensive earnings / (losses)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end of period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(1,865)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(2,201)</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(1,865)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0"/>
        </w:trPr>
        <w:tc>
          <w:tcPr>
            <w:tcW w:w="5940" w:type="dxa"/>
            <w:vAlign w:val="bottom"/>
          </w:tcPr>
          <w:p>
            <w:pPr>
              <w:ind w:left="360"/>
              <w:spacing w:after="0"/>
              <w:rPr>
                <w:sz w:val="20"/>
                <w:szCs w:val="20"/>
                <w:color w:val="auto"/>
              </w:rPr>
            </w:pPr>
            <w:r>
              <w:rPr>
                <w:rFonts w:ascii="Arial" w:cs="Arial" w:eastAsia="Arial" w:hAnsi="Arial"/>
                <w:sz w:val="18"/>
                <w:szCs w:val="18"/>
                <w:b w:val="1"/>
                <w:bCs w:val="1"/>
                <w:color w:val="auto"/>
              </w:rPr>
              <w:t>Derivative Cash Flow Hedges: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Net derivative gains / (losses)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66</w:t>
            </w:r>
          </w:p>
        </w:tc>
        <w:tc>
          <w:tcPr>
            <w:tcW w:w="26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Tax (expense) / benefit on net derivative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gain / (loss)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Currency exchange contracts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forecasted transactions </w:t>
            </w:r>
            <w:r>
              <w:rPr>
                <w:rFonts w:ascii="Arial" w:cs="Arial" w:eastAsia="Arial" w:hAnsi="Arial"/>
                <w:sz w:val="15"/>
                <w:szCs w:val="15"/>
                <w:color w:val="auto"/>
              </w:rPr>
              <w:t>(4)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59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15"/>
                <w:szCs w:val="15"/>
                <w:color w:val="auto"/>
              </w:rPr>
              <w:t>(4)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15"/>
                <w:szCs w:val="15"/>
                <w:color w:val="auto"/>
              </w:rPr>
              <w:t>(5)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59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0"/>
        </w:trPr>
        <w:tc>
          <w:tcPr>
            <w:tcW w:w="594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Mondelēz International:</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(9,381)</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(9,208)</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(9,986)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other comprehensive earnings / (losses)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525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0"/>
        </w:trPr>
        <w:tc>
          <w:tcPr>
            <w:tcW w:w="5940" w:type="dxa"/>
            <w:vAlign w:val="bottom"/>
          </w:tcPr>
          <w:p>
            <w:pPr>
              <w:ind w:left="540"/>
              <w:spacing w:after="0" w:line="202" w:lineRule="exact"/>
              <w:rPr>
                <w:sz w:val="20"/>
                <w:szCs w:val="20"/>
                <w:color w:val="auto"/>
              </w:rPr>
            </w:pPr>
            <w:r>
              <w:rPr>
                <w:rFonts w:ascii="Arial" w:cs="Arial" w:eastAsia="Arial" w:hAnsi="Arial"/>
                <w:sz w:val="18"/>
                <w:szCs w:val="18"/>
                <w:color w:val="auto"/>
              </w:rPr>
              <w:t>Less: portion attributable to noncontrolling interests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Other comprehensive earnings / (losses) attributable to Mondelēz</w:t>
            </w: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516</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(9,768)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(8,692)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(9,768)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right="400" w:hanging="335"/>
        <w:spacing w:after="0" w:line="241" w:lineRule="auto"/>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For the six months ended June 30, 2016, includes $57 million of historical cumulative transaction adjustments reclassified to net earnings within the gain on equity method investment exchange in the first quarter. See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w:t>
      </w:r>
    </w:p>
    <w:p>
      <w:pPr>
        <w:ind w:left="1140" w:right="100" w:hanging="335"/>
        <w:spacing w:after="0" w:line="241" w:lineRule="auto"/>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These reclassified gains or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 and equity method investment net earnings.</w:t>
      </w:r>
    </w:p>
    <w:p>
      <w:pPr>
        <w:ind w:left="1140" w:hanging="335"/>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Taxes related to reclassified gains or losses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on current tax laws, our estimated annual effective tax rate for 2016 is 22.5%, reflecting favorable impacts from the mix of pre-tax income in various non-U.S. tax jurisdictions. Our 2016 second quarter effective tax rate of 24.2% includes net expense from discrete one-time events of $ 6 million, mainly due to interest accruals on uncertain tax positions. Our effective tax rate for the six months ended June 30, 2016 of 17.3% was favorably impacted by net tax benefit from $49 million of discrete one-time events. The discrete net tax benefit primarily consisted of a $39 million benefit from release of uncertain tax positions due to expirations of statutes of limitations in several jurisdictions.</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of the second quarter of 2015, our estimated annual effective tax rate for 2015 was 19.0%, reflecting favorable impacts from the mix of pre-tax income in various non-U.S. tax jurisdictions. Our 2015 second quarter effective tax rate of 19.0% included net tax expense from $8 million of discrete one-time events. The discrete net tax expense primarily consisted of $22 million related to the sale of our interest in AGF, partially offset by $ 11 million related to favorable audit settlements and expirations of statutes of limitations in several jurisdictions. Our effective tax rate for the six months ended June 30, 2015 of 22.4% was unfavorably impacted by net tax expense from $ 33 million of discrete one-time events. The discrete net tax expense primarily consisted of $54 million of tax charges related to the sale of our interest in AGF ($ 32 million in the first quarter upon the investment’s change to held-for-sale status and an additional $ 22 million upon the closing of the sale in the second quarter), partially offset by $33 million from favorable audit settlements and expirations of statutes of limitations in several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from continuing and discontinued operations were calculated using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3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6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(in millions, except per share data)</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6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6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1,028</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7"/>
                <w:szCs w:val="17"/>
                <w:color w:val="auto"/>
              </w:rPr>
            </w:pPr>
          </w:p>
        </w:tc>
      </w:tr>
      <w:tr>
        <w:trPr>
          <w:trHeight w:val="203"/>
        </w:trPr>
        <w:tc>
          <w:tcPr>
            <w:tcW w:w="6160" w:type="dxa"/>
            <w:vAlign w:val="bottom"/>
          </w:tcPr>
          <w:p>
            <w:pPr>
              <w:ind w:left="540"/>
              <w:spacing w:after="0" w:line="202" w:lineRule="exact"/>
              <w:rPr>
                <w:sz w:val="20"/>
                <w:szCs w:val="20"/>
                <w:color w:val="auto"/>
              </w:rPr>
            </w:pPr>
            <w:r>
              <w:rPr>
                <w:rFonts w:ascii="Arial" w:cs="Arial" w:eastAsia="Arial" w:hAnsi="Arial"/>
                <w:sz w:val="18"/>
                <w:szCs w:val="18"/>
                <w:color w:val="auto"/>
              </w:rPr>
              <w:t>Noncontrolling interest earnings</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7"/>
        </w:trPr>
        <w:tc>
          <w:tcPr>
            <w:tcW w:w="6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1,018</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6160" w:type="dxa"/>
            <w:vAlign w:val="bottom"/>
          </w:tcPr>
          <w:p>
            <w:pPr>
              <w:ind w:left="540"/>
              <w:spacing w:after="0"/>
              <w:rPr>
                <w:sz w:val="20"/>
                <w:szCs w:val="20"/>
                <w:color w:val="auto"/>
              </w:rPr>
            </w:pPr>
            <w:r>
              <w:rPr>
                <w:rFonts w:ascii="Arial" w:cs="Arial" w:eastAsia="Arial" w:hAnsi="Arial"/>
                <w:sz w:val="18"/>
                <w:szCs w:val="18"/>
                <w:color w:val="auto"/>
              </w:rPr>
              <w:t>Weighted-average shares for basic EPS</w:t>
            </w:r>
          </w:p>
        </w:tc>
        <w:tc>
          <w:tcPr>
            <w:tcW w:w="1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r>
      <w:tr>
        <w:trPr>
          <w:trHeight w:val="202"/>
        </w:trPr>
        <w:tc>
          <w:tcPr>
            <w:tcW w:w="61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Plus incremental shares from assumed conversions of stock</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1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options and long-term incentive plan shares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17</w:t>
            </w:r>
          </w:p>
        </w:tc>
      </w:tr>
      <w:tr>
        <w:trPr>
          <w:trHeight w:val="20"/>
        </w:trPr>
        <w:tc>
          <w:tcPr>
            <w:tcW w:w="6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60" w:type="dxa"/>
            <w:vAlign w:val="bottom"/>
          </w:tcPr>
          <w:p>
            <w:pPr>
              <w:ind w:left="540"/>
              <w:spacing w:after="0"/>
              <w:rPr>
                <w:sz w:val="20"/>
                <w:szCs w:val="20"/>
                <w:color w:val="auto"/>
              </w:rPr>
            </w:pPr>
            <w:r>
              <w:rPr>
                <w:rFonts w:ascii="Arial" w:cs="Arial" w:eastAsia="Arial" w:hAnsi="Arial"/>
                <w:sz w:val="18"/>
                <w:szCs w:val="18"/>
                <w:color w:val="auto"/>
              </w:rPr>
              <w:t>Weighted-average shares for diluted EPS</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1,643</w:t>
            </w: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1,581</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Basic earnings per share attributable to Mondelēz International</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7"/>
                <w:szCs w:val="17"/>
                <w:color w:val="auto"/>
              </w:rPr>
            </w:pPr>
          </w:p>
        </w:tc>
      </w:tr>
      <w:tr>
        <w:trPr>
          <w:trHeight w:val="217"/>
        </w:trPr>
        <w:tc>
          <w:tcPr>
            <w:tcW w:w="616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r>
    </w:tbl>
    <w:p>
      <w:pPr>
        <w:spacing w:after="0" w:line="201"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6.5 million for the three months and 10.2 million for the six months ended June 30, 2016 and 12.6 million for the three months 13.2 million for the six months ended June 30, 2015.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five reportable operating segments:</w:t>
      </w:r>
    </w:p>
    <w:p>
      <w:pPr>
        <w:ind w:left="900" w:hanging="325"/>
        <w:spacing w:after="0" w:line="23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Asia Pacific</w:t>
      </w:r>
    </w:p>
    <w:p>
      <w:pPr>
        <w:ind w:left="900" w:hanging="325"/>
        <w:spacing w:after="0" w:line="23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EEMEA</w:t>
      </w:r>
    </w:p>
    <w:p>
      <w:pPr>
        <w:ind w:left="900" w:hanging="325"/>
        <w:spacing w:after="0" w:line="23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Beginning in the fourth quarter of 2016, we plan to integrate our EEMEA business into our Europe and Asia Pacific segments. Russia, Ukraine, Turkey, Belarus, Georgia and Kazakhstan will be integrated within our Europe operating segment, while the remaining Middle East and African countries will be integrated within our Asia Pacific operating segment to form a new Asia, Middle East and Africa (“AMEA”) regional operating segment.</w:t>
      </w:r>
    </w:p>
    <w:p>
      <w:pPr>
        <w:spacing w:after="0" w:line="20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Equity method investment net earnings were $102 million for the three months and $187 million for the six months ended June 30, 2016. Earnings from equity method investments recorded within segment operating income were $27 million in Asia Pacific, $2 million in EEMEA and $1 million in North America for the three months and $49 million in Asia Pacific, $4 million in North America and $3 million in EEMEA for the six months ended June 30, 2015. See Note 1, </w:t>
      </w:r>
      <w:r>
        <w:rPr>
          <w:rFonts w:ascii="Arial" w:cs="Arial" w:eastAsia="Arial" w:hAnsi="Arial"/>
          <w:sz w:val="18"/>
          <w:szCs w:val="18"/>
          <w:i w:val="1"/>
          <w:iCs w:val="1"/>
          <w:color w:val="auto"/>
        </w:rPr>
        <w:t>Basis of Presentation – Principles of Consolidation,</w:t>
      </w:r>
      <w:r>
        <w:rPr>
          <w:rFonts w:ascii="Arial" w:cs="Arial" w:eastAsia="Arial" w:hAnsi="Arial"/>
          <w:sz w:val="18"/>
          <w:szCs w:val="18"/>
          <w:color w:val="auto"/>
        </w:rPr>
        <w:t xml:space="preserve"> for additional information.</w:t>
      </w:r>
    </w:p>
    <w:p>
      <w:pPr>
        <w:spacing w:after="0" w:line="2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or acquisitions, gain on the JDE coffee business transactions, loss on deconsolidation of Venezuela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843</w:t>
            </w:r>
          </w:p>
        </w:tc>
        <w:tc>
          <w:tcPr>
            <w:tcW w:w="220" w:type="dxa"/>
            <w:vAlign w:val="bottom"/>
          </w:tcPr>
          <w:p>
            <w:pPr>
              <w:spacing w:after="0"/>
              <w:rPr>
                <w:sz w:val="17"/>
                <w:szCs w:val="17"/>
                <w:color w:val="auto"/>
              </w:rPr>
            </w:pP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1,240</w:t>
            </w: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1,660</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2,497</w:t>
            </w:r>
          </w:p>
        </w:tc>
      </w:tr>
      <w:tr>
        <w:trPr>
          <w:trHeight w:val="203"/>
        </w:trPr>
        <w:tc>
          <w:tcPr>
            <w:tcW w:w="5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2,177</w:t>
            </w:r>
          </w:p>
        </w:tc>
      </w:tr>
      <w:tr>
        <w:trPr>
          <w:trHeight w:val="203"/>
        </w:trPr>
        <w:tc>
          <w:tcPr>
            <w:tcW w:w="59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EEMEA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869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1,195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1,564</w:t>
            </w:r>
          </w:p>
        </w:tc>
      </w:tr>
      <w:tr>
        <w:trPr>
          <w:trHeight w:val="203"/>
        </w:trPr>
        <w:tc>
          <w:tcPr>
            <w:tcW w:w="5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2,068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2,815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4,357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5,790</w:t>
            </w:r>
          </w:p>
        </w:tc>
      </w:tr>
      <w:tr>
        <w:trPr>
          <w:trHeight w:val="210"/>
        </w:trPr>
        <w:tc>
          <w:tcPr>
            <w:tcW w:w="5920" w:type="dxa"/>
            <w:vAlign w:val="bottom"/>
          </w:tcPr>
          <w:p>
            <w:pPr>
              <w:ind w:left="720"/>
              <w:spacing w:after="0" w:line="202" w:lineRule="exact"/>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3,395</w:t>
            </w:r>
          </w:p>
        </w:tc>
        <w:tc>
          <w:tcPr>
            <w:tcW w:w="100" w:type="dxa"/>
            <w:vAlign w:val="bottom"/>
          </w:tcPr>
          <w:p>
            <w:pPr>
              <w:spacing w:after="0"/>
              <w:rPr>
                <w:sz w:val="18"/>
                <w:szCs w:val="18"/>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6,302</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7,661</w:t>
            </w: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12,757</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15,423</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60" w:hanging="335"/>
        <w:spacing w:after="0" w:line="24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Net revenues of $301 million for the three months and $519 million for the six months ended June 30, 2015 from our Venezuelan subsidiaries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1140" w:right="220" w:hanging="335"/>
        <w:spacing w:after="0" w:line="247"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segments. Net revenues of our global coffee business were $730 million in Europe, $130 million in EEMEA and $15 million in Asia Pacific for the three months and $1,348 million in Europe, $246 million in EEMEA and $33 million in Asia Pacific for the six months ended June 30, 2015. Refer to Note 2, </w:t>
      </w:r>
      <w:r>
        <w:rPr>
          <w:rFonts w:ascii="Arial" w:cs="Arial" w:eastAsia="Arial" w:hAnsi="Arial"/>
          <w:sz w:val="14"/>
          <w:szCs w:val="14"/>
          <w:i w:val="1"/>
          <w:iCs w:val="1"/>
          <w:color w:val="auto"/>
        </w:rPr>
        <w:t>Divestitures and Acquisitions – JDE Coffee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 for more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4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4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4600" w:type="dxa"/>
            <w:vAlign w:val="bottom"/>
            <w:shd w:val="clear" w:color="auto" w:fill="CCEEFF"/>
          </w:tcPr>
          <w:p>
            <w:pPr>
              <w:jc w:val="center"/>
              <w:ind w:right="990"/>
              <w:spacing w:after="0" w:line="202" w:lineRule="exact"/>
              <w:rPr>
                <w:sz w:val="20"/>
                <w:szCs w:val="20"/>
                <w:color w:val="auto"/>
              </w:rPr>
            </w:pPr>
            <w:r>
              <w:rPr>
                <w:rFonts w:ascii="Arial" w:cs="Arial" w:eastAsia="Arial" w:hAnsi="Arial"/>
                <w:sz w:val="18"/>
                <w:szCs w:val="18"/>
                <w:color w:val="auto"/>
              </w:rPr>
              <w:t>Earnings before income taxes:</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60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7"/>
                <w:szCs w:val="17"/>
                <w:color w:val="auto"/>
              </w:rPr>
            </w:pPr>
          </w:p>
        </w:tc>
      </w:tr>
      <w:tr>
        <w:trPr>
          <w:trHeight w:val="203"/>
        </w:trPr>
        <w:tc>
          <w:tcPr>
            <w:tcW w:w="4600" w:type="dxa"/>
            <w:vAlign w:val="bottom"/>
          </w:tcPr>
          <w:p>
            <w:pPr>
              <w:ind w:left="900"/>
              <w:spacing w:after="0" w:line="202" w:lineRule="exact"/>
              <w:rPr>
                <w:sz w:val="20"/>
                <w:szCs w:val="20"/>
                <w:color w:val="auto"/>
              </w:rPr>
            </w:pPr>
            <w:r>
              <w:rPr>
                <w:rFonts w:ascii="Arial" w:cs="Arial" w:eastAsia="Arial" w:hAnsi="Arial"/>
                <w:sz w:val="18"/>
                <w:szCs w:val="18"/>
                <w:color w:val="auto"/>
              </w:rPr>
              <w:t>Asia Pacific</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95</w:t>
            </w:r>
          </w:p>
        </w:tc>
        <w:tc>
          <w:tcPr>
            <w:tcW w:w="24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EEMEA</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r>
      <w:tr>
        <w:trPr>
          <w:trHeight w:val="203"/>
        </w:trPr>
        <w:tc>
          <w:tcPr>
            <w:tcW w:w="4600" w:type="dxa"/>
            <w:vAlign w:val="bottom"/>
          </w:tcPr>
          <w:p>
            <w:pPr>
              <w:ind w:left="900"/>
              <w:spacing w:after="0" w:line="202" w:lineRule="exact"/>
              <w:rPr>
                <w:sz w:val="20"/>
                <w:szCs w:val="20"/>
                <w:color w:val="auto"/>
              </w:rPr>
            </w:pPr>
            <w:r>
              <w:rPr>
                <w:rFonts w:ascii="Arial" w:cs="Arial" w:eastAsia="Arial" w:hAnsi="Arial"/>
                <w:sz w:val="18"/>
                <w:szCs w:val="18"/>
                <w:color w:val="auto"/>
              </w:rPr>
              <w:t>Europe</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251</w:t>
            </w:r>
          </w:p>
        </w:tc>
        <w:tc>
          <w:tcPr>
            <w:tcW w:w="24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261</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120" w:type="dxa"/>
            <w:vAlign w:val="bottom"/>
          </w:tcPr>
          <w:p>
            <w:pPr>
              <w:spacing w:after="0"/>
              <w:rPr>
                <w:sz w:val="17"/>
                <w:szCs w:val="17"/>
                <w:color w:val="auto"/>
              </w:rPr>
            </w:pPr>
          </w:p>
        </w:tc>
      </w:tr>
      <w:tr>
        <w:trPr>
          <w:trHeight w:val="203"/>
        </w:trPr>
        <w:tc>
          <w:tcPr>
            <w:tcW w:w="46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North America</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261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7"/>
                <w:szCs w:val="17"/>
                <w:color w:val="auto"/>
              </w:rPr>
            </w:pPr>
          </w:p>
        </w:tc>
      </w:tr>
      <w:tr>
        <w:trPr>
          <w:trHeight w:val="202"/>
        </w:trPr>
        <w:tc>
          <w:tcPr>
            <w:tcW w:w="4600" w:type="dxa"/>
            <w:vAlign w:val="bottom"/>
          </w:tcPr>
          <w:p>
            <w:pPr>
              <w:ind w:left="900"/>
              <w:spacing w:after="0" w:line="201" w:lineRule="exact"/>
              <w:rPr>
                <w:sz w:val="20"/>
                <w:szCs w:val="20"/>
                <w:color w:val="auto"/>
              </w:rPr>
            </w:pPr>
            <w:r>
              <w:rPr>
                <w:rFonts w:ascii="Arial" w:cs="Arial" w:eastAsia="Arial" w:hAnsi="Arial"/>
                <w:sz w:val="18"/>
                <w:szCs w:val="18"/>
                <w:color w:val="auto"/>
              </w:rPr>
              <w:t>Unrealized gains / (losses) on</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00" w:type="dxa"/>
            <w:vAlign w:val="bottom"/>
          </w:tcPr>
          <w:p>
            <w:pPr>
              <w:jc w:val="center"/>
              <w:ind w:right="970"/>
              <w:spacing w:after="0" w:line="203" w:lineRule="exact"/>
              <w:rPr>
                <w:sz w:val="20"/>
                <w:szCs w:val="20"/>
                <w:color w:val="auto"/>
              </w:rPr>
            </w:pPr>
            <w:r>
              <w:rPr>
                <w:rFonts w:ascii="Arial" w:cs="Arial" w:eastAsia="Arial" w:hAnsi="Arial"/>
                <w:sz w:val="18"/>
                <w:szCs w:val="18"/>
                <w:color w:val="auto"/>
                <w:w w:val="99"/>
              </w:rPr>
              <w:t>hedging activities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122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86</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79</w:t>
            </w:r>
          </w:p>
        </w:tc>
      </w:tr>
      <w:tr>
        <w:trPr>
          <w:trHeight w:val="203"/>
        </w:trPr>
        <w:tc>
          <w:tcPr>
            <w:tcW w:w="46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w:t>
            </w:r>
          </w:p>
        </w:tc>
      </w:tr>
      <w:tr>
        <w:trPr>
          <w:trHeight w:val="203"/>
        </w:trPr>
        <w:tc>
          <w:tcPr>
            <w:tcW w:w="4600" w:type="dxa"/>
            <w:vAlign w:val="bottom"/>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r>
      <w:tr>
        <w:trPr>
          <w:trHeight w:val="203"/>
        </w:trPr>
        <w:tc>
          <w:tcPr>
            <w:tcW w:w="46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Gain on divestiture</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4600" w:type="dxa"/>
            <w:vAlign w:val="bottom"/>
          </w:tcPr>
          <w:p>
            <w:pPr>
              <w:ind w:left="900"/>
              <w:spacing w:after="0" w:line="202" w:lineRule="exact"/>
              <w:rPr>
                <w:sz w:val="20"/>
                <w:szCs w:val="20"/>
                <w:color w:val="auto"/>
              </w:rPr>
            </w:pPr>
            <w:r>
              <w:rPr>
                <w:rFonts w:ascii="Arial" w:cs="Arial" w:eastAsia="Arial" w:hAnsi="Arial"/>
                <w:sz w:val="18"/>
                <w:szCs w:val="18"/>
                <w:color w:val="auto"/>
              </w:rPr>
              <w:t>Acquisition-related costs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7"/>
        </w:trPr>
        <w:tc>
          <w:tcPr>
            <w:tcW w:w="4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841</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1,360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1,652</w:t>
            </w:r>
          </w:p>
        </w:tc>
      </w:tr>
      <w:tr>
        <w:trPr>
          <w:trHeight w:val="203"/>
        </w:trPr>
        <w:tc>
          <w:tcPr>
            <w:tcW w:w="460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(151)</w:t>
            </w:r>
          </w:p>
        </w:tc>
        <w:tc>
          <w:tcPr>
            <w:tcW w:w="24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(314)</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(395)</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w:t>
            </w:r>
          </w:p>
        </w:tc>
      </w:tr>
      <w:tr>
        <w:trPr>
          <w:trHeight w:val="27"/>
        </w:trPr>
        <w:tc>
          <w:tcPr>
            <w:tcW w:w="4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600" w:type="dxa"/>
            <w:vAlign w:val="bottom"/>
            <w:shd w:val="clear" w:color="auto" w:fill="CCEEFF"/>
          </w:tcPr>
          <w:p>
            <w:pPr>
              <w:jc w:val="center"/>
              <w:ind w:right="1050"/>
              <w:spacing w:after="0" w:line="202" w:lineRule="exact"/>
              <w:rPr>
                <w:sz w:val="20"/>
                <w:szCs w:val="20"/>
                <w:color w:val="auto"/>
              </w:rPr>
            </w:pPr>
            <w:r>
              <w:rPr>
                <w:rFonts w:ascii="Arial" w:cs="Arial" w:eastAsia="Arial" w:hAnsi="Arial"/>
                <w:sz w:val="18"/>
                <w:szCs w:val="18"/>
                <w:color w:val="auto"/>
                <w:w w:val="99"/>
              </w:rPr>
              <w:t>Earnings before income taxes</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including the Venezuela deconsolidation and currency devaluation,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2014-2018 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net for each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4"/>
                <w:szCs w:val="14"/>
                <w:b w:val="1"/>
                <w:bCs w:val="1"/>
                <w:color w:val="auto"/>
              </w:rPr>
              <w:t>For the Three Months Ended June 30, 2016</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America</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Pacific</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EEMEA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Europe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196</w:t>
            </w:r>
          </w:p>
        </w:tc>
        <w:tc>
          <w:tcPr>
            <w:tcW w:w="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295</w:t>
            </w: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129</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3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1,398</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2,669</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307</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1,595</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1,033</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406</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w:t>
            </w: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4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843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1,023</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648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2,068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1,720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6,302</w:t>
            </w: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4"/>
                <w:szCs w:val="14"/>
                <w:b w:val="1"/>
                <w:bCs w:val="1"/>
                <w:color w:val="auto"/>
              </w:rPr>
              <w:t>For the Three Months Ended June 30, 2015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48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Pacific</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EEMEA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54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24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900" w:type="dxa"/>
            <w:vAlign w:val="bottom"/>
            <w:gridSpan w:val="2"/>
          </w:tcPr>
          <w:p>
            <w:pPr>
              <w:spacing w:after="0"/>
              <w:rPr>
                <w:sz w:val="6"/>
                <w:szCs w:val="6"/>
                <w:color w:val="auto"/>
              </w:rPr>
            </w:pP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407</w:t>
            </w:r>
          </w:p>
        </w:tc>
        <w:tc>
          <w:tcPr>
            <w:tcW w:w="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w:t>
            </w: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147</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642</w:t>
            </w:r>
          </w:p>
        </w:tc>
        <w:tc>
          <w:tcPr>
            <w:tcW w:w="3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1,400</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2,864</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1,637</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1,119</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133</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776</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1,359</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682</w:t>
            </w: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4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1,240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1,024</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869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2,815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1,713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7,661</w:t>
            </w: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rPr>
              <w:t>For the Six Months Ended June 30, 2016</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America</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Pacific</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EEMEA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Europe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2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24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900" w:type="dxa"/>
            <w:vAlign w:val="bottom"/>
            <w:gridSpan w:val="2"/>
          </w:tcPr>
          <w:p>
            <w:pPr>
              <w:spacing w:after="0"/>
              <w:rPr>
                <w:sz w:val="6"/>
                <w:szCs w:val="6"/>
                <w:color w:val="auto"/>
              </w:rPr>
            </w:pP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3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1,240</w:t>
            </w:r>
          </w:p>
        </w:tc>
        <w:tc>
          <w:tcPr>
            <w:tcW w:w="3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2,759</w:t>
            </w: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5,244</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2,103</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3,594</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466</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1,990</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795</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578</w:t>
            </w:r>
          </w:p>
        </w:tc>
        <w:tc>
          <w:tcPr>
            <w:tcW w:w="3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7"/>
                <w:szCs w:val="17"/>
                <w:color w:val="auto"/>
              </w:rPr>
            </w:pPr>
          </w:p>
        </w:tc>
      </w:tr>
      <w:tr>
        <w:trPr>
          <w:trHeight w:val="210"/>
        </w:trPr>
        <w:tc>
          <w:tcPr>
            <w:tcW w:w="324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1,660</w:t>
            </w:r>
          </w:p>
        </w:tc>
        <w:tc>
          <w:tcPr>
            <w:tcW w:w="3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1,195</w:t>
            </w:r>
          </w:p>
        </w:tc>
        <w:tc>
          <w:tcPr>
            <w:tcW w:w="3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4,357</w:t>
            </w:r>
          </w:p>
        </w:tc>
        <w:tc>
          <w:tcPr>
            <w:tcW w:w="3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3,395</w:t>
            </w: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12,757</w:t>
            </w:r>
          </w:p>
        </w:tc>
      </w:tr>
      <w:tr>
        <w:trPr>
          <w:trHeight w:val="20"/>
        </w:trPr>
        <w:tc>
          <w:tcPr>
            <w:tcW w:w="3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rPr>
              <w:t>For the Six Months Ended June 30, 2015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40"/>
              <w:spacing w:after="0" w:line="139" w:lineRule="exact"/>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jc w:val="center"/>
              <w:ind w:right="44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Pacific</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EEMEA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56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2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24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gridSpan w:val="3"/>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900" w:type="dxa"/>
            <w:vAlign w:val="bottom"/>
            <w:gridSpan w:val="2"/>
          </w:tcPr>
          <w:p>
            <w:pPr>
              <w:spacing w:after="0"/>
              <w:rPr>
                <w:sz w:val="6"/>
                <w:szCs w:val="6"/>
                <w:color w:val="auto"/>
              </w:rPr>
            </w:pP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716</w:t>
            </w:r>
          </w:p>
        </w:tc>
        <w:tc>
          <w:tcPr>
            <w:tcW w:w="3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1,236</w:t>
            </w:r>
          </w:p>
        </w:tc>
        <w:tc>
          <w:tcPr>
            <w:tcW w:w="3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2,758</w:t>
            </w: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5,565</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2,130</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3,822</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2,174</w:t>
            </w:r>
          </w:p>
        </w:tc>
      </w:tr>
      <w:tr>
        <w:trPr>
          <w:trHeight w:val="203"/>
        </w:trPr>
        <w:tc>
          <w:tcPr>
            <w:tcW w:w="324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1,450</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2,547</w:t>
            </w:r>
          </w:p>
        </w:tc>
      </w:tr>
      <w:tr>
        <w:trPr>
          <w:trHeight w:val="203"/>
        </w:trPr>
        <w:tc>
          <w:tcPr>
            <w:tcW w:w="3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3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3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3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7"/>
                <w:szCs w:val="17"/>
                <w:color w:val="auto"/>
              </w:rPr>
            </w:pPr>
          </w:p>
        </w:tc>
      </w:tr>
      <w:tr>
        <w:trPr>
          <w:trHeight w:val="210"/>
        </w:trPr>
        <w:tc>
          <w:tcPr>
            <w:tcW w:w="324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2,497</w:t>
            </w:r>
          </w:p>
        </w:tc>
        <w:tc>
          <w:tcPr>
            <w:tcW w:w="3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2,177</w:t>
            </w:r>
          </w:p>
        </w:tc>
        <w:tc>
          <w:tcPr>
            <w:tcW w:w="6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1,564</w:t>
            </w:r>
          </w:p>
        </w:tc>
        <w:tc>
          <w:tcPr>
            <w:tcW w:w="3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5,790</w:t>
            </w:r>
          </w:p>
        </w:tc>
        <w:tc>
          <w:tcPr>
            <w:tcW w:w="3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3,395</w:t>
            </w: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15,423</w:t>
            </w:r>
          </w:p>
        </w:tc>
      </w:tr>
      <w:tr>
        <w:trPr>
          <w:trHeight w:val="20"/>
        </w:trPr>
        <w:tc>
          <w:tcPr>
            <w:tcW w:w="3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40" w:hanging="335"/>
        <w:spacing w:after="0" w:line="241"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 beverage categories. Net revenues of our global coffee business were $730 million in Europe, $130 million in EEMEA and $15 million in Asia Pacific for the three months and $1,348 million in Europe, $246 million in EEMEA and $33 million in Asia Pacific for the six months ended June 30, 2015. Refer to Note 2, </w:t>
      </w:r>
      <w:r>
        <w:rPr>
          <w:rFonts w:ascii="Arial" w:cs="Arial" w:eastAsia="Arial" w:hAnsi="Arial"/>
          <w:sz w:val="14"/>
          <w:szCs w:val="14"/>
          <w:i w:val="1"/>
          <w:iCs w:val="1"/>
          <w:color w:val="auto"/>
        </w:rPr>
        <w:t>Divestitures and Acquisitions – JDE Coffee</w:t>
      </w:r>
      <w:r>
        <w:rPr>
          <w:rFonts w:ascii="Arial" w:cs="Arial" w:eastAsia="Arial" w:hAnsi="Arial"/>
          <w:sz w:val="14"/>
          <w:szCs w:val="14"/>
          <w:color w:val="auto"/>
        </w:rPr>
        <w:t xml:space="preserve"> </w:t>
      </w:r>
      <w:r>
        <w:rPr>
          <w:rFonts w:ascii="Arial" w:cs="Arial" w:eastAsia="Arial" w:hAnsi="Arial"/>
          <w:sz w:val="14"/>
          <w:szCs w:val="14"/>
          <w:i w:val="1"/>
          <w:iCs w:val="1"/>
          <w:color w:val="auto"/>
        </w:rPr>
        <w:t>Business Transactions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Our Venezuelan subsidiaries net revenues of $183 million in biscuits, $74 million in cheese &amp; grocery, $26 million in gum &amp; candy and $18 million in beverages for the three months and $287 million in biscuits, $136 million in cheese &amp; grocery, $61 million in gum &amp; candy and $35 million in beverages for the six months ended June 30, 2015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 Translation and Highly Inflationary Accounting: Venezuela,</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right="340" w:hanging="335"/>
        <w:spacing w:after="0" w:line="258" w:lineRule="auto"/>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2016, we realigned some of our products across product categories within our Europe segment and as such, we reclassified the product category net revenues on a basis consistent with the 2016 presentation.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165 countries.</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Over the last several years, we have built a presence in the snacking category. We have expanded geographically and continue to invest in product quality, marketing and innovation behind our iconic brands while also implementing a series of cost saving initiatives. Our goals are to achieve industry-leading revenue growth over time driven by the higher expected growth rates of advantaged snack categories; leverage our cost structure through supply chain reinvention, productivity programs, overhead streamlining, volume growth and improved product mix to drive margin gains; and grow earnings per share in the top-tier of our peer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Items Affecting Comparability of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Jacobs Douwe Egberts (“JDE”). Following the exchange of a portion of our investment in JDE for an interest in Keurig Green Mountain Inc. (“Keurig”) in March 2016, we held a 26.5% equity interest in JDE. The remaining 73.5% equity interest in JDE was held by a subsidiary of Acorn Holdings B.V. (“AHBV,” owner of DEMB prior to July 2, 2015). Please see discussion of the acquisition of an interest in Keurig below under </w:t>
      </w:r>
      <w:r>
        <w:rPr>
          <w:rFonts w:ascii="Arial" w:cs="Arial" w:eastAsia="Arial" w:hAnsi="Arial"/>
          <w:sz w:val="18"/>
          <w:szCs w:val="18"/>
          <w:i w:val="1"/>
          <w:iCs w:val="1"/>
          <w:color w:val="auto"/>
        </w:rPr>
        <w:t>Keurig Transaction</w:t>
      </w:r>
      <w:r>
        <w:rPr>
          <w:rFonts w:ascii="Arial" w:cs="Arial" w:eastAsia="Arial" w:hAnsi="Arial"/>
          <w:sz w:val="18"/>
          <w:szCs w:val="18"/>
          <w:color w:val="auto"/>
        </w:rPr>
        <w:t xml:space="preserve">. As of June 30, 2016, we hold a 26.4% equity interest in JDE following the transactions discussed under </w:t>
      </w:r>
      <w:r>
        <w:rPr>
          <w:rFonts w:ascii="Arial" w:cs="Arial" w:eastAsia="Arial" w:hAnsi="Arial"/>
          <w:sz w:val="18"/>
          <w:szCs w:val="18"/>
          <w:i w:val="1"/>
          <w:iCs w:val="1"/>
          <w:color w:val="auto"/>
        </w:rPr>
        <w:t>JDE Stock-Based Compensation Arrangements</w:t>
      </w:r>
      <w:r>
        <w:rPr>
          <w:rFonts w:ascii="Arial" w:cs="Arial" w:eastAsia="Arial" w:hAnsi="Arial"/>
          <w:sz w:val="18"/>
          <w:szCs w:val="18"/>
          <w:color w:val="auto"/>
        </w:rPr>
        <w:t xml:space="preserve"> below.</w:t>
      </w:r>
    </w:p>
    <w:p>
      <w:pPr>
        <w:spacing w:after="0" w:line="19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consideration we received in the JDE coffee business transactions completed on July 2, 2015 consisted of €3.8 billion of cash ($4.2 billion as of July 2, 2015), a 43.5% equity interest in JDE (prior to the decrease in ownership due to the Keurig transaction and the compensation arrangements discussed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and $794 million in receivables (related to sales price adjustments and tax formation cost payments). During the third quarter of 2015, we also recorded $283 million of cash and receivables from JDE related to reimbursement of costs that we incurred in separating our coffee businesses. The cash and equity consideration we received at closing reflects that we retained our interest in a Korea-based joint venture, Dongsuh Foods Corporation (“DSF”). During the second quarter of 2015, we also completed the sale of our interest in a Japanese coffee joint venture, Ajinomoto General Foods, Inc. (“AGF”). In lieu of contributing our interest in the AGF joint venture to JDE, we contributed the net cash proceeds from the sale as part of the overall JDE coffee business transactions. Please see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 – Other Divestitures and Acquisitions</w:t>
      </w:r>
      <w:r>
        <w:rPr>
          <w:rFonts w:ascii="Arial" w:cs="Arial" w:eastAsia="Arial" w:hAnsi="Arial"/>
          <w:sz w:val="18"/>
          <w:szCs w:val="18"/>
          <w:color w:val="auto"/>
        </w:rPr>
        <w:t>, for discussion of the divestiture of AGF.</w:t>
      </w:r>
    </w:p>
    <w:p>
      <w:pPr>
        <w:spacing w:after="0" w:line="20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July 5, 2016, we received an expected cash payment of $275 million from JDE to settle the receivable related to tax formation costs that were part of the initial sales price.</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contribution of our global coffee businesses to JDE on July 2, 2015, we recorded a final pre-tax gain of $6.8 billion (or $6.6 billion after taxes) in 2015 after final adjustments as described below. We also recorded approximately $1.0 billion of pre-tax net gains related to hedging the expected cash proceeds from the transactions as described further below. During the fourth quarter of 2015, we and JDE concluded negotiations of a sales price adjustment and completed the valuation of our investment in JDE. Primarily due to the negotiated resolution of the sales price adjustment in the fourth quarter of 2015, we recorded a $ 313 million reduction in the pre-tax gain on the coffee transaction, reducing the $7.1 billion estimated gain in the third quarter of 2015 to the $6.8 billion final gain for 2015. As part of our sales price negotiations, we retained the right to collect future cash payments if certain estimated pension liabilities are realized over an agreed amount in the future. As such, we may recognize additional income related to this negotiated term in the future.</w:t>
      </w:r>
    </w:p>
    <w:p>
      <w:pPr>
        <w:spacing w:after="0" w:line="19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The final value of our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agreed to divest to comply with the conditioned approval by the European Commission related to the JDE coffee business transactions. As of the end of the first quarter of 2016, these businesses were sold by JDE. As the July 2, 2015 fair values for these businesses were recorded by JDE at their pending sales values, we did not record any gain or loss on the sales of these businesses in our share of JDE’s earnings.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expected receipt of cash in euros at the time of closing, we entered into a number of consecutive currency exchange forward contracts in 2014 and 2015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we recognized net losses of $144 million in the three months and net gains of $407 million in the six months ended June 30, 2015 within interest and other expense, 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At the close of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JDE employees. Under these arrangements, dilution of the JDE shares is limited to 2%. Upon execution of the agreements and the creation of the Class C, D and E JDE shares, our ownership of Class B shares in JDE changed from</w:t>
      </w:r>
    </w:p>
    <w:p>
      <w:pPr>
        <w:spacing w:after="0" w:line="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26.5% to 26.4% and AHBV’s Class A ownership changed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ownership interests will decrease. Based on estimated achievement and forfeiture assumptions, we do not expect our JDE ownership interest to decrease below 26.27%.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Tax Matter Resolution:</w:t>
      </w:r>
    </w:p>
    <w:p>
      <w:pPr>
        <w:spacing w:after="0" w:line="14" w:lineRule="exact"/>
        <w:rPr>
          <w:sz w:val="20"/>
          <w:szCs w:val="20"/>
          <w:color w:val="auto"/>
        </w:rPr>
      </w:pPr>
    </w:p>
    <w:p>
      <w:pPr>
        <w:jc w:val="both"/>
        <w:ind w:right="540"/>
        <w:spacing w:after="0" w:line="248" w:lineRule="auto"/>
        <w:rPr>
          <w:sz w:val="20"/>
          <w:szCs w:val="20"/>
          <w:color w:val="auto"/>
        </w:rPr>
      </w:pPr>
      <w:r>
        <w:rPr>
          <w:rFonts w:ascii="Arial" w:cs="Arial" w:eastAsia="Arial" w:hAnsi="Arial"/>
          <w:sz w:val="18"/>
          <w:szCs w:val="18"/>
          <w:color w:val="auto"/>
        </w:rPr>
        <w:t>On July 19, 2016, the Supreme Court of Spain reached a final resolution on a challenged JDE tax position held by a predecessor DEMB company that resulted in an unfavorable €117 million ($129 million as of July 19, 2016) tax expense. As a result, our earnings in the third quarter of 2016 could be negatively affected by up to a maximum amount of €31 million ($34 million as of July 19,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3, 2016, a subsidiary of AHBV completed the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equity method investment exchange in March 2016. Following the exchange, our ownership interest in JDE was 26.5% and our interest in Keurig is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June 30, 2016. The shareholder loan has a 5.5% interest rate and is payable at the end of a seven-year term on February 27, 2023. We recorded equity earnings of $21 million for the three months and $29 million for the four months ended June 30, 2016 and interest income from the shareholder loan of $6 million for the three months and $8 million for the four months ended June 30, 2016 within equity method earnings. Additionally, in the three months ended June 30, 2016, we received $2 million of dividends on our investment in Keurig. We continue to account for our investments in JDE and Keurig under the equity method and recognize our share of their earnings within equity method investment earnings and our share of their dividends within our cash flows.</w:t>
      </w:r>
    </w:p>
    <w:p>
      <w:pPr>
        <w:spacing w:after="0" w:line="2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reflected the results of our historical coffee businesses and equity earnings from JDE, Keurig and DSF in our results from continuing operations as the coffee category continues to be a significant part of our net earnings and business strategy going forward. The equity method investment earnings and interest income contributed by our coffee investments included $45 million from JDE, $27 million from Keurig and $21 million from DSF for the three months and $92 million from JDE, $ 37 million from Keurig (since March 7, 2016) and $45 million from DSF for the six months ended June 30, 2016. For the three months ended June 30, 2015, after-tax earnings were $ 183 million for the coffee businesses we contributed to JDE on July 2, 2015 and $20 million for DSF. For the six months ended June 30, 2015, after-tax earnings were $296 million for the coffee businesses we contributed to JDE on July 2, 2015 and $40 million for DSF.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Venezuela Deconsolidation:</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Beginning in 2016, we no longer include net revenues, earnings or net assets of our Venezuelan subsidiaries within our condensed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as our current situation in Venezuela may change over time and lead to consolidation at a future date. See below </w:t>
      </w:r>
      <w:r>
        <w:rPr>
          <w:rFonts w:ascii="Arial" w:cs="Arial" w:eastAsia="Arial" w:hAnsi="Arial"/>
          <w:sz w:val="18"/>
          <w:szCs w:val="18"/>
          <w:i w:val="1"/>
          <w:iCs w:val="1"/>
          <w:color w:val="auto"/>
        </w:rPr>
        <w:t>Discussion and Analysis of Historical Results – Items Affecting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Comparability of Financial Results</w:t>
      </w:r>
      <w:r>
        <w:rPr>
          <w:rFonts w:ascii="Arial" w:cs="Arial" w:eastAsia="Arial" w:hAnsi="Arial"/>
          <w:sz w:val="18"/>
          <w:szCs w:val="18"/>
          <w:color w:val="auto"/>
        </w:rPr>
        <w:t>, and Note 1,</w:t>
      </w:r>
      <w:r>
        <w:rPr>
          <w:rFonts w:ascii="Arial" w:cs="Arial" w:eastAsia="Arial" w:hAnsi="Arial"/>
          <w:sz w:val="18"/>
          <w:szCs w:val="18"/>
          <w:i w:val="1"/>
          <w:iCs w:val="1"/>
          <w:color w:val="auto"/>
        </w:rPr>
        <w:t xml:space="preserve"> Basis of Presentation </w:t>
      </w:r>
      <w:r>
        <w:rPr>
          <w:rFonts w:ascii="Arial" w:cs="Arial" w:eastAsia="Arial" w:hAnsi="Arial"/>
          <w:sz w:val="18"/>
          <w:szCs w:val="18"/>
          <w:color w:val="auto"/>
        </w:rPr>
        <w:t>–</w:t>
      </w:r>
      <w:r>
        <w:rPr>
          <w:rFonts w:ascii="Arial" w:cs="Arial" w:eastAsia="Arial" w:hAnsi="Arial"/>
          <w:sz w:val="18"/>
          <w:szCs w:val="18"/>
          <w:i w:val="1"/>
          <w:iCs w:val="1"/>
          <w:color w:val="auto"/>
        </w:rPr>
        <w:t xml:space="preserve"> Currency Translation and Highly Inflationary Accounting: Venezuela</w:t>
      </w:r>
      <w:r>
        <w:rPr>
          <w:rFonts w:ascii="Arial" w:cs="Arial" w:eastAsia="Arial" w:hAnsi="Arial"/>
          <w:sz w:val="18"/>
          <w:szCs w:val="18"/>
          <w:color w:val="auto"/>
        </w:rPr>
        <w: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 on our historical Venezuelan operating results, including the remeasurement loss recorded in the first quarter of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We seek to achieve top-tier financial performance. We manage our business to achieve this goal using our key operating metrics: Organic Net Revenue, Adjusted Operating Income and Adjusted EPS. We use these non-GAAP financial metrics internally to evaluate and manage our business,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have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8" w:lineRule="exact"/>
        <w:rPr>
          <w:sz w:val="20"/>
          <w:szCs w:val="20"/>
          <w:color w:val="auto"/>
        </w:rPr>
      </w:pPr>
    </w:p>
    <w:p>
      <w:pPr>
        <w:ind w:right="620"/>
        <w:spacing w:after="0" w:line="234" w:lineRule="auto"/>
        <w:rPr>
          <w:sz w:val="20"/>
          <w:szCs w:val="20"/>
          <w:color w:val="auto"/>
        </w:rPr>
      </w:pPr>
      <w:r>
        <w:rPr>
          <w:rFonts w:ascii="Arial" w:cs="Arial" w:eastAsia="Arial" w:hAnsi="Arial"/>
          <w:sz w:val="18"/>
          <w:szCs w:val="18"/>
          <w:color w:val="auto"/>
        </w:rPr>
        <w:t>In addition to monitoring our key operating metrics, we monitor a number of developments or trends that could impact our revenues and profitability objectives.</w:t>
      </w:r>
    </w:p>
    <w:p>
      <w:pPr>
        <w:spacing w:after="0" w:line="2" w:lineRule="exact"/>
        <w:rPr>
          <w:sz w:val="20"/>
          <w:szCs w:val="20"/>
          <w:color w:val="auto"/>
        </w:rPr>
      </w:pPr>
    </w:p>
    <w:p>
      <w:pPr>
        <w:ind w:left="900" w:right="2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end of June 2016, the United Kingdom (“U.K.”) voted by referendum to exit the European Union (“E.U.”), a vote commonly referred to as “Brexit.” The referendum is non-binding and the exit from the E.U. is not immediate. Once the U.K. invokes E.U. Article 50, there is a two-year window in which the U.K. and European Commission can negotiate the future terms for imports, exports, taxes, employment, immigration and other areas. Brexit has caused volatility in global stock markets and currency exchange rates, affecting the markets in which we conduct business. Also, the value of the British pound sterling relative to the U.S. dollar has declined, and the value of both the pound sterling and euro continued to be negatively affected following the vote. Further volatility in the exchange rates is expected over the transition period. While we have not experienced significant business disruptions in our U.K. businesses since the referendum, the devaluation of the British pound sterling in late June did affect our translated results reported in U.S. dollars. The U.K. decision to leave the E.U. also created uncertainty in the global financial and business markets in which we operate and could adversely affect future demand for our products, our financial results and operations, and our relationships with customers, suppliers and employees in the short or long-term. We will continue to monitor related developments in the U.K. and E.U. and their implications for our business.</w:t>
      </w:r>
    </w:p>
    <w:p>
      <w:pPr>
        <w:spacing w:after="0" w:line="9" w:lineRule="exact"/>
        <w:rPr>
          <w:rFonts w:ascii="Arial" w:cs="Arial" w:eastAsia="Arial" w:hAnsi="Arial"/>
          <w:sz w:val="18"/>
          <w:szCs w:val="18"/>
          <w:color w:val="auto"/>
        </w:rPr>
      </w:pPr>
    </w:p>
    <w:p>
      <w:pPr>
        <w:ind w:left="900" w:right="20" w:hanging="325"/>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first quarter of 2016, we began the national re-negotiation of the collective bargaining agreements for eight U.S. facilities, and these negotiations continue into the third quarter of 2016.</w:t>
      </w:r>
    </w:p>
    <w:p>
      <w:pPr>
        <w:spacing w:after="0" w:line="1" w:lineRule="exact"/>
        <w:rPr>
          <w:rFonts w:ascii="Arial" w:cs="Arial" w:eastAsia="Arial" w:hAnsi="Arial"/>
          <w:sz w:val="18"/>
          <w:szCs w:val="18"/>
          <w:color w:val="auto"/>
        </w:rPr>
      </w:pPr>
    </w:p>
    <w:p>
      <w:pPr>
        <w:ind w:left="900" w:right="2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Beginning in the fourth quarter of 2016, we plan to integrate our EEMEA business into our Europe and Asia Pacific segments. We expect this change to have a favorable impact on our operating performance beginning in late 2016 and prospectively due to the consolidation of offices and overhead reduction.</w:t>
      </w:r>
    </w:p>
    <w:p>
      <w:pPr>
        <w:spacing w:after="0" w:line="2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We also continue to note trends similar to those we highlighted in our most recently filed Annual Report on Form 10-K for the year ended December 31, 2015. In particular, volatility in the global commodity and currency markets continued through the second quarter of 2016, including most recently the impact from Brexit and currency devaluation issues noted in other countries.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appearing later in this section and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 xml:space="preserve">, for additional information on our commodity costs and specific currency risks we are monitoring. Also refer to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for additional information on the North America region collective bargaining agreement re-negotiations, and Note 15, S</w:t>
      </w:r>
      <w:r>
        <w:rPr>
          <w:rFonts w:ascii="Arial" w:cs="Arial" w:eastAsia="Arial" w:hAnsi="Arial"/>
          <w:sz w:val="18"/>
          <w:szCs w:val="18"/>
          <w:i w:val="1"/>
          <w:iCs w:val="1"/>
          <w:color w:val="auto"/>
        </w:rPr>
        <w:t>egment Reporting</w:t>
      </w:r>
      <w:r>
        <w:rPr>
          <w:rFonts w:ascii="Arial" w:cs="Arial" w:eastAsia="Arial" w:hAnsi="Arial"/>
          <w:sz w:val="18"/>
          <w:szCs w:val="18"/>
          <w:color w:val="auto"/>
        </w:rPr>
        <w:t>, for information on our segments and information on our EEMEA segment.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900" w:right="200" w:hanging="325"/>
        <w:spacing w:after="0" w:line="23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revenues decreased 17.7% to $6.3 billion in the second quarter of 2016 and decreased 17.3% to $12.8 billion in the first six months of 2016 as compared to the same periods in the prior year. Net revenues in 2016 were significantly affected by the July 2, 2015 contribution of our global coffee business to JDE, unfavorable currency translation as the U.S. dollar strengthened against most currencies in which we operate compared to exchange rates in the prior year and the deconsolidation of our Venezuelan subsidiaries.</w:t>
      </w:r>
    </w:p>
    <w:p>
      <w:pPr>
        <w:spacing w:after="0" w:line="229"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Organic Net Revenue increased 1.5% to $6.6 billion in the second quarter of 2016 and increased 1.9% to $13.5 billion in the first six months of 2016 as compared to the same periods in the prior year. Organic Net Revenue is a non-GAAP financial measure we use to evaluate our underlying results (see the definition of Organic Net Revenue and our reconciliation with net revenues within </w:t>
      </w:r>
      <w:r>
        <w:rPr>
          <w:rFonts w:ascii="Arial" w:cs="Arial" w:eastAsia="Arial" w:hAnsi="Arial"/>
          <w:sz w:val="18"/>
          <w:szCs w:val="18"/>
          <w:i w:val="1"/>
          <w:iCs w:val="1"/>
          <w:color w:val="auto"/>
        </w:rPr>
        <w:t xml:space="preserve">Non-GAAP Financial Measures </w:t>
      </w:r>
      <w:r>
        <w:rPr>
          <w:rFonts w:ascii="Arial" w:cs="Arial" w:eastAsia="Arial" w:hAnsi="Arial"/>
          <w:sz w:val="18"/>
          <w:szCs w:val="18"/>
          <w:color w:val="auto"/>
        </w:rPr>
        <w:t>appearing later in this section).</w:t>
      </w:r>
    </w:p>
    <w:p>
      <w:pPr>
        <w:spacing w:after="0" w:line="228" w:lineRule="exact"/>
        <w:rPr>
          <w:rFonts w:ascii="Arial" w:cs="Arial" w:eastAsia="Arial" w:hAnsi="Arial"/>
          <w:sz w:val="18"/>
          <w:szCs w:val="18"/>
          <w:color w:val="auto"/>
        </w:rPr>
      </w:pPr>
    </w:p>
    <w:p>
      <w:pPr>
        <w:ind w:left="900" w:right="6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Diluted EPS attributable to Mondelēz International increased 16.0% to $0.29 in the second quarter of 2016 and increased 45.5% to $0.64 in the first six months of 2016 as compared to the same periods in the prior year. A number of significant items also affected the comparability of our reported results, as further described in the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appearing later in this section and in the notes to the condensed consolidated financial statements.</w:t>
      </w:r>
    </w:p>
    <w:p>
      <w:pPr>
        <w:spacing w:after="0" w:line="228" w:lineRule="exact"/>
        <w:rPr>
          <w:rFonts w:ascii="Arial" w:cs="Arial" w:eastAsia="Arial" w:hAnsi="Arial"/>
          <w:sz w:val="18"/>
          <w:szCs w:val="18"/>
          <w:color w:val="auto"/>
        </w:rPr>
      </w:pPr>
    </w:p>
    <w:p>
      <w:pPr>
        <w:ind w:left="900" w:hanging="325"/>
        <w:spacing w:after="0" w:line="23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Adjusted EPS remained flat at $0.44 in the second quarter of 2016 and increased 12.0% to $0.93 in the first six months of 2016 as compared to the same periods in the prior year. On a constant currency basis, Adjusted EPS increased 4.5% to $0.46 in the second quarter of 2016 and increased 16.9% to $0.97 in the first six months of 2016. Adjusted EPS is a non-GAAP financial measure we use to evaluate our underlying results (see the definition of Adjusted EPS and our reconciliation with diluted EPS within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Measures </w:t>
      </w:r>
      <w:r>
        <w:rPr>
          <w:rFonts w:ascii="Arial" w:cs="Arial" w:eastAsia="Arial" w:hAnsi="Arial"/>
          <w:sz w:val="18"/>
          <w:szCs w:val="18"/>
          <w:color w:val="auto"/>
        </w:rPr>
        <w:t>appearing later in this section).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pre-tax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per share impacts of these items.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56"/>
        </w:trPr>
        <w:tc>
          <w:tcPr>
            <w:tcW w:w="4880" w:type="dxa"/>
            <w:vAlign w:val="bottom"/>
          </w:tcPr>
          <w:p>
            <w:pPr>
              <w:spacing w:after="0"/>
              <w:rPr>
                <w:sz w:val="13"/>
                <w:szCs w:val="13"/>
                <w:color w:val="auto"/>
              </w:rPr>
            </w:pPr>
          </w:p>
        </w:tc>
        <w:tc>
          <w:tcPr>
            <w:tcW w:w="9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See Note</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r>
      <w:tr>
        <w:trPr>
          <w:trHeight w:val="184"/>
        </w:trPr>
        <w:tc>
          <w:tcPr>
            <w:tcW w:w="48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80"/>
        </w:trPr>
        <w:tc>
          <w:tcPr>
            <w:tcW w:w="4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03"/>
        </w:trPr>
        <w:tc>
          <w:tcPr>
            <w:tcW w:w="4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Coffee business transactions:</w:t>
            </w:r>
          </w:p>
        </w:tc>
        <w:tc>
          <w:tcPr>
            <w:tcW w:w="1240" w:type="dxa"/>
            <w:vAlign w:val="bottom"/>
            <w:gridSpan w:val="3"/>
            <w:shd w:val="clear" w:color="auto" w:fill="CCEEFF"/>
          </w:tcPr>
          <w:p>
            <w:pPr>
              <w:jc w:val="center"/>
              <w:ind w:right="248"/>
              <w:spacing w:after="0" w:line="202" w:lineRule="exact"/>
              <w:rPr>
                <w:sz w:val="20"/>
                <w:szCs w:val="20"/>
                <w:color w:val="auto"/>
              </w:rPr>
            </w:pPr>
            <w:r>
              <w:rPr>
                <w:rFonts w:ascii="Arial" w:cs="Arial" w:eastAsia="Arial" w:hAnsi="Arial"/>
                <w:sz w:val="18"/>
                <w:szCs w:val="18"/>
                <w:color w:val="auto"/>
                <w:w w:val="97"/>
              </w:rPr>
              <w:t>Note 2</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880" w:type="dxa"/>
            <w:vAlign w:val="bottom"/>
          </w:tcPr>
          <w:p>
            <w:pPr>
              <w:ind w:left="720"/>
              <w:spacing w:after="0" w:line="202" w:lineRule="exact"/>
              <w:rPr>
                <w:sz w:val="20"/>
                <w:szCs w:val="20"/>
                <w:color w:val="auto"/>
              </w:rPr>
            </w:pPr>
            <w:r>
              <w:rPr>
                <w:rFonts w:ascii="Arial" w:cs="Arial" w:eastAsia="Arial" w:hAnsi="Arial"/>
                <w:sz w:val="18"/>
                <w:szCs w:val="18"/>
                <w:color w:val="auto"/>
              </w:rPr>
              <w:t>Historical operating income</w:t>
            </w:r>
          </w:p>
        </w:tc>
        <w:tc>
          <w:tcPr>
            <w:tcW w:w="1240" w:type="dxa"/>
            <w:vAlign w:val="bottom"/>
            <w:gridSpan w:val="3"/>
          </w:tcPr>
          <w:p>
            <w:pPr>
              <w:ind w:left="9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30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342</w:t>
            </w:r>
          </w:p>
        </w:tc>
      </w:tr>
      <w:tr>
        <w:trPr>
          <w:trHeight w:val="203"/>
        </w:trPr>
        <w:tc>
          <w:tcPr>
            <w:tcW w:w="48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Incremental costs for readying the businesses</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w:t>
            </w:r>
          </w:p>
        </w:tc>
      </w:tr>
      <w:tr>
        <w:trPr>
          <w:trHeight w:val="203"/>
        </w:trPr>
        <w:tc>
          <w:tcPr>
            <w:tcW w:w="4880" w:type="dxa"/>
            <w:vAlign w:val="bottom"/>
          </w:tcPr>
          <w:p>
            <w:pPr>
              <w:ind w:left="720"/>
              <w:spacing w:after="0" w:line="202" w:lineRule="exact"/>
              <w:rPr>
                <w:sz w:val="20"/>
                <w:szCs w:val="20"/>
                <w:color w:val="auto"/>
              </w:rPr>
            </w:pPr>
            <w:r>
              <w:rPr>
                <w:rFonts w:ascii="Arial" w:cs="Arial" w:eastAsia="Arial" w:hAnsi="Arial"/>
                <w:sz w:val="18"/>
                <w:szCs w:val="18"/>
                <w:color w:val="auto"/>
              </w:rPr>
              <w:t>Currency-related hedging net (loss) / gain</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(144)</w:t>
            </w:r>
          </w:p>
        </w:tc>
        <w:tc>
          <w:tcPr>
            <w:tcW w:w="280" w:type="dxa"/>
            <w:vAlign w:val="bottom"/>
          </w:tcPr>
          <w:p>
            <w:pPr>
              <w:spacing w:after="0"/>
              <w:rPr>
                <w:sz w:val="17"/>
                <w:szCs w:val="17"/>
                <w:color w:val="auto"/>
              </w:rPr>
            </w:pPr>
          </w:p>
        </w:tc>
        <w:tc>
          <w:tcPr>
            <w:tcW w:w="13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407</w:t>
            </w:r>
          </w:p>
        </w:tc>
      </w:tr>
      <w:tr>
        <w:trPr>
          <w:trHeight w:val="199"/>
        </w:trPr>
        <w:tc>
          <w:tcPr>
            <w:tcW w:w="488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Gain on Keurig equity method investment</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6"/>
        </w:trPr>
        <w:tc>
          <w:tcPr>
            <w:tcW w:w="48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exchange </w:t>
            </w:r>
            <w:r>
              <w:rPr>
                <w:rFonts w:ascii="Arial" w:cs="Arial" w:eastAsia="Arial" w:hAnsi="Arial"/>
                <w:sz w:val="15"/>
                <w:szCs w:val="15"/>
                <w:color w:val="auto"/>
              </w:rPr>
              <w:t>(1)</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311"/>
        </w:trPr>
        <w:tc>
          <w:tcPr>
            <w:tcW w:w="4880" w:type="dxa"/>
            <w:vAlign w:val="bottom"/>
          </w:tcPr>
          <w:p>
            <w:pPr>
              <w:ind w:left="540"/>
              <w:spacing w:after="0"/>
              <w:rPr>
                <w:sz w:val="20"/>
                <w:szCs w:val="20"/>
                <w:color w:val="auto"/>
              </w:rPr>
            </w:pPr>
            <w:r>
              <w:rPr>
                <w:rFonts w:ascii="Arial" w:cs="Arial" w:eastAsia="Arial" w:hAnsi="Arial"/>
                <w:sz w:val="18"/>
                <w:szCs w:val="18"/>
                <w:b w:val="1"/>
                <w:bCs w:val="1"/>
                <w:color w:val="auto"/>
              </w:rPr>
              <w:t>Venezuela:</w:t>
            </w:r>
          </w:p>
        </w:tc>
        <w:tc>
          <w:tcPr>
            <w:tcW w:w="1240" w:type="dxa"/>
            <w:vAlign w:val="bottom"/>
            <w:gridSpan w:val="3"/>
          </w:tcPr>
          <w:p>
            <w:pPr>
              <w:jc w:val="center"/>
              <w:ind w:right="248"/>
              <w:spacing w:after="0"/>
              <w:rPr>
                <w:sz w:val="20"/>
                <w:szCs w:val="20"/>
                <w:color w:val="auto"/>
              </w:rPr>
            </w:pPr>
            <w:r>
              <w:rPr>
                <w:rFonts w:ascii="Arial" w:cs="Arial" w:eastAsia="Arial" w:hAnsi="Arial"/>
                <w:sz w:val="18"/>
                <w:szCs w:val="18"/>
                <w:color w:val="auto"/>
                <w:w w:val="97"/>
              </w:rPr>
              <w:t>Note 1</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8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operating income </w:t>
            </w:r>
            <w:r>
              <w:rPr>
                <w:rFonts w:ascii="Arial" w:cs="Arial" w:eastAsia="Arial" w:hAnsi="Arial"/>
                <w:sz w:val="15"/>
                <w:szCs w:val="15"/>
                <w:color w:val="auto"/>
              </w:rPr>
              <w:t>(2)</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w:t>
            </w:r>
          </w:p>
        </w:tc>
      </w:tr>
      <w:tr>
        <w:trPr>
          <w:trHeight w:val="217"/>
        </w:trPr>
        <w:tc>
          <w:tcPr>
            <w:tcW w:w="4880" w:type="dxa"/>
            <w:vAlign w:val="bottom"/>
          </w:tcPr>
          <w:p>
            <w:pPr>
              <w:ind w:left="720"/>
              <w:spacing w:after="0"/>
              <w:rPr>
                <w:sz w:val="20"/>
                <w:szCs w:val="20"/>
                <w:color w:val="auto"/>
              </w:rPr>
            </w:pPr>
            <w:r>
              <w:rPr>
                <w:rFonts w:ascii="Arial" w:cs="Arial" w:eastAsia="Arial" w:hAnsi="Arial"/>
                <w:sz w:val="18"/>
                <w:szCs w:val="18"/>
                <w:color w:val="auto"/>
              </w:rPr>
              <w:t>Remeasurement of net monetary assets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94"/>
        </w:trPr>
        <w:tc>
          <w:tcPr>
            <w:tcW w:w="4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03"/>
        </w:trPr>
        <w:tc>
          <w:tcPr>
            <w:tcW w:w="4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2014-2018 Restructuring Program:</w:t>
            </w:r>
          </w:p>
        </w:tc>
        <w:tc>
          <w:tcPr>
            <w:tcW w:w="1240" w:type="dxa"/>
            <w:vAlign w:val="bottom"/>
            <w:gridSpan w:val="3"/>
            <w:shd w:val="clear" w:color="auto" w:fill="CCEEFF"/>
          </w:tcPr>
          <w:p>
            <w:pPr>
              <w:jc w:val="center"/>
              <w:ind w:right="248"/>
              <w:spacing w:after="0" w:line="202" w:lineRule="exact"/>
              <w:rPr>
                <w:sz w:val="20"/>
                <w:szCs w:val="20"/>
                <w:color w:val="auto"/>
              </w:rPr>
            </w:pPr>
            <w:r>
              <w:rPr>
                <w:rFonts w:ascii="Arial" w:cs="Arial" w:eastAsia="Arial" w:hAnsi="Arial"/>
                <w:sz w:val="18"/>
                <w:szCs w:val="18"/>
                <w:color w:val="auto"/>
                <w:w w:val="97"/>
              </w:rPr>
              <w:t>Note 6</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880" w:type="dxa"/>
            <w:vAlign w:val="bottom"/>
          </w:tcPr>
          <w:p>
            <w:pPr>
              <w:ind w:left="720"/>
              <w:spacing w:after="0" w:line="202" w:lineRule="exact"/>
              <w:rPr>
                <w:sz w:val="20"/>
                <w:szCs w:val="20"/>
                <w:color w:val="auto"/>
              </w:rPr>
            </w:pPr>
            <w:r>
              <w:rPr>
                <w:rFonts w:ascii="Arial" w:cs="Arial" w:eastAsia="Arial" w:hAnsi="Arial"/>
                <w:sz w:val="18"/>
                <w:szCs w:val="18"/>
                <w:color w:val="auto"/>
              </w:rPr>
              <w:t>Restructuring charges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(154)</w:t>
            </w:r>
          </w:p>
        </w:tc>
        <w:tc>
          <w:tcPr>
            <w:tcW w:w="2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(135)</w:t>
            </w:r>
          </w:p>
        </w:tc>
        <w:tc>
          <w:tcPr>
            <w:tcW w:w="28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(293)</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(297)</w:t>
            </w:r>
          </w:p>
        </w:tc>
      </w:tr>
      <w:tr>
        <w:trPr>
          <w:trHeight w:val="203"/>
        </w:trPr>
        <w:tc>
          <w:tcPr>
            <w:tcW w:w="48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Implementation charges</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w:t>
            </w:r>
          </w:p>
        </w:tc>
      </w:tr>
      <w:tr>
        <w:trPr>
          <w:trHeight w:val="288"/>
        </w:trPr>
        <w:tc>
          <w:tcPr>
            <w:tcW w:w="4880" w:type="dxa"/>
            <w:vAlign w:val="bottom"/>
          </w:tcPr>
          <w:p>
            <w:pPr>
              <w:ind w:left="540"/>
              <w:spacing w:after="0"/>
              <w:rPr>
                <w:sz w:val="20"/>
                <w:szCs w:val="20"/>
                <w:color w:val="auto"/>
              </w:rPr>
            </w:pPr>
            <w:r>
              <w:rPr>
                <w:rFonts w:ascii="Arial" w:cs="Arial" w:eastAsia="Arial" w:hAnsi="Arial"/>
                <w:sz w:val="18"/>
                <w:szCs w:val="18"/>
                <w:b w:val="1"/>
                <w:bCs w:val="1"/>
                <w:color w:val="auto"/>
              </w:rPr>
              <w:t>Loss on debt extinguishment and related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4880" w:type="dxa"/>
            <w:vAlign w:val="bottom"/>
          </w:tcPr>
          <w:p>
            <w:pPr>
              <w:ind w:left="720"/>
              <w:spacing w:after="0"/>
              <w:rPr>
                <w:sz w:val="20"/>
                <w:szCs w:val="20"/>
                <w:color w:val="auto"/>
              </w:rPr>
            </w:pPr>
            <w:r>
              <w:rPr>
                <w:rFonts w:ascii="Arial" w:cs="Arial" w:eastAsia="Arial" w:hAnsi="Arial"/>
                <w:sz w:val="18"/>
                <w:szCs w:val="18"/>
                <w:b w:val="1"/>
                <w:bCs w:val="1"/>
                <w:color w:val="auto"/>
              </w:rPr>
              <w:t>expenses</w:t>
            </w:r>
          </w:p>
        </w:tc>
        <w:tc>
          <w:tcPr>
            <w:tcW w:w="1240" w:type="dxa"/>
            <w:vAlign w:val="bottom"/>
            <w:gridSpan w:val="3"/>
          </w:tcPr>
          <w:p>
            <w:pPr>
              <w:jc w:val="center"/>
              <w:ind w:right="248"/>
              <w:spacing w:after="0"/>
              <w:rPr>
                <w:sz w:val="20"/>
                <w:szCs w:val="20"/>
                <w:color w:val="auto"/>
              </w:rPr>
            </w:pPr>
            <w:r>
              <w:rPr>
                <w:rFonts w:ascii="Arial" w:cs="Arial" w:eastAsia="Arial" w:hAnsi="Arial"/>
                <w:sz w:val="18"/>
                <w:szCs w:val="18"/>
                <w:color w:val="auto"/>
                <w:w w:val="97"/>
              </w:rPr>
              <w:t>Note 7</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r>
      <w:tr>
        <w:trPr>
          <w:trHeight w:val="95"/>
        </w:trPr>
        <w:tc>
          <w:tcPr>
            <w:tcW w:w="4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03"/>
        </w:trPr>
        <w:tc>
          <w:tcPr>
            <w:tcW w:w="4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Loss related to interest rate swaps</w:t>
            </w:r>
          </w:p>
        </w:tc>
        <w:tc>
          <w:tcPr>
            <w:tcW w:w="1240" w:type="dxa"/>
            <w:vAlign w:val="bottom"/>
            <w:gridSpan w:val="3"/>
            <w:shd w:val="clear" w:color="auto" w:fill="CCEEFF"/>
          </w:tcPr>
          <w:p>
            <w:pPr>
              <w:jc w:val="center"/>
              <w:ind w:right="248"/>
              <w:spacing w:after="0" w:line="202" w:lineRule="exact"/>
              <w:rPr>
                <w:sz w:val="20"/>
                <w:szCs w:val="20"/>
                <w:color w:val="auto"/>
              </w:rPr>
            </w:pPr>
            <w:r>
              <w:rPr>
                <w:rFonts w:ascii="Arial" w:cs="Arial" w:eastAsia="Arial" w:hAnsi="Arial"/>
                <w:sz w:val="18"/>
                <w:szCs w:val="18"/>
                <w:color w:val="auto"/>
                <w:w w:val="97"/>
              </w:rPr>
              <w:t>Note 7</w:t>
            </w: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w:t>
            </w:r>
          </w:p>
        </w:tc>
      </w:tr>
      <w:tr>
        <w:trPr>
          <w:trHeight w:val="324"/>
        </w:trPr>
        <w:tc>
          <w:tcPr>
            <w:tcW w:w="4880" w:type="dxa"/>
            <w:vAlign w:val="bottom"/>
          </w:tcPr>
          <w:p>
            <w:pPr>
              <w:ind w:left="540"/>
              <w:spacing w:after="0"/>
              <w:rPr>
                <w:sz w:val="20"/>
                <w:szCs w:val="20"/>
                <w:color w:val="auto"/>
              </w:rPr>
            </w:pPr>
            <w:r>
              <w:rPr>
                <w:rFonts w:ascii="Arial" w:cs="Arial" w:eastAsia="Arial" w:hAnsi="Arial"/>
                <w:sz w:val="18"/>
                <w:szCs w:val="18"/>
                <w:b w:val="1"/>
                <w:bCs w:val="1"/>
                <w:color w:val="auto"/>
              </w:rPr>
              <w:t>Intangible asset impairment charges</w:t>
            </w:r>
          </w:p>
        </w:tc>
        <w:tc>
          <w:tcPr>
            <w:tcW w:w="1240" w:type="dxa"/>
            <w:vAlign w:val="bottom"/>
            <w:gridSpan w:val="3"/>
          </w:tcPr>
          <w:p>
            <w:pPr>
              <w:jc w:val="center"/>
              <w:ind w:right="248"/>
              <w:spacing w:after="0"/>
              <w:rPr>
                <w:sz w:val="20"/>
                <w:szCs w:val="20"/>
                <w:color w:val="auto"/>
              </w:rPr>
            </w:pPr>
            <w:r>
              <w:rPr>
                <w:rFonts w:ascii="Arial" w:cs="Arial" w:eastAsia="Arial" w:hAnsi="Arial"/>
                <w:sz w:val="18"/>
                <w:szCs w:val="18"/>
                <w:color w:val="auto"/>
                <w:w w:val="97"/>
              </w:rPr>
              <w:t>Note 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95"/>
        </w:trPr>
        <w:tc>
          <w:tcPr>
            <w:tcW w:w="4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03"/>
        </w:trPr>
        <w:tc>
          <w:tcPr>
            <w:tcW w:w="4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Divestitures, Acquisitions and Sales of Property</w:t>
            </w:r>
          </w:p>
        </w:tc>
        <w:tc>
          <w:tcPr>
            <w:tcW w:w="1240" w:type="dxa"/>
            <w:vAlign w:val="bottom"/>
            <w:gridSpan w:val="3"/>
            <w:shd w:val="clear" w:color="auto" w:fill="CCEEFF"/>
          </w:tcPr>
          <w:p>
            <w:pPr>
              <w:jc w:val="center"/>
              <w:ind w:right="248"/>
              <w:spacing w:after="0" w:line="202" w:lineRule="exact"/>
              <w:rPr>
                <w:sz w:val="20"/>
                <w:szCs w:val="20"/>
                <w:color w:val="auto"/>
              </w:rPr>
            </w:pPr>
            <w:r>
              <w:rPr>
                <w:rFonts w:ascii="Arial" w:cs="Arial" w:eastAsia="Arial" w:hAnsi="Arial"/>
                <w:sz w:val="18"/>
                <w:szCs w:val="18"/>
                <w:color w:val="auto"/>
                <w:w w:val="97"/>
              </w:rPr>
              <w:t>Note 2</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880" w:type="dxa"/>
            <w:vAlign w:val="bottom"/>
          </w:tcPr>
          <w:p>
            <w:pPr>
              <w:ind w:left="720"/>
              <w:spacing w:after="0" w:line="202" w:lineRule="exact"/>
              <w:rPr>
                <w:sz w:val="20"/>
                <w:szCs w:val="20"/>
                <w:color w:val="auto"/>
              </w:rPr>
            </w:pPr>
            <w:r>
              <w:rPr>
                <w:rFonts w:ascii="Arial" w:cs="Arial" w:eastAsia="Arial" w:hAnsi="Arial"/>
                <w:sz w:val="18"/>
                <w:szCs w:val="18"/>
                <w:color w:val="auto"/>
              </w:rPr>
              <w:t>Gain on sale of trademarks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Gain on divestiture</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r>
      <w:tr>
        <w:trPr>
          <w:trHeight w:val="203"/>
        </w:trPr>
        <w:tc>
          <w:tcPr>
            <w:tcW w:w="4880" w:type="dxa"/>
            <w:vAlign w:val="bottom"/>
          </w:tcPr>
          <w:p>
            <w:pPr>
              <w:ind w:left="720"/>
              <w:spacing w:after="0" w:line="202" w:lineRule="exact"/>
              <w:rPr>
                <w:sz w:val="20"/>
                <w:szCs w:val="20"/>
                <w:color w:val="auto"/>
              </w:rPr>
            </w:pPr>
            <w:r>
              <w:rPr>
                <w:rFonts w:ascii="Arial" w:cs="Arial" w:eastAsia="Arial" w:hAnsi="Arial"/>
                <w:sz w:val="18"/>
                <w:szCs w:val="18"/>
                <w:color w:val="auto"/>
              </w:rPr>
              <w:t>Divestiture-related costs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(84)</w:t>
            </w:r>
          </w:p>
        </w:tc>
        <w:tc>
          <w:tcPr>
            <w:tcW w:w="260" w:type="dxa"/>
            <w:vAlign w:val="bottom"/>
          </w:tcPr>
          <w:p>
            <w:pPr>
              <w:spacing w:after="0"/>
              <w:rPr>
                <w:sz w:val="17"/>
                <w:szCs w:val="17"/>
                <w:color w:val="auto"/>
              </w:rPr>
            </w:pP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w:t>
            </w:r>
          </w:p>
        </w:tc>
        <w:tc>
          <w:tcPr>
            <w:tcW w:w="24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Gains on sales of property</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324"/>
        </w:trPr>
        <w:tc>
          <w:tcPr>
            <w:tcW w:w="4880" w:type="dxa"/>
            <w:vAlign w:val="bottom"/>
          </w:tcPr>
          <w:p>
            <w:pPr>
              <w:ind w:left="540"/>
              <w:spacing w:after="0"/>
              <w:rPr>
                <w:sz w:val="20"/>
                <w:szCs w:val="20"/>
                <w:color w:val="auto"/>
              </w:rPr>
            </w:pPr>
            <w:r>
              <w:rPr>
                <w:rFonts w:ascii="Arial" w:cs="Arial" w:eastAsia="Arial" w:hAnsi="Arial"/>
                <w:sz w:val="18"/>
                <w:szCs w:val="18"/>
                <w:b w:val="1"/>
                <w:bCs w:val="1"/>
                <w:color w:val="auto"/>
              </w:rPr>
              <w:t>Effective tax rate</w:t>
            </w:r>
          </w:p>
        </w:tc>
        <w:tc>
          <w:tcPr>
            <w:tcW w:w="1240" w:type="dxa"/>
            <w:vAlign w:val="bottom"/>
            <w:gridSpan w:val="3"/>
          </w:tcPr>
          <w:p>
            <w:pPr>
              <w:jc w:val="center"/>
              <w:ind w:right="248"/>
              <w:spacing w:after="0"/>
              <w:rPr>
                <w:sz w:val="20"/>
                <w:szCs w:val="20"/>
                <w:color w:val="auto"/>
              </w:rPr>
            </w:pPr>
            <w:r>
              <w:rPr>
                <w:rFonts w:ascii="Arial" w:cs="Arial" w:eastAsia="Arial" w:hAnsi="Arial"/>
                <w:sz w:val="18"/>
                <w:szCs w:val="18"/>
                <w:color w:val="auto"/>
              </w:rPr>
              <w:t>Note 13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r>
    </w:tbl>
    <w:p>
      <w:pPr>
        <w:spacing w:after="0" w:line="234" w:lineRule="exact"/>
        <w:rPr>
          <w:sz w:val="20"/>
          <w:szCs w:val="20"/>
          <w:color w:val="auto"/>
        </w:rPr>
      </w:pPr>
    </w:p>
    <w:p>
      <w:pPr>
        <w:ind w:left="1140" w:right="10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Note the gain on equity method investment exchange is recorded outside of pre-tax operating results on the condensed consolidated statement of earnings as it relates to our after-tax equity method investments.</w:t>
      </w:r>
    </w:p>
    <w:p>
      <w:pPr>
        <w:ind w:left="1140" w:hanging="335"/>
        <w:spacing w:after="0"/>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the impact of remeasurement losses and 2014-2018 Restructuring Program charges that are shown separately.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and six months ended June 30, 2016 and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1160" w:type="dxa"/>
            <w:vAlign w:val="bottom"/>
          </w:tcPr>
          <w:p>
            <w:pPr>
              <w:spacing w:after="0"/>
              <w:rPr>
                <w:sz w:val="13"/>
                <w:szCs w:val="13"/>
                <w:color w:val="auto"/>
              </w:rPr>
            </w:pPr>
          </w:p>
        </w:tc>
        <w:tc>
          <w:tcPr>
            <w:tcW w:w="7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6,302</w:t>
            </w:r>
          </w:p>
        </w:tc>
        <w:tc>
          <w:tcPr>
            <w:tcW w:w="1160" w:type="dxa"/>
            <w:vAlign w:val="bottom"/>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7,661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(1,359)</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324"/>
        </w:trPr>
        <w:tc>
          <w:tcPr>
            <w:tcW w:w="532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58</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10"/>
        </w:trPr>
        <w:tc>
          <w:tcPr>
            <w:tcW w:w="532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720"/>
              <w:spacing w:after="0"/>
              <w:rPr>
                <w:sz w:val="20"/>
                <w:szCs w:val="20"/>
                <w:color w:val="auto"/>
              </w:rPr>
            </w:pPr>
            <w:r>
              <w:rPr>
                <w:rFonts w:ascii="Arial" w:cs="Arial" w:eastAsia="Arial" w:hAnsi="Arial"/>
                <w:sz w:val="18"/>
                <w:szCs w:val="18"/>
                <w:color w:val="auto"/>
              </w:rPr>
              <w:t>to Mondelēz International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1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$1,359 million (17.7%) to $6,302 million in the second quarter of 2016, and Organic Net Revenue</w:t>
      </w:r>
    </w:p>
    <w:p>
      <w:pPr>
        <w:spacing w:after="0" w:line="14" w:lineRule="exact"/>
        <w:rPr>
          <w:sz w:val="20"/>
          <w:szCs w:val="20"/>
          <w:color w:val="auto"/>
        </w:rPr>
      </w:pPr>
    </w:p>
    <w:p>
      <w:pPr>
        <w:ind w:right="340" w:firstLine="8"/>
        <w:spacing w:after="0" w:line="239" w:lineRule="auto"/>
        <w:tabs>
          <w:tab w:leader="none" w:pos="237"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increased $100 million (1.5%) to $6,585 million. Power Brands net revenues decreased 17.5%, primarily due to unfavorable currency, and Power Brands Organic Net Revenue increased 2.9%. Emerging markets net revenues decreased 22.9%, primarily due to unfavorable currency, and emerging markets Organic Net Revenue increased 3.7%. The underlying changes in net revenues and Organic Net Revenue are detailed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5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1.6pp</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(0.1)pp</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(2)</w:t>
            </w:r>
          </w:p>
        </w:tc>
        <w:tc>
          <w:tcPr>
            <w:tcW w:w="1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(11.6)pp</w:t>
            </w:r>
          </w:p>
        </w:tc>
        <w:tc>
          <w:tcPr>
            <w:tcW w:w="0" w:type="dxa"/>
            <w:vAlign w:val="bottom"/>
          </w:tcPr>
          <w:p>
            <w:pPr>
              <w:spacing w:after="0"/>
              <w:rPr>
                <w:sz w:val="1"/>
                <w:szCs w:val="1"/>
                <w:color w:val="auto"/>
              </w:rPr>
            </w:pPr>
          </w:p>
        </w:tc>
      </w:tr>
      <w:tr>
        <w:trPr>
          <w:trHeight w:val="203"/>
        </w:trPr>
        <w:tc>
          <w:tcPr>
            <w:tcW w:w="728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(4.9)pp</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(3)</w:t>
            </w:r>
          </w:p>
        </w:tc>
        <w:tc>
          <w:tcPr>
            <w:tcW w:w="1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(3.3)pp</w:t>
            </w:r>
          </w:p>
        </w:tc>
        <w:tc>
          <w:tcPr>
            <w:tcW w:w="0" w:type="dxa"/>
            <w:vAlign w:val="bottom"/>
          </w:tcPr>
          <w:p>
            <w:pPr>
              <w:spacing w:after="0"/>
              <w:rPr>
                <w:sz w:val="1"/>
                <w:szCs w:val="1"/>
                <w:color w:val="auto"/>
              </w:rPr>
            </w:pPr>
          </w:p>
        </w:tc>
      </w:tr>
      <w:tr>
        <w:trPr>
          <w:trHeight w:val="203"/>
        </w:trPr>
        <w:tc>
          <w:tcPr>
            <w:tcW w:w="7280" w:type="dxa"/>
            <w:vAlign w:val="bottom"/>
          </w:tcPr>
          <w:p>
            <w:pPr>
              <w:ind w:left="720"/>
              <w:spacing w:after="0" w:line="202" w:lineRule="exact"/>
              <w:rPr>
                <w:sz w:val="20"/>
                <w:szCs w:val="20"/>
                <w:color w:val="auto"/>
              </w:rPr>
            </w:pPr>
            <w:r>
              <w:rPr>
                <w:rFonts w:ascii="Arial" w:cs="Arial" w:eastAsia="Arial" w:hAnsi="Arial"/>
                <w:sz w:val="18"/>
                <w:szCs w:val="18"/>
                <w:color w:val="auto"/>
              </w:rPr>
              <w:t>Impact of acquisition</w:t>
            </w:r>
          </w:p>
        </w:tc>
        <w:tc>
          <w:tcPr>
            <w:tcW w:w="15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0.6pp</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5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60" w:hanging="335"/>
        <w:spacing w:after="0" w:line="241" w:lineRule="auto"/>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Non-GAAP Financial Measures </w:t>
      </w:r>
      <w:r>
        <w:rPr>
          <w:rFonts w:ascii="Arial" w:cs="Arial" w:eastAsia="Arial" w:hAnsi="Arial"/>
          <w:sz w:val="14"/>
          <w:szCs w:val="14"/>
          <w:color w:val="auto"/>
        </w:rPr>
        <w:t>appearing later in this section for more information.</w:t>
      </w:r>
    </w:p>
    <w:p>
      <w:pPr>
        <w:ind w:left="1140" w:right="120" w:hanging="335"/>
        <w:spacing w:after="0" w:line="258" w:lineRule="auto"/>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Net revenue decline of 17.7% was driven by the impact of the deconsolidation of our historical coffee business, unfavorable currency and the deconsolidation of our historical Venezuelan operations, partially offset by our underlying Organic Net Revenue growth of 1.5% and last year’s acquisition of a biscuit operation. The adjustment for deconsolidating our historical coffee business resulted in a year-over-year decrease in net revenues of $875 million for the quarter. Unfavorable currency impacts decreased net revenues by $316 million, due primarily to the strength of the U.S. dollar relative to several currencies, including the Argentinean peso, Brazilian real, British pound sterling, Russian ruble and Mexican peso. The deconsolidation of our historical Venezuelan operations resulted in a year-over-year decrease in net revenues of $301 million for the quarter. Our underlying Organic Net Revenue growth was driven by higher net pricing, partially offset by unfavorable volume/mix. Net pricing was up, which includes the benefit of carryover pricing from 2015 as well as the effects of input cost-driven pricing actions taken during the quarter. Higher net pricing was reflected across all segments except Europe and North America. Unfavorable volume/mix was reflected in EEMEA and Latin America, partially offset by favorable volume/mix in North America, Europe and Asia Pacific. Unfavorable volume/mix in EEMEA and Latin America was largely due to price elasticity as well as strategic decisions to exit certain low-margin product lines. The impact of the July 15, 2015 acquisition of a biscuit operation in Vietnam added $33 million of incremental net revenues in the quarter.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$203 million (24.1%) to $638 million in the second quarter of 2016,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5"/>
          <w:szCs w:val="15"/>
          <w:color w:val="auto"/>
        </w:rPr>
        <w:t>(1)</w:t>
      </w:r>
      <w:r>
        <w:rPr>
          <w:rFonts w:ascii="Arial" w:cs="Arial" w:eastAsia="Arial" w:hAnsi="Arial"/>
          <w:sz w:val="18"/>
          <w:szCs w:val="18"/>
          <w:color w:val="auto"/>
        </w:rPr>
        <w:t xml:space="preserve"> increased $110 million (12.9%) to $960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$148 million (17.4%) to $998 million due to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Income</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84"/>
        </w:trPr>
        <w:tc>
          <w:tcPr>
            <w:tcW w:w="8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point)</w:t>
            </w:r>
          </w:p>
        </w:tc>
        <w:tc>
          <w:tcPr>
            <w:tcW w:w="100" w:type="dxa"/>
            <w:vAlign w:val="bottom"/>
          </w:tcPr>
          <w:p>
            <w:pPr>
              <w:spacing w:after="0"/>
              <w:rPr>
                <w:sz w:val="15"/>
                <w:szCs w:val="15"/>
                <w:color w:val="auto"/>
              </w:rPr>
            </w:pPr>
          </w:p>
        </w:tc>
      </w:tr>
      <w:tr>
        <w:trPr>
          <w:trHeight w:val="80"/>
        </w:trPr>
        <w:tc>
          <w:tcPr>
            <w:tcW w:w="8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June 30, 2015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841</w:t>
            </w: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7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(77)</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historical coffee business </w:t>
            </w: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(33.4)pp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Costs associated with the JDE coffee business transactions </w:t>
            </w: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7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29.7pp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10"/>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100" w:type="dxa"/>
            <w:vAlign w:val="bottom"/>
          </w:tcPr>
          <w:p>
            <w:pPr>
              <w:spacing w:after="0"/>
              <w:rPr>
                <w:sz w:val="18"/>
                <w:szCs w:val="18"/>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180"/>
        </w:trPr>
        <w:tc>
          <w:tcPr>
            <w:tcW w:w="83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Three Months Ended June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7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Favorable volume/mix</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77</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Change in unrealized gains/losses on hedging activities</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4.6pp</w:t>
            </w:r>
          </w:p>
        </w:tc>
      </w:tr>
      <w:tr>
        <w:trPr>
          <w:trHeight w:val="210"/>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0.1pp</w:t>
            </w:r>
          </w:p>
        </w:tc>
        <w:tc>
          <w:tcPr>
            <w:tcW w:w="100" w:type="dxa"/>
            <w:vAlign w:val="bottom"/>
          </w:tcPr>
          <w:p>
            <w:pPr>
              <w:spacing w:after="0"/>
              <w:rPr>
                <w:sz w:val="18"/>
                <w:szCs w:val="18"/>
                <w:color w:val="auto"/>
              </w:rPr>
            </w:pPr>
          </w:p>
        </w:tc>
      </w:tr>
      <w:tr>
        <w:trPr>
          <w:trHeight w:val="203"/>
        </w:trPr>
        <w:tc>
          <w:tcPr>
            <w:tcW w:w="8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148</w:t>
            </w:r>
          </w:p>
        </w:tc>
        <w:tc>
          <w:tcPr>
            <w:tcW w:w="7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17.4%</w:t>
            </w:r>
          </w:p>
        </w:tc>
      </w:tr>
      <w:tr>
        <w:trPr>
          <w:trHeight w:val="210"/>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currency—translation</w:t>
            </w:r>
          </w:p>
        </w:tc>
        <w:tc>
          <w:tcPr>
            <w:tcW w:w="100" w:type="dxa"/>
            <w:vAlign w:val="bottom"/>
          </w:tcPr>
          <w:p>
            <w:pPr>
              <w:spacing w:after="0"/>
              <w:rPr>
                <w:sz w:val="18"/>
                <w:szCs w:val="18"/>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(4.5)pp</w:t>
            </w:r>
          </w:p>
        </w:tc>
      </w:tr>
      <w:tr>
        <w:trPr>
          <w:trHeight w:val="203"/>
        </w:trPr>
        <w:tc>
          <w:tcPr>
            <w:tcW w:w="8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7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17"/>
                <w:szCs w:val="17"/>
                <w:color w:val="auto"/>
              </w:rPr>
            </w:pPr>
          </w:p>
        </w:tc>
      </w:tr>
      <w:tr>
        <w:trPr>
          <w:trHeight w:val="187"/>
        </w:trPr>
        <w:tc>
          <w:tcPr>
            <w:tcW w:w="834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Three Months Ended June 30, 2016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960</w:t>
            </w: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(228)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(28.0)pp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0.7pp</w:t>
            </w:r>
          </w:p>
        </w:tc>
      </w:tr>
      <w:tr>
        <w:trPr>
          <w:trHeight w:val="203"/>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(10.0)pp</w:t>
            </w:r>
          </w:p>
        </w:tc>
      </w:tr>
      <w:tr>
        <w:trPr>
          <w:trHeight w:val="203"/>
        </w:trPr>
        <w:tc>
          <w:tcPr>
            <w:tcW w:w="8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10"/>
        </w:trPr>
        <w:tc>
          <w:tcPr>
            <w:tcW w:w="8340" w:type="dxa"/>
            <w:vAlign w:val="bottom"/>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100" w:type="dxa"/>
            <w:vAlign w:val="bottom"/>
          </w:tcPr>
          <w:p>
            <w:pPr>
              <w:spacing w:after="0"/>
              <w:rPr>
                <w:sz w:val="18"/>
                <w:szCs w:val="18"/>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8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June 30, 2016</w:t>
            </w: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638</w:t>
            </w:r>
          </w:p>
        </w:tc>
        <w:tc>
          <w:tcPr>
            <w:tcW w:w="700" w:type="dxa"/>
            <w:vAlign w:val="bottom"/>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CCEEFF"/>
          </w:tcPr>
          <w:p>
            <w:pPr>
              <w:spacing w:after="0"/>
              <w:rPr>
                <w:sz w:val="17"/>
                <w:szCs w:val="17"/>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6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 on our 2014-2018 Restructuring Program and Note 6 to the consolidated financial statement in our Form 10-K for the year ended December 31, 2015 for more information on our 2012-2014 Restructuring Program.</w:t>
      </w:r>
    </w:p>
    <w:p>
      <w:pPr>
        <w:ind w:left="1140" w:right="12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in 2015.</w:t>
      </w:r>
    </w:p>
    <w:p>
      <w:pPr>
        <w:ind w:left="1140" w:right="18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114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Historically, we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20" w:hanging="335"/>
        <w:spacing w:after="0" w:line="258"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2015 divestiture of AGF. The divestiture of AGF generated a pre-tax gain of $13 million and after-tax loss of $9 million in the second quarter of 2015.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200" w:hanging="335"/>
        <w:spacing w:after="0" w:line="252"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right="12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charges recorded in 2016 for a trademark in North America and a trademark in Europe related to the planned sale of a confectionary business in France.</w:t>
      </w:r>
    </w:p>
    <w:p>
      <w:pPr>
        <w:ind w:left="1140" w:right="220" w:hanging="335"/>
        <w:spacing w:after="0" w:line="258"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During the quarter, we realized higher net pricing while input costs increased modestly. Higher net pricing, which included the carryover impact of pricing actions taken in 2015, was reflected across all segments except Europe and North America. The increase in input costs was driven by higher raw material costs, in part due to higher currency exchange transaction costs on imported materials, which were partially offset by lower manufacturing costs due to productivity. Favorable volume/mix was driven by North America, Asia Pacific and Europe, which was partially offset by unfavorable volume/mix in EEMEA and Latin America.</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Total selling, general and administrative expenses decreased $293 million from the second quarter of 2015, due to a number of factors noted in the table above, including in part, the deconsolidation of our historical coffee business, a favorable currency impact, lower costs associated with the JDE coffee business transactions, gains on sales of property and the deconsolidation of our Venezuelan operations. The decreases were partially offset by increases from divestiture-related costs associated with the planned sale of a confectionery business in France, higher costs incurred for the 2014-2018 Restructuring Program, the reclassification of equity method investment earnings and the impact of an acquisition.</w:t>
      </w:r>
    </w:p>
    <w:p>
      <w:pPr>
        <w:spacing w:after="0" w:line="20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Excluding the factors noted above, selling, general and administrative expenses decreased $77 million from the second quarter of 2015. The decrease was driven primarily by lower overhead costs due to continued cost reduction efforts, partially offset by higher advertising and consumer promotions support, particularly behind our Power Brands.</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Excluding the portion related to deconsolidating our historical coffee business, the change in unrealized gains / (losses) decreased operating income by $39 million in the second quarter of 2016. In the second quarter of 2016, the net unrealized gains on currency and commodity hedging activity were $ 17 million, as compared to net unrealized gains of $56 million ($86 million including coffee related activity) in the second quarter of 2015 related to currency and commodity hedging activity.</w:t>
      </w:r>
    </w:p>
    <w:p>
      <w:pPr>
        <w:spacing w:after="0" w:line="20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Unfavorable currency impacts decreased operating income by $38 million, due primarily to the strength of the U.S. dollar relative to most currencies, including the Argentinean peso, British pound sterling, Canadian dollar, Mexican peso, Brazilian real and Russian ruble.</w:t>
      </w:r>
    </w:p>
    <w:p>
      <w:pPr>
        <w:spacing w:after="0" w:line="1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Operating income margin decreased from 11.0% in the second quarter of 2015 to 10.1% in the second quarter of 2016. The decrease in operating income margin was driven primarily by the deconsolidation of our historical coffee business, divestiture-related costs associated with the planned sale of a confectionery business in France, higher costs incurred for the 2014-2018 Restructuring Program, the deconsolidation of our Venezuelan operations, the reclassification of equity method earnings, loss on divesture and intangible asset impairment charges. The items that decreased our operating income margin were partially offset by the absence of costs associated with the JDE coffee business transactions and an increase in our Adjusted Operating Income margin. Adjusted Operating Income margin increased from 13.1% in the second quarter of 2015 to 15.2% in the second quarter of 2016. The increase in Adjusted Operating Income margin was driven primarily by lower overhead costs resulting from our cost reduction programs and gains on sales of property.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$464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$58 million (14.3%) in the second quarter of 2016. Diluted EPS attributable to Mondelēz International was $0.29 in the second quarter of 2016, up $0.04 (16.0%) from the second quarter of 2015. Adjusted EPS </w:t>
      </w:r>
      <w:r>
        <w:rPr>
          <w:rFonts w:ascii="Arial" w:cs="Arial" w:eastAsia="Arial" w:hAnsi="Arial"/>
          <w:sz w:val="15"/>
          <w:szCs w:val="15"/>
          <w:color w:val="auto"/>
        </w:rPr>
        <w:t>(1)</w:t>
      </w:r>
      <w:r>
        <w:rPr>
          <w:rFonts w:ascii="Arial" w:cs="Arial" w:eastAsia="Arial" w:hAnsi="Arial"/>
          <w:sz w:val="18"/>
          <w:szCs w:val="18"/>
          <w:color w:val="auto"/>
        </w:rPr>
        <w:t xml:space="preserve"> was $0.44 in the second quarter of 2016, flat to the second quarter of 2015.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$0.46 in the second quarter of 2016, up $0.02 (4.5%) from the second quarter of 2015.</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June 30, 2015</w:t>
      </w:r>
    </w:p>
    <w:p>
      <w:pPr>
        <w:ind w:left="720"/>
        <w:spacing w:after="0" w:line="234" w:lineRule="auto"/>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(3)</w:t>
      </w:r>
    </w:p>
    <w:p>
      <w:pPr>
        <w:ind w:left="720"/>
        <w:spacing w:after="0" w:line="238" w:lineRule="auto"/>
        <w:rPr>
          <w:sz w:val="20"/>
          <w:szCs w:val="20"/>
          <w:color w:val="auto"/>
        </w:rPr>
      </w:pPr>
      <w:r>
        <w:rPr>
          <w:rFonts w:ascii="Arial" w:cs="Arial" w:eastAsia="Arial" w:hAnsi="Arial"/>
          <w:sz w:val="18"/>
          <w:szCs w:val="18"/>
          <w:color w:val="auto"/>
        </w:rPr>
        <w:t xml:space="preserve">(Income) / costs associated with the JDE coffee business transactions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(5)</w:t>
      </w:r>
    </w:p>
    <w:p>
      <w:pPr>
        <w:ind w:left="720"/>
        <w:spacing w:after="0" w:line="238" w:lineRule="auto"/>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(6)</w:t>
      </w:r>
    </w:p>
    <w:p>
      <w:pPr>
        <w:ind w:left="720"/>
        <w:spacing w:after="0" w:line="235"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Other / rounding</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Increase in operations</w:t>
      </w:r>
    </w:p>
    <w:p>
      <w:pPr>
        <w:ind w:left="720"/>
        <w:spacing w:after="0" w:line="237" w:lineRule="auto"/>
        <w:rPr>
          <w:sz w:val="20"/>
          <w:szCs w:val="20"/>
          <w:color w:val="auto"/>
        </w:rPr>
      </w:pPr>
      <w:r>
        <w:rPr>
          <w:rFonts w:ascii="Arial" w:cs="Arial" w:eastAsia="Arial" w:hAnsi="Arial"/>
          <w:sz w:val="18"/>
          <w:szCs w:val="18"/>
          <w:color w:val="auto"/>
        </w:rPr>
        <w:t xml:space="preserve">Decrease in operations from historical coffee business and equity method investments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Change in unrealized gains / (losses) on hedging activities</w:t>
      </w:r>
    </w:p>
    <w:p>
      <w:pPr>
        <w:ind w:left="720"/>
        <w:spacing w:after="0" w:line="238"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Impact of acquisition </w:t>
      </w:r>
      <w:r>
        <w:rPr>
          <w:rFonts w:ascii="Arial" w:cs="Arial" w:eastAsia="Arial" w:hAnsi="Arial"/>
          <w:sz w:val="15"/>
          <w:szCs w:val="15"/>
          <w:color w:val="auto"/>
        </w:rPr>
        <w:t>(6)</w:t>
      </w:r>
    </w:p>
    <w:p>
      <w:pPr>
        <w:ind w:left="7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(9)</w:t>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220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June 30, 2016 </w:t>
      </w:r>
      <w:r>
        <w:rPr>
          <w:rFonts w:ascii="Arial" w:cs="Arial" w:eastAsia="Arial" w:hAnsi="Arial"/>
          <w:sz w:val="18"/>
          <w:szCs w:val="18"/>
          <w:color w:val="auto"/>
        </w:rPr>
        <w:t>Unfavorable currency—translation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June 30, 2016</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(11)</w:t>
      </w:r>
    </w:p>
    <w:p>
      <w:pPr>
        <w:ind w:left="720"/>
        <w:spacing w:after="0" w:line="235" w:lineRule="auto"/>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(12)</w:t>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(13)</w:t>
      </w:r>
    </w:p>
    <w:p>
      <w:pPr>
        <w:ind w:left="720"/>
        <w:spacing w:after="0"/>
        <w:rPr>
          <w:sz w:val="20"/>
          <w:szCs w:val="20"/>
          <w:color w:val="auto"/>
        </w:rPr>
      </w:pPr>
      <w:r>
        <w:rPr>
          <w:rFonts w:ascii="Arial" w:cs="Arial" w:eastAsia="Arial" w:hAnsi="Arial"/>
          <w:sz w:val="18"/>
          <w:szCs w:val="18"/>
          <w:color w:val="auto"/>
        </w:rPr>
        <w:t>Other /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Three Months Ended June 30, 2016</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43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0.25</w:t>
      </w:r>
    </w:p>
    <w:p>
      <w:pPr>
        <w:spacing w:after="0" w:line="17" w:lineRule="exact"/>
        <w:rPr>
          <w:rFonts w:ascii="Arial" w:cs="Arial" w:eastAsia="Arial" w:hAnsi="Arial"/>
          <w:sz w:val="18"/>
          <w:szCs w:val="18"/>
          <w:b w:val="1"/>
          <w:bCs w:val="1"/>
          <w:color w:val="auto"/>
        </w:rPr>
      </w:pP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0.08</w:t>
      </w:r>
    </w:p>
    <w:p>
      <w:pPr>
        <w:jc w:val="right"/>
        <w:spacing w:after="0" w:line="235" w:lineRule="auto"/>
        <w:rPr>
          <w:sz w:val="20"/>
          <w:szCs w:val="20"/>
          <w:color w:val="auto"/>
        </w:rPr>
      </w:pPr>
      <w:r>
        <w:rPr>
          <w:rFonts w:ascii="Arial" w:cs="Arial" w:eastAsia="Arial" w:hAnsi="Arial"/>
          <w:sz w:val="18"/>
          <w:szCs w:val="18"/>
          <w:color w:val="auto"/>
        </w:rPr>
        <w:t>(0.03)</w:t>
      </w:r>
    </w:p>
    <w:p>
      <w:pPr>
        <w:jc w:val="right"/>
        <w:ind w:right="60"/>
        <w:spacing w:after="0" w:line="235" w:lineRule="auto"/>
        <w:rPr>
          <w:sz w:val="20"/>
          <w:szCs w:val="20"/>
          <w:color w:val="auto"/>
        </w:rPr>
      </w:pPr>
      <w:r>
        <w:rPr>
          <w:rFonts w:ascii="Arial" w:cs="Arial" w:eastAsia="Arial" w:hAnsi="Arial"/>
          <w:sz w:val="18"/>
          <w:szCs w:val="18"/>
          <w:color w:val="auto"/>
        </w:rPr>
        <w:t>0.13</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0.44</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0.08</w:t>
      </w:r>
    </w:p>
    <w:p>
      <w:pPr>
        <w:jc w:val="right"/>
        <w:spacing w:after="0" w:line="235" w:lineRule="auto"/>
        <w:rPr>
          <w:sz w:val="20"/>
          <w:szCs w:val="20"/>
          <w:color w:val="auto"/>
        </w:rPr>
      </w:pPr>
      <w:r>
        <w:rPr>
          <w:rFonts w:ascii="Arial" w:cs="Arial" w:eastAsia="Arial" w:hAnsi="Arial"/>
          <w:sz w:val="18"/>
          <w:szCs w:val="18"/>
          <w:color w:val="auto"/>
        </w:rPr>
        <w:t>(0.07)</w:t>
      </w:r>
    </w:p>
    <w:p>
      <w:pPr>
        <w:jc w:val="right"/>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spacing w:after="0"/>
        <w:rPr>
          <w:sz w:val="20"/>
          <w:szCs w:val="20"/>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0.46</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0.44</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3" w:lineRule="exact"/>
        <w:rPr>
          <w:sz w:val="20"/>
          <w:szCs w:val="20"/>
          <w:color w:val="auto"/>
        </w:rPr>
      </w:pPr>
    </w:p>
    <w:p>
      <w:pPr>
        <w:ind w:left="660" w:hanging="654"/>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080"/>
          </w:cols>
          <w:pgMar w:left="240" w:top="459" w:right="299" w:bottom="1440" w:gutter="0" w:footer="0" w:header="0"/>
          <w:type w:val="continuous"/>
        </w:sectPr>
      </w:pPr>
    </w:p>
    <w:p>
      <w:pPr>
        <w:spacing w:after="0" w:line="84" w:lineRule="exact"/>
        <w:rPr>
          <w:sz w:val="20"/>
          <w:szCs w:val="20"/>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0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 on our 2014-2018 Restructuring Program and Note 6 to the consolidated financial statement in our Form 10-K for the year ended December 31, 2015 for more information on our 2012-2014 Restructuring Program.</w:t>
      </w:r>
    </w:p>
    <w:p>
      <w:pPr>
        <w:ind w:left="1140" w:right="6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ind w:left="114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losses of $144 million in the second quarter of 2015 on the currency hedges related to the JDE coffee business transactions were recorded in interest and other expense, net and are included in the (income) / costs associated with the JDE coffee business transactions of $0.13 in the table above.</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right="140" w:hanging="335"/>
        <w:spacing w:after="0" w:line="258"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680" w:hanging="335"/>
        <w:spacing w:after="0" w:line="252"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Includes our historical coffee business results and equity earnings from JDE and our other equity method investees. Refer to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and</w:t>
      </w:r>
      <w:r>
        <w:rPr>
          <w:rFonts w:ascii="Arial" w:cs="Arial" w:eastAsia="Arial" w:hAnsi="Arial"/>
          <w:sz w:val="14"/>
          <w:szCs w:val="14"/>
          <w:i w:val="1"/>
          <w:iCs w:val="1"/>
          <w:color w:val="auto"/>
        </w:rPr>
        <w:t xml:space="preserve"> Non-GAAP Financial 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hanging="335"/>
        <w:spacing w:after="0" w:line="24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charges recorded in 2016 for a trademark in North America and a trademark in Europe related to the planned sale of a confectionary business in France.</w:t>
      </w:r>
    </w:p>
    <w:p>
      <w:pPr>
        <w:ind w:left="1140" w:right="100" w:hanging="335"/>
        <w:spacing w:after="0" w:line="24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ind w:left="1140" w:right="100" w:hanging="335"/>
        <w:spacing w:after="0" w:line="258"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rPr>
              <w:t>For the Six Months Ended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1140" w:type="dxa"/>
            <w:vAlign w:val="bottom"/>
          </w:tcPr>
          <w:p>
            <w:pPr>
              <w:spacing w:after="0"/>
              <w:rPr>
                <w:sz w:val="13"/>
                <w:szCs w:val="13"/>
                <w:color w:val="auto"/>
              </w:rPr>
            </w:pPr>
          </w:p>
        </w:tc>
        <w:tc>
          <w:tcPr>
            <w:tcW w:w="7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12,757</w:t>
            </w:r>
          </w:p>
        </w:tc>
        <w:tc>
          <w:tcPr>
            <w:tcW w:w="1140" w:type="dxa"/>
            <w:vAlign w:val="bottom"/>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15,423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(2,666)</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324"/>
        </w:trPr>
        <w:tc>
          <w:tcPr>
            <w:tcW w:w="500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1,360</w:t>
            </w:r>
          </w:p>
        </w:tc>
        <w:tc>
          <w:tcPr>
            <w:tcW w:w="114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1,652</w:t>
            </w:r>
          </w:p>
        </w:tc>
        <w:tc>
          <w:tcPr>
            <w:tcW w:w="16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95"/>
        </w:trPr>
        <w:tc>
          <w:tcPr>
            <w:tcW w:w="5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10"/>
        </w:trPr>
        <w:tc>
          <w:tcPr>
            <w:tcW w:w="500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tcPr>
          <w:p>
            <w:pPr>
              <w:ind w:left="720"/>
              <w:spacing w:after="0"/>
              <w:rPr>
                <w:sz w:val="20"/>
                <w:szCs w:val="20"/>
                <w:color w:val="auto"/>
              </w:rPr>
            </w:pPr>
            <w:r>
              <w:rPr>
                <w:rFonts w:ascii="Arial" w:cs="Arial" w:eastAsia="Arial" w:hAnsi="Arial"/>
                <w:sz w:val="18"/>
                <w:szCs w:val="18"/>
                <w:color w:val="auto"/>
              </w:rPr>
              <w:t>to Mondelēz International</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1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40"/>
        <w:spacing w:after="0" w:line="242"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$2,666 million (17.3%) to $ 12,757 million in the first six months of 2016, and Organic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w:t>
      </w:r>
      <w:r>
        <w:rPr>
          <w:rFonts w:ascii="Arial" w:cs="Arial" w:eastAsia="Arial" w:hAnsi="Arial"/>
          <w:sz w:val="15"/>
          <w:szCs w:val="15"/>
          <w:color w:val="auto"/>
        </w:rPr>
        <w:t>(1)</w:t>
      </w:r>
      <w:r>
        <w:rPr>
          <w:rFonts w:ascii="Arial" w:cs="Arial" w:eastAsia="Arial" w:hAnsi="Arial"/>
          <w:sz w:val="18"/>
          <w:szCs w:val="18"/>
          <w:color w:val="auto"/>
        </w:rPr>
        <w:t xml:space="preserve"> increased $245 million (1.9%) to $13,484 million. Power Brands net revenues decreased 17.0%, primarily due to unfavorable currency, and Power Brands Organic Net Revenue increased 3.4%. Emerging markets net revenues decreased 22.7%, primarily due to unfavorable currency, and emerging markets Organic Net Revenue increased 3.7%. The underlying changes in net revenues and Organic Net Revenue are detailed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6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2.3pp</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(0.4)pp</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(2)</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(10.5)pp</w:t>
            </w:r>
          </w:p>
        </w:tc>
        <w:tc>
          <w:tcPr>
            <w:tcW w:w="0" w:type="dxa"/>
            <w:vAlign w:val="bottom"/>
          </w:tcPr>
          <w:p>
            <w:pPr>
              <w:spacing w:after="0"/>
              <w:rPr>
                <w:sz w:val="1"/>
                <w:szCs w:val="1"/>
                <w:color w:val="auto"/>
              </w:rPr>
            </w:pPr>
          </w:p>
        </w:tc>
      </w:tr>
      <w:tr>
        <w:trPr>
          <w:trHeight w:val="203"/>
        </w:trPr>
        <w:tc>
          <w:tcPr>
            <w:tcW w:w="736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(6.0)pp</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(3)</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(2.9)pp</w:t>
            </w:r>
          </w:p>
        </w:tc>
        <w:tc>
          <w:tcPr>
            <w:tcW w:w="0" w:type="dxa"/>
            <w:vAlign w:val="bottom"/>
          </w:tcPr>
          <w:p>
            <w:pPr>
              <w:spacing w:after="0"/>
              <w:rPr>
                <w:sz w:val="1"/>
                <w:szCs w:val="1"/>
                <w:color w:val="auto"/>
              </w:rPr>
            </w:pPr>
          </w:p>
        </w:tc>
      </w:tr>
      <w:tr>
        <w:trPr>
          <w:trHeight w:val="203"/>
        </w:trPr>
        <w:tc>
          <w:tcPr>
            <w:tcW w:w="7360" w:type="dxa"/>
            <w:vAlign w:val="bottom"/>
          </w:tcPr>
          <w:p>
            <w:pPr>
              <w:ind w:left="720"/>
              <w:spacing w:after="0" w:line="202" w:lineRule="exact"/>
              <w:rPr>
                <w:sz w:val="20"/>
                <w:szCs w:val="20"/>
                <w:color w:val="auto"/>
              </w:rPr>
            </w:pPr>
            <w:r>
              <w:rPr>
                <w:rFonts w:ascii="Arial" w:cs="Arial" w:eastAsia="Arial" w:hAnsi="Arial"/>
                <w:sz w:val="18"/>
                <w:szCs w:val="18"/>
                <w:color w:val="auto"/>
              </w:rPr>
              <w:t>Impact of accounting calendar change</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acquisitions</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0.5pp</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change in net revenues</w:t>
            </w: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6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Non-GAAP Financial Measures </w:t>
      </w:r>
      <w:r>
        <w:rPr>
          <w:rFonts w:ascii="Arial" w:cs="Arial" w:eastAsia="Arial" w:hAnsi="Arial"/>
          <w:sz w:val="14"/>
          <w:szCs w:val="14"/>
          <w:color w:val="auto"/>
        </w:rPr>
        <w:t>appearing later in this section for more information.</w:t>
      </w:r>
    </w:p>
    <w:p>
      <w:pPr>
        <w:ind w:left="1140" w:right="120" w:hanging="335"/>
        <w:spacing w:after="0" w:line="258"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 decline of 17.3% was driven by the impact of the deconsolidation of our historical coffee business, unfavorable currency, the deconsolidation of our historical Venezuelan operations and the year-over-year impact of last year’s accounting calendar change, partially offset by our underlying Organic Net Revenue growth of 1.9% and the impact of last year’s acquisitions. The adjustment for deconsolidating our historical coffee business resulted in a year-over-year decrease in net revenues of $1,627 million for the first six months of 2016. Unfavorable currency impacts decreased net revenues by $803 million, due primarily to the strength of the U.S. dollar relative to several currencies, including the Argentinean peso, Brazilian real, British pound sterling, Mexican peso, Russian ruble and Australian dollar. The deconsolidation of our historical Venezuelan operations resulted in a year-over-year decrease in net revenues of $519 million for the first six months of 2016. The North America segment accounting calendar change made in 2015 resulted in a year-over-year decrease in net revenues of $38 million for the first six months of 2016. Our underlying Organic Net Revenue growth was driven by higher net pricing, partially offset by unfavorable volume/mix. Net pricing was up, which includes the benefit of carryover pricing from 2015 as well as the effects of input cost-driven pricing actions taken during the first six months of 2016. Higher net pricing was reflected across all segments except Europe. Unfavorable volume/mix was reflected in Latin America and EEMEA, partially offset by favorable volume/mix in all other segments. Unfavorable volume/mix in Latin America and EEMEA was largely due to price elasticity as well as strategic decisions to exit certain low-margin product lines. The impact of acquisitions primarily includes the July 15, 2015 acquisition of a biscuit operation in Vietnam, which added $71 million of incremental net revenues for the first six months of 2016.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$292 million (17.7%) to $1,360 million in the first six months of 2016,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5"/>
          <w:szCs w:val="15"/>
          <w:color w:val="auto"/>
        </w:rPr>
        <w:t>(1)</w:t>
      </w:r>
      <w:r>
        <w:rPr>
          <w:rFonts w:ascii="Arial" w:cs="Arial" w:eastAsia="Arial" w:hAnsi="Arial"/>
          <w:sz w:val="18"/>
          <w:szCs w:val="18"/>
          <w:color w:val="auto"/>
        </w:rPr>
        <w:t xml:space="preserve"> increased $220 million (12.8%) to $1,934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$321 million (18.7%) to $2,035 million due to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Income</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84"/>
        </w:trPr>
        <w:tc>
          <w:tcPr>
            <w:tcW w:w="8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1"/>
              <w:spacing w:after="0"/>
              <w:rPr>
                <w:sz w:val="20"/>
                <w:szCs w:val="20"/>
                <w:color w:val="auto"/>
              </w:rPr>
            </w:pPr>
            <w:r>
              <w:rPr>
                <w:rFonts w:ascii="Arial" w:cs="Arial" w:eastAsia="Arial" w:hAnsi="Arial"/>
                <w:sz w:val="14"/>
                <w:szCs w:val="14"/>
                <w:b w:val="1"/>
                <w:bCs w:val="1"/>
                <w:color w:val="auto"/>
              </w:rPr>
              <w:t>(in millions)</w:t>
            </w:r>
          </w:p>
        </w:tc>
        <w:tc>
          <w:tcPr>
            <w:tcW w:w="620" w:type="dxa"/>
            <w:vAlign w:val="bottom"/>
            <w:gridSpan w:val="2"/>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point)</w:t>
            </w:r>
          </w:p>
        </w:tc>
        <w:tc>
          <w:tcPr>
            <w:tcW w:w="100" w:type="dxa"/>
            <w:vAlign w:val="bottom"/>
          </w:tcPr>
          <w:p>
            <w:pPr>
              <w:spacing w:after="0"/>
              <w:rPr>
                <w:sz w:val="15"/>
                <w:szCs w:val="15"/>
                <w:color w:val="auto"/>
              </w:rPr>
            </w:pPr>
          </w:p>
        </w:tc>
      </w:tr>
      <w:tr>
        <w:trPr>
          <w:trHeight w:val="80"/>
        </w:trPr>
        <w:tc>
          <w:tcPr>
            <w:tcW w:w="8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Six Months Ended June 30, 2015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1,652</w:t>
            </w: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406</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(130)</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historical coffee business </w:t>
            </w: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(342)</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(26.4)pp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Costs associated with the JDE coffee business transactions </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185</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(0.7)pp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6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187"/>
        </w:trPr>
        <w:tc>
          <w:tcPr>
            <w:tcW w:w="842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8420" w:type="dxa"/>
            <w:vAlign w:val="bottom"/>
          </w:tcPr>
          <w:p>
            <w:pPr>
              <w:ind w:left="720"/>
              <w:spacing w:after="0"/>
              <w:rPr>
                <w:sz w:val="20"/>
                <w:szCs w:val="20"/>
                <w:color w:val="auto"/>
              </w:rPr>
            </w:pPr>
            <w:r>
              <w:rPr>
                <w:rFonts w:ascii="Arial" w:cs="Arial" w:eastAsia="Arial" w:hAnsi="Arial"/>
                <w:sz w:val="18"/>
                <w:szCs w:val="18"/>
                <w:b w:val="1"/>
                <w:bCs w:val="1"/>
                <w:color w:val="auto"/>
              </w:rPr>
              <w:t>Six Months Ended June 30, 2015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1,714</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298</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6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unrealized gains/losses on hedging activities</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6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6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10"/>
        </w:trPr>
        <w:tc>
          <w:tcPr>
            <w:tcW w:w="842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18"/>
                <w:szCs w:val="18"/>
                <w:color w:val="auto"/>
              </w:rPr>
            </w:pP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currency—translation</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(5.9)pp</w:t>
            </w:r>
          </w:p>
        </w:tc>
      </w:tr>
      <w:tr>
        <w:trPr>
          <w:trHeight w:val="217"/>
        </w:trPr>
        <w:tc>
          <w:tcPr>
            <w:tcW w:w="842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8"/>
                <w:szCs w:val="18"/>
                <w:color w:val="auto"/>
              </w:rPr>
            </w:pPr>
          </w:p>
        </w:tc>
      </w:tr>
      <w:tr>
        <w:trPr>
          <w:trHeight w:val="180"/>
        </w:trPr>
        <w:tc>
          <w:tcPr>
            <w:tcW w:w="842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Six Months Ended June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1,934</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(465)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6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(4.9)pp</w:t>
            </w:r>
          </w:p>
        </w:tc>
      </w:tr>
      <w:tr>
        <w:trPr>
          <w:trHeight w:val="203"/>
        </w:trPr>
        <w:tc>
          <w:tcPr>
            <w:tcW w:w="84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(0.4)pp</w:t>
            </w:r>
          </w:p>
        </w:tc>
      </w:tr>
      <w:tr>
        <w:trPr>
          <w:trHeight w:val="203"/>
        </w:trPr>
        <w:tc>
          <w:tcPr>
            <w:tcW w:w="8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10"/>
        </w:trPr>
        <w:tc>
          <w:tcPr>
            <w:tcW w:w="8420" w:type="dxa"/>
            <w:vAlign w:val="bottom"/>
          </w:tcPr>
          <w:p>
            <w:pPr>
              <w:ind w:left="540"/>
              <w:spacing w:after="0"/>
              <w:rPr>
                <w:sz w:val="20"/>
                <w:szCs w:val="20"/>
                <w:color w:val="auto"/>
              </w:rPr>
            </w:pPr>
            <w:r>
              <w:rPr>
                <w:rFonts w:ascii="Arial" w:cs="Arial" w:eastAsia="Arial" w:hAnsi="Arial"/>
                <w:sz w:val="18"/>
                <w:szCs w:val="18"/>
                <w:b w:val="1"/>
                <w:bCs w:val="1"/>
                <w:color w:val="auto"/>
              </w:rPr>
              <w:t>Operating Income for the Six Months Ended June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6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 on our 2014-2018 Restructuring Program and Note 6 to the consolidated financial statement in our Form 10-K for the year ended December 31, 2015 for more information on our 2012-2014 Restructuring Program.</w:t>
      </w:r>
    </w:p>
    <w:p>
      <w:pPr>
        <w:ind w:left="1140" w:right="12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ind w:left="1140" w:right="18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hanging="335"/>
        <w:spacing w:after="0" w:line="241"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Historically, we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180" w:hanging="335"/>
        <w:spacing w:after="0" w:line="241"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right="200" w:hanging="335"/>
        <w:spacing w:after="0" w:line="241"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hanging="335"/>
        <w:spacing w:after="0"/>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charges recorded in 2016 for a trademark in North America and two trademarks in Europe related to the planned sale of a confectionary business in France.</w:t>
      </w:r>
    </w:p>
    <w:p>
      <w:pPr>
        <w:ind w:left="1140" w:right="220" w:hanging="335"/>
        <w:spacing w:after="0" w:line="258" w:lineRule="auto"/>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the first six months of 2016, we realized higher net pricing while input costs increased modestly. Higher net pricing, which included the carryover impact of pricing actions taken in 2015, was reflected across all segments except Europe. The increase in input costs was driven by higher raw material costs, in part due to higher currency exchange transaction costs on imported materials, which were partially offset by lower manufacturing costs due to productivity. Unfavorable volume/mix was driven by Latin America and EEMEA, which was mostly offset by favorable volume/mix in North America, Europe and Asia Pacific.</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Total selling, general and administrative expenses decreased $602 million from the first six months of 2015, due to a number of factors noted in the table above, including in part, the deconsolidation of our historical coffee business, a favorable currency impact, lower costs associated with the JDE coffee business transactions, the deconsolidation of our Venezuelan operations and lower devaluation charges related to our net monetary assets in Venezuela. The decreases were partially offset by increases from divestiture-related costs associated with the planned sale of a confectionery business in France, the reclassification of equity method investment earnings, higher costs incurred for the 2014-2018 Restructuring Program, gains on the sales of property, the impact of acquisitions and higher acquisition integration costs.</w:t>
      </w: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Excluding the factors noted above, selling, general and administrative expenses decreased $117 million from the first six months of 2015. The decrease was driven primarily by lower overhead costs due to continued cost reduction efforts, partially offset by higher advertising and consumer promotions support, particularly behind our Power Brands.</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Excluding the portion related to deconsolidating our historical coffee business, the change in unrealized gains / (losses) decreased operating income by $76 million in the first six months of 2016. In the first six months of 2016, the net unrealized losses on currency and commodity hedging activity were $37 million, as compared to net unrealized gains of $39 million ($79 million including coffee related activity) in the first six months of 2015 related to currency and commodity hedging activity.</w:t>
      </w:r>
    </w:p>
    <w:p>
      <w:pPr>
        <w:spacing w:after="0" w:line="20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Unfavorable currency impacts decreased operating income by $101 million, due primarily to the strength of the U.S. dollar relative to most currencies, including the Argentinean peso, British pound sterling and Brazilian real.</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Operating income margin was 10.7% in the first six months of 2016, unchanged from the first six months of 2015. Our operating income margin was flat as an increase in our Adjusted Operating Income margin and the absence of costs associated with the JDE coffee business transactions were offset by the deconsolidation of our historical coffee business, divestiture-related costs associated with the planned sale of a confectionery business in France, higher costs incurred for the 2014-2018 Restructuring Program, the deconsolidation of our Venezuelan operations, the reclassification of equity method earnings, and intangible asset impairment charges. Adjusted Operating Income margin increased from 12.9% in the first six months of 2015 to 15.2% in the first six months of 2016. The increase in Adjusted Operating Income margin was driven primarily by lower overheads from cost reduction programs, improved gross margin, reflecting productivity efforts partially offset by the year-over-year unfavorable impact of unrealized gains / (losses) on currency and commodity hedging activities, and gains on sales of property, partially offset by increased advertising and consumer promotions support.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$1,018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$288 million (39.5%) in the first six months of 2016. Diluted EPS attributable to Mondelēz International was $0.64 in the first six months of 2016, up $0.20 (45.5%) from the first six months of 2015. Adjusted EPS </w:t>
      </w:r>
      <w:r>
        <w:rPr>
          <w:rFonts w:ascii="Arial" w:cs="Arial" w:eastAsia="Arial" w:hAnsi="Arial"/>
          <w:sz w:val="15"/>
          <w:szCs w:val="15"/>
          <w:color w:val="auto"/>
        </w:rPr>
        <w:t>(1)</w:t>
      </w:r>
      <w:r>
        <w:rPr>
          <w:rFonts w:ascii="Arial" w:cs="Arial" w:eastAsia="Arial" w:hAnsi="Arial"/>
          <w:sz w:val="18"/>
          <w:szCs w:val="18"/>
          <w:color w:val="auto"/>
        </w:rPr>
        <w:t xml:space="preserve"> was $ 0.93 in the first six months of 2016, up $0.10 (12.0%) from the first six months of 2015.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$0.97 in the first six months of 2016, up $0.14 (16.9%) from the first six months of 2015.</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Six Months Ended June 30, 2015</w:t>
      </w:r>
    </w:p>
    <w:p>
      <w:pPr>
        <w:ind w:left="720"/>
        <w:spacing w:after="0" w:line="234" w:lineRule="auto"/>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(3)</w:t>
      </w:r>
    </w:p>
    <w:p>
      <w:pPr>
        <w:ind w:left="720"/>
        <w:spacing w:after="0" w:line="232" w:lineRule="auto"/>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(Income) / costs associated with the JDE coffee business transactions </w:t>
      </w:r>
      <w:r>
        <w:rPr>
          <w:rFonts w:ascii="Arial" w:cs="Arial" w:eastAsia="Arial" w:hAnsi="Arial"/>
          <w:sz w:val="15"/>
          <w:szCs w:val="15"/>
          <w:color w:val="auto"/>
        </w:rPr>
        <w:t>(4)</w:t>
      </w:r>
    </w:p>
    <w:p>
      <w:pPr>
        <w:ind w:left="7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(6)</w:t>
      </w:r>
    </w:p>
    <w:p>
      <w:pPr>
        <w:ind w:left="720"/>
        <w:spacing w:after="0" w:line="235" w:lineRule="auto"/>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(7)</w:t>
      </w:r>
    </w:p>
    <w:p>
      <w:pPr>
        <w:ind w:left="720"/>
        <w:spacing w:after="0" w:line="231"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(8)</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Six Months Ended June 30, 2015</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7" w:lineRule="auto"/>
        <w:rPr>
          <w:sz w:val="20"/>
          <w:szCs w:val="20"/>
          <w:color w:val="auto"/>
        </w:rPr>
      </w:pPr>
      <w:r>
        <w:rPr>
          <w:rFonts w:ascii="Arial" w:cs="Arial" w:eastAsia="Arial" w:hAnsi="Arial"/>
          <w:sz w:val="18"/>
          <w:szCs w:val="18"/>
          <w:color w:val="auto"/>
        </w:rPr>
        <w:t xml:space="preserve">Decrease in operations from historical coffee business and equity method investments </w:t>
      </w:r>
      <w:r>
        <w:rPr>
          <w:rFonts w:ascii="Arial" w:cs="Arial" w:eastAsia="Arial" w:hAnsi="Arial"/>
          <w:sz w:val="15"/>
          <w:szCs w:val="15"/>
          <w:color w:val="auto"/>
        </w:rPr>
        <w:t>(9)</w:t>
      </w:r>
    </w:p>
    <w:p>
      <w:pPr>
        <w:ind w:left="720"/>
        <w:spacing w:after="0" w:line="232" w:lineRule="auto"/>
        <w:rPr>
          <w:sz w:val="20"/>
          <w:szCs w:val="20"/>
          <w:color w:val="auto"/>
        </w:rPr>
      </w:pPr>
      <w:r>
        <w:rPr>
          <w:rFonts w:ascii="Arial" w:cs="Arial" w:eastAsia="Arial" w:hAnsi="Arial"/>
          <w:sz w:val="18"/>
          <w:szCs w:val="18"/>
          <w:color w:val="auto"/>
        </w:rPr>
        <w:t>Change in unrealized gains / (losses) on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(7)</w:t>
      </w:r>
    </w:p>
    <w:p>
      <w:pPr>
        <w:ind w:left="720"/>
        <w:spacing w:after="0" w:line="238" w:lineRule="auto"/>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Impact of acquisitions </w:t>
      </w:r>
      <w:r>
        <w:rPr>
          <w:rFonts w:ascii="Arial" w:cs="Arial" w:eastAsia="Arial" w:hAnsi="Arial"/>
          <w:sz w:val="15"/>
          <w:szCs w:val="15"/>
          <w:color w:val="auto"/>
        </w:rPr>
        <w:t>(7)</w:t>
      </w:r>
    </w:p>
    <w:p>
      <w:pPr>
        <w:ind w:left="7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(12)</w:t>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242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Six Months Ended June 30, 2016 </w:t>
      </w:r>
      <w:r>
        <w:rPr>
          <w:rFonts w:ascii="Arial" w:cs="Arial" w:eastAsia="Arial" w:hAnsi="Arial"/>
          <w:sz w:val="18"/>
          <w:szCs w:val="18"/>
          <w:color w:val="auto"/>
        </w:rPr>
        <w:t>Unfavorable currency—translation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Six Months Ended June 30, 2016</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1"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(5)</w:t>
      </w:r>
    </w:p>
    <w:p>
      <w:pPr>
        <w:ind w:left="720"/>
        <w:spacing w:after="0" w:line="238" w:lineRule="auto"/>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(7)</w:t>
      </w:r>
    </w:p>
    <w:p>
      <w:pPr>
        <w:ind w:left="720"/>
        <w:spacing w:after="0" w:line="238"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(7)</w:t>
      </w:r>
    </w:p>
    <w:p>
      <w:pPr>
        <w:ind w:left="720"/>
        <w:spacing w:after="0" w:line="235"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(7)</w:t>
      </w:r>
    </w:p>
    <w:p>
      <w:pPr>
        <w:ind w:left="720"/>
        <w:spacing w:after="0"/>
        <w:rPr>
          <w:sz w:val="20"/>
          <w:szCs w:val="20"/>
          <w:color w:val="auto"/>
        </w:rPr>
      </w:pPr>
      <w:r>
        <w:rPr>
          <w:rFonts w:ascii="Arial" w:cs="Arial" w:eastAsia="Arial" w:hAnsi="Arial"/>
          <w:sz w:val="18"/>
          <w:szCs w:val="18"/>
          <w:color w:val="auto"/>
        </w:rPr>
        <w:t>Other /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Six Months Ended June 30, 2016</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43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0.44</w:t>
      </w:r>
    </w:p>
    <w:p>
      <w:pPr>
        <w:spacing w:after="0" w:line="17" w:lineRule="exact"/>
        <w:rPr>
          <w:rFonts w:ascii="Arial" w:cs="Arial" w:eastAsia="Arial" w:hAnsi="Arial"/>
          <w:sz w:val="18"/>
          <w:szCs w:val="18"/>
          <w:b w:val="1"/>
          <w:bCs w:val="1"/>
          <w:color w:val="auto"/>
        </w:rPr>
      </w:pP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0.19</w:t>
      </w:r>
    </w:p>
    <w:p>
      <w:pPr>
        <w:jc w:val="right"/>
        <w:spacing w:after="0" w:line="235" w:lineRule="auto"/>
        <w:rPr>
          <w:sz w:val="20"/>
          <w:szCs w:val="20"/>
          <w:color w:val="auto"/>
        </w:rPr>
      </w:pPr>
      <w:r>
        <w:rPr>
          <w:rFonts w:ascii="Arial" w:cs="Arial" w:eastAsia="Arial" w:hAnsi="Arial"/>
          <w:sz w:val="18"/>
          <w:szCs w:val="18"/>
          <w:color w:val="auto"/>
        </w:rPr>
        <w:t>(0.05)</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(0.07)</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4"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0.27</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0.83</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0.17</w:t>
      </w:r>
    </w:p>
    <w:p>
      <w:pPr>
        <w:jc w:val="right"/>
        <w:spacing w:after="0" w:line="235" w:lineRule="auto"/>
        <w:rPr>
          <w:sz w:val="20"/>
          <w:szCs w:val="20"/>
          <w:color w:val="auto"/>
        </w:rPr>
      </w:pPr>
      <w:r>
        <w:rPr>
          <w:rFonts w:ascii="Arial" w:cs="Arial" w:eastAsia="Arial" w:hAnsi="Arial"/>
          <w:sz w:val="18"/>
          <w:szCs w:val="18"/>
          <w:color w:val="auto"/>
        </w:rPr>
        <w:t>(0.10)</w:t>
      </w:r>
    </w:p>
    <w:p>
      <w:pPr>
        <w:jc w:val="right"/>
        <w:spacing w:after="0" w:line="235" w:lineRule="auto"/>
        <w:rPr>
          <w:sz w:val="20"/>
          <w:szCs w:val="20"/>
          <w:color w:val="auto"/>
        </w:rPr>
      </w:pPr>
      <w:r>
        <w:rPr>
          <w:rFonts w:ascii="Arial" w:cs="Arial" w:eastAsia="Arial" w:hAnsi="Arial"/>
          <w:sz w:val="18"/>
          <w:szCs w:val="18"/>
          <w:color w:val="auto"/>
        </w:rPr>
        <w:t>(0.03)</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0.04</w:t>
      </w:r>
    </w:p>
    <w:p>
      <w:pPr>
        <w:jc w:val="right"/>
        <w:ind w:right="60"/>
        <w:spacing w:after="0"/>
        <w:rPr>
          <w:sz w:val="20"/>
          <w:szCs w:val="20"/>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0.97</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0.93</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(0.22)</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3" w:lineRule="exact"/>
        <w:rPr>
          <w:sz w:val="20"/>
          <w:szCs w:val="20"/>
          <w:color w:val="auto"/>
        </w:rPr>
      </w:pPr>
    </w:p>
    <w:p>
      <w:pPr>
        <w:ind w:left="660" w:hanging="654"/>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080"/>
          </w:cols>
          <w:pgMar w:left="240" w:top="459" w:right="299" w:bottom="1440" w:gutter="0" w:footer="0" w:header="0"/>
          <w:type w:val="continuous"/>
        </w:sectPr>
      </w:pPr>
    </w:p>
    <w:p>
      <w:pPr>
        <w:spacing w:after="0" w:line="84" w:lineRule="exact"/>
        <w:rPr>
          <w:sz w:val="20"/>
          <w:szCs w:val="20"/>
          <w:color w:val="auto"/>
        </w:rPr>
      </w:pPr>
    </w:p>
    <w:p>
      <w:pPr>
        <w:ind w:left="1140" w:hanging="335"/>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00" w:hanging="335"/>
        <w:spacing w:after="0" w:line="258"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 on our 2014-2018 Restructuring Program and Note 6 to the consolidated financial statement in our Form 10-K for the year ended December 31, 2015 for more information on our 2012-2014 Restructuring Program.</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120" w:hanging="335"/>
        <w:spacing w:after="0" w:line="252"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ind w:left="1140" w:right="6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$407 million in the first six months of 2015 on the currency hedges related to the JDE coffee business transactions were recorded in interest and other expense, net and are included in the (income) / costs associated with the JDE coffee business transactions of $(0.07) in the table above.</w:t>
      </w:r>
    </w:p>
    <w:p>
      <w:pPr>
        <w:spacing w:after="0" w:line="1" w:lineRule="exact"/>
        <w:rPr>
          <w:rFonts w:ascii="Arial" w:cs="Arial" w:eastAsia="Arial" w:hAnsi="Arial"/>
          <w:sz w:val="14"/>
          <w:szCs w:val="14"/>
          <w:color w:val="auto"/>
        </w:rPr>
      </w:pPr>
    </w:p>
    <w:p>
      <w:pPr>
        <w:ind w:left="1140" w:right="42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three months ended March 31, 2016 and 2015 due to changes in financing and hedging plans.</w:t>
      </w:r>
    </w:p>
    <w:p>
      <w:pPr>
        <w:ind w:left="1140" w:right="18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right="20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right="52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Refer to Note 8 to the consolidated financial statements in our Form 10-K for the year ended December 31, 2015 for more information on our loss on debt extinguishment and related expenses in connection with our debt tender offer in March 2015.</w:t>
      </w:r>
    </w:p>
    <w:p>
      <w:pPr>
        <w:ind w:left="1140" w:right="80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Includes our historical coffee business results and equity earnings from JDE and our other equity method investees. Refer to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and</w:t>
      </w:r>
      <w:r>
        <w:rPr>
          <w:rFonts w:ascii="Arial" w:cs="Arial" w:eastAsia="Arial" w:hAnsi="Arial"/>
          <w:sz w:val="14"/>
          <w:szCs w:val="14"/>
          <w:i w:val="1"/>
          <w:iCs w:val="1"/>
          <w:color w:val="auto"/>
        </w:rPr>
        <w:t xml:space="preserve"> Non-GAAP Financial 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right="12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2016 for a trademark in North America and two trademarks in Europe related to the planned sale of a confectionary business in France.</w:t>
      </w:r>
    </w:p>
    <w:p>
      <w:pPr>
        <w:ind w:left="1140" w:right="220" w:hanging="335"/>
        <w:spacing w:after="0" w:line="258"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five reportable operating segments:</w:t>
      </w:r>
    </w:p>
    <w:p>
      <w:pPr>
        <w:ind w:left="900" w:hanging="325"/>
        <w:spacing w:after="0" w:line="23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Asia Pacific</w:t>
      </w:r>
    </w:p>
    <w:p>
      <w:pPr>
        <w:ind w:left="900" w:hanging="325"/>
        <w:spacing w:after="0" w:line="23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EEMEA</w:t>
      </w:r>
    </w:p>
    <w:p>
      <w:pPr>
        <w:ind w:left="900" w:hanging="325"/>
        <w:spacing w:after="0" w:line="23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Beginning in the fourth quarter of 2016, we plan to integrate our EEMEA business into our Europe and Asia Pacific segments. Russia, Ukraine, Turkey, Belarus, Georgia and Kazakhstan will be integrated within our Europe operating segment, while the remaining Middle East and African countries will be integrated within our Asia Pacific operating segment to form a new Asia, Middle East and Africa (“AMEA”) regional operating segment.</w:t>
      </w:r>
    </w:p>
    <w:p>
      <w:pPr>
        <w:spacing w:after="0" w:line="20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Equity method investment net earnings were $102 million for the three months and $187 million for the six months ended June 30, 2016. Earnings from equity method investments recorded within segment operating income were $27 million in Asia Pacific, $2 million in EEMEA and $1 million in North America for the three months and $49 million in Asia Pacific, $4 million in North America and $3 million in EEMEA for the six months ended June 30, 2016. See Note 1, </w:t>
      </w:r>
      <w:r>
        <w:rPr>
          <w:rFonts w:ascii="Arial" w:cs="Arial" w:eastAsia="Arial" w:hAnsi="Arial"/>
          <w:sz w:val="18"/>
          <w:szCs w:val="18"/>
          <w:i w:val="1"/>
          <w:iCs w:val="1"/>
          <w:color w:val="auto"/>
        </w:rPr>
        <w:t>Basis of Presentation – Principles of Consolidation,</w:t>
      </w:r>
      <w:r>
        <w:rPr>
          <w:rFonts w:ascii="Arial" w:cs="Arial" w:eastAsia="Arial" w:hAnsi="Arial"/>
          <w:sz w:val="18"/>
          <w:szCs w:val="18"/>
          <w:color w:val="auto"/>
        </w:rPr>
        <w:t xml:space="preserve"> for additional information.</w:t>
      </w:r>
    </w:p>
    <w:p>
      <w:pPr>
        <w:spacing w:after="0" w:line="203"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84"/>
        </w:trPr>
        <w:tc>
          <w:tcPr>
            <w:tcW w:w="5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843</w:t>
            </w:r>
          </w:p>
        </w:tc>
        <w:tc>
          <w:tcPr>
            <w:tcW w:w="220" w:type="dxa"/>
            <w:vAlign w:val="bottom"/>
          </w:tcPr>
          <w:p>
            <w:pPr>
              <w:spacing w:after="0"/>
              <w:rPr>
                <w:sz w:val="17"/>
                <w:szCs w:val="17"/>
                <w:color w:val="auto"/>
              </w:rPr>
            </w:pP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1,240</w:t>
            </w: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1,660</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2,497</w:t>
            </w:r>
          </w:p>
        </w:tc>
      </w:tr>
      <w:tr>
        <w:trPr>
          <w:trHeight w:val="203"/>
        </w:trPr>
        <w:tc>
          <w:tcPr>
            <w:tcW w:w="5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2,177</w:t>
            </w:r>
          </w:p>
        </w:tc>
      </w:tr>
      <w:tr>
        <w:trPr>
          <w:trHeight w:val="203"/>
        </w:trPr>
        <w:tc>
          <w:tcPr>
            <w:tcW w:w="59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EEMEA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869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1,195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1,564</w:t>
            </w:r>
          </w:p>
        </w:tc>
      </w:tr>
      <w:tr>
        <w:trPr>
          <w:trHeight w:val="203"/>
        </w:trPr>
        <w:tc>
          <w:tcPr>
            <w:tcW w:w="5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2,068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2,815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4,357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5,790</w:t>
            </w:r>
          </w:p>
        </w:tc>
      </w:tr>
      <w:tr>
        <w:trPr>
          <w:trHeight w:val="210"/>
        </w:trPr>
        <w:tc>
          <w:tcPr>
            <w:tcW w:w="5920" w:type="dxa"/>
            <w:vAlign w:val="bottom"/>
          </w:tcPr>
          <w:p>
            <w:pPr>
              <w:ind w:left="720"/>
              <w:spacing w:after="0" w:line="202" w:lineRule="exact"/>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3,395</w:t>
            </w:r>
          </w:p>
        </w:tc>
        <w:tc>
          <w:tcPr>
            <w:tcW w:w="100" w:type="dxa"/>
            <w:vAlign w:val="bottom"/>
          </w:tcPr>
          <w:p>
            <w:pPr>
              <w:spacing w:after="0"/>
              <w:rPr>
                <w:sz w:val="18"/>
                <w:szCs w:val="18"/>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6,302</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7,661</w:t>
            </w: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12,757</w:t>
            </w: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15,423</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60" w:hanging="335"/>
        <w:spacing w:after="0" w:line="241" w:lineRule="auto"/>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Net revenues of $300 million for the three months and $519 million for the six months ended June 30, 2015 from our Venezuelan subsidiaries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1140" w:right="220" w:hanging="335"/>
        <w:spacing w:after="0" w:line="247" w:lineRule="auto"/>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segments. Net revenues of our global coffee business were $730 million in Europe, $130 million in EEMEA and $15 million in Asia Pacific for the three months and $1,348 million in Europe, $246 million in EEMEA and $33 million in Asia Pacific for the six months ended June 30, 2015. Refer to Note 2, </w:t>
      </w:r>
      <w:r>
        <w:rPr>
          <w:rFonts w:ascii="Arial" w:cs="Arial" w:eastAsia="Arial" w:hAnsi="Arial"/>
          <w:sz w:val="14"/>
          <w:szCs w:val="14"/>
          <w:i w:val="1"/>
          <w:iCs w:val="1"/>
          <w:color w:val="auto"/>
        </w:rPr>
        <w:t>Divestitures and Acquisitions – JDE Coffee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 for more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134</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900"/>
              <w:spacing w:after="0" w:line="202" w:lineRule="exact"/>
              <w:rPr>
                <w:sz w:val="20"/>
                <w:szCs w:val="20"/>
                <w:color w:val="auto"/>
              </w:rPr>
            </w:pPr>
            <w:r>
              <w:rPr>
                <w:rFonts w:ascii="Arial" w:cs="Arial" w:eastAsia="Arial" w:hAnsi="Arial"/>
                <w:sz w:val="18"/>
                <w:szCs w:val="18"/>
                <w:color w:val="auto"/>
              </w:rPr>
              <w:t>Asia Pacific</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243</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EEMEA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900"/>
              <w:spacing w:after="0" w:line="202" w:lineRule="exact"/>
              <w:rPr>
                <w:sz w:val="20"/>
                <w:szCs w:val="20"/>
                <w:color w:val="auto"/>
              </w:rPr>
            </w:pPr>
            <w:r>
              <w:rPr>
                <w:rFonts w:ascii="Arial" w:cs="Arial" w:eastAsia="Arial" w:hAnsi="Arial"/>
                <w:sz w:val="18"/>
                <w:szCs w:val="18"/>
                <w:color w:val="auto"/>
              </w:rPr>
              <w:t>Europe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594</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North America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566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900"/>
              <w:spacing w:after="0" w:line="202" w:lineRule="exact"/>
              <w:rPr>
                <w:sz w:val="20"/>
                <w:szCs w:val="20"/>
                <w:color w:val="auto"/>
              </w:rPr>
            </w:pPr>
            <w:r>
              <w:rPr>
                <w:rFonts w:ascii="Arial" w:cs="Arial" w:eastAsia="Arial" w:hAnsi="Arial"/>
                <w:sz w:val="18"/>
                <w:szCs w:val="18"/>
                <w:color w:val="auto"/>
              </w:rPr>
              <w:t>Unrealized gains / (losses) on hedging activities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5160" w:type="dxa"/>
            <w:vAlign w:val="bottom"/>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Gain on divestiture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160" w:type="dxa"/>
            <w:vAlign w:val="bottom"/>
          </w:tcPr>
          <w:p>
            <w:pPr>
              <w:ind w:left="900"/>
              <w:spacing w:after="0" w:line="202" w:lineRule="exact"/>
              <w:rPr>
                <w:sz w:val="20"/>
                <w:szCs w:val="20"/>
                <w:color w:val="auto"/>
              </w:rPr>
            </w:pPr>
            <w:r>
              <w:rPr>
                <w:rFonts w:ascii="Arial" w:cs="Arial" w:eastAsia="Arial" w:hAnsi="Arial"/>
                <w:sz w:val="18"/>
                <w:szCs w:val="18"/>
                <w:color w:val="auto"/>
              </w:rPr>
              <w:t>Acquisition-related costs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1,360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03"/>
        </w:trPr>
        <w:tc>
          <w:tcPr>
            <w:tcW w:w="516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(151)</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(395)</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527</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8" w:lineRule="exact"/>
        <w:rPr>
          <w:sz w:val="20"/>
          <w:szCs w:val="20"/>
          <w:color w:val="auto"/>
        </w:rPr>
      </w:pPr>
    </w:p>
    <w:tbl>
      <w:tblPr>
        <w:tblLayout w:type="fixed"/>
        <w:tblInd w:w="5920" w:type="dxa"/>
        <w:tblCellMar>
          <w:top w:w="0" w:type="dxa"/>
          <w:left w:w="0" w:type="dxa"/>
          <w:bottom w:w="0" w:type="dxa"/>
          <w:right w:w="0" w:type="dxa"/>
        </w:tblCellMar>
      </w:tblPr>
      <w:tr>
        <w:trPr>
          <w:trHeight w:val="162"/>
        </w:trPr>
        <w:tc>
          <w:tcPr>
            <w:tcW w:w="2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12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2016</w:t>
            </w:r>
          </w:p>
        </w:tc>
        <w:tc>
          <w:tcPr>
            <w:tcW w:w="166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351"/>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2,497</w:t>
            </w:r>
          </w:p>
        </w:tc>
        <w:tc>
          <w:tcPr>
            <w:tcW w:w="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(837)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(189)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decreased $397 million (32.0%), due to the deconsolidation of our Venezuelan operations (21.8 pp), unfavorable currency (19.0</w:t>
      </w:r>
    </w:p>
    <w:p>
      <w:pPr>
        <w:ind w:right="80" w:firstLine="8"/>
        <w:spacing w:after="0" w:line="237" w:lineRule="auto"/>
        <w:tabs>
          <w:tab w:leader="none" w:pos="3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and unfavorable volume/mix (1.5 pp), partially offset by higher net pricing (10.3 pp). The deconsolidation of our Venezuelan operations resulted in a year-over-year decrease in net revenues of $301 million. Unfavorable currency impacts were due primarily to the strength of the U.S. dollar relative to most currencies in the region, including the Argentinean peso, Brazilian real and Mexican peso. Unfavorable volume/mix, which primarily occurred in Brazil, was largely due to the impact of pricing-related elasticity as well as strategic decisions to exit certain low-margin product lines. Unfavorable volume/mix was driven by declines in refreshment beverages, chocolate, biscuits and gum. Higher net pricing was reflected across all categories driven primarily by Argentina and Brazil.</w:t>
      </w:r>
    </w:p>
    <w:p>
      <w:pPr>
        <w:spacing w:after="0" w:line="20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Segment operating income decreased $102 million (76.1%), primarily due to higher raw material costs, the deconsolidation of our Venezuelan operations, unfavorable currency and higher manufacturing costs. These unfavorable items were partially offset by higher net pricing.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decreased $837 million (33.5%), due to unfavorable currency (22.3 pp), the deconsolidation of our Venezuelan operations (17.4</w:t>
      </w:r>
    </w:p>
    <w:p>
      <w:pPr>
        <w:ind w:right="20" w:firstLine="8"/>
        <w:spacing w:after="0" w:line="237" w:lineRule="auto"/>
        <w:tabs>
          <w:tab w:leader="none" w:pos="3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and unfavorable volume/mix (5.1 pp), partially offset by higher net pricing (11.3 pp). Unfavorable currency impacts were due primarily to the strength of the U.S. dollar relative to most currencies in the region, including the Argentinean peso, Brazilian real and Mexican peso. The deconsolidation of our Venezuelan operations resulted in a year-over-year decrease in net revenues of $519 million. Unfavorable volume/mix, which primarily occurred in Brazil, was largely due to the impact of pricing-related elasticity as well as strategic decisions to exit certain low-margin product lines. Unfavorable volume/mix was driven by declines in chocolate, refreshment beverages, biscuits, gum and candy. Higher net pricing was reflected across all categories driven primarily by Argentina and Brazil.</w:t>
      </w:r>
    </w:p>
    <w:p>
      <w:pPr>
        <w:spacing w:after="0" w:line="20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Segment operating income decreased $189 million (65.6%), primarily due to higher raw material costs, the deconsolidation of our Venezuelan operations, unfavorable currency, unfavorable volume/mix, higher advertising and consumer promotion costs and higher other selling, general and administrative expenses. These unfavorable items were partially offset by higher net pricing, the absence of remeasurement losses in the first six months of 2016 related to our net monetary assets in Venezuela, lower manufacturing costs and lower costs incurred for the 2014-2018 Restructuring Program.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48" w:lineRule="exact"/>
        <w:rPr>
          <w:sz w:val="20"/>
          <w:szCs w:val="20"/>
          <w:color w:val="auto"/>
        </w:rPr>
      </w:pPr>
    </w:p>
    <w:tbl>
      <w:tblPr>
        <w:tblLayout w:type="fixed"/>
        <w:tblInd w:w="5720" w:type="dxa"/>
        <w:tblCellMar>
          <w:top w:w="0" w:type="dxa"/>
          <w:left w:w="0" w:type="dxa"/>
          <w:bottom w:w="0" w:type="dxa"/>
          <w:right w:w="0" w:type="dxa"/>
        </w:tblCellMar>
      </w:tblPr>
      <w:tr>
        <w:trPr>
          <w:trHeight w:val="162"/>
        </w:trPr>
        <w:tc>
          <w:tcPr>
            <w:tcW w:w="30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26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2016</w:t>
            </w:r>
          </w:p>
        </w:tc>
        <w:tc>
          <w:tcPr>
            <w:tcW w:w="1740" w:type="dxa"/>
            <w:vAlign w:val="bottom"/>
            <w:tcBorders>
              <w:top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1,024</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51"/>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Six Months Ended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2,177</w:t>
            </w:r>
          </w:p>
        </w:tc>
        <w:tc>
          <w:tcPr>
            <w:tcW w:w="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Net revenues decreased $1 million (0.1%), due to unfavorable currency (3.9 pp) and the adjustment for deconsolidating our historical coffee business (1.5 pp), mostly offset by the impact of an acquisition (3.3 pp), favorable volume/mix (1.3 pp) and higher net pricing (0.7 pp). Unfavorable currency impacts were due primarily to the strength of the U.S. dollar relative to most currencies in the region, including the Chinese yuan, Australian dollar and Indian rupee. The adjustment for deconsolidating our historical coffee business resulted in a year-over-year decrease in net revenues of $15 million. The acquisition of a biscuit operation in Vietnam in July 2015 added net revenues of $33 million. Favorable volume/mix, including the unfavorable impact of strategic decisions to exit certain low-margin product lines, was driven by gains in biscuits, chocolate and cheese &amp; grocery, partially offset by declines in candy, gum and refreshment beverages. Higher net pricing was driven by chocolate, candy and refreshment beverages.</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Segment operating income decreased $9 million (8.7%), primarily due to the reclassification of equity method investment earnings, higher raw material costs, higher advertising and consumer promotion costs, the adjustment for deconsolidating our historical coffee business and unfavorable currency. These unfavorable items were mostly offset by favorable volume/mix, lower other selling, general and administrative expenses, lower manufacturing costs and higher net pricing.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Net revenues decreased $ 27 million (1.2%), due to unfavorable currency (5.5 pp) and the adjustment for deconsolidating our historical coffee business (1.5 pp), partially offset by the impact of an acquisition (3.3 pp), favorable volume/mix (1.3 pp) and higher net pricing (1.2 pp). Unfavorable currency impacts were due primarily to the strength of the U.S. dollar relative to most currencies in the region, including the Australian dollar, Chinese yuan and Indian rupee. The adjustment for deconsolidating our historical coffee business resulted in a year-over-year decrease in net revenues of $33 million. The acquisition of a biscuit operation in Vietnam in July 2015 added net revenues of $71 million. Favorable volume/mix, including the unfavorable impact of strategic decisions to exit certain low-margin product lines, was driven by gains in chocolate, biscuits, gum and refreshment beverages, partially offset by declines in candy and cheese &amp; grocery. Higher net pricing was driven by chocolate, candy and refreshment beverages.</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Segment operating income decreased $7 million (2.8%), primarily due to the reclassification of equity method investment earnings, higher raw material costs, unfavorable currency, higher advertising and consumer promotion costs, the deconsolidation of our historical coffee business, higher acquisition integration costs and the impact of divestitures. These unfavorable items were mostly offset by lower manufacturing costs, higher net pricing, lower other selling, general and administrative expenses, favorable volume mix and the impact of the Vietnam acquisition.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EEMEA</w:t>
      </w:r>
    </w:p>
    <w:p>
      <w:pPr>
        <w:spacing w:after="0" w:line="248" w:lineRule="exact"/>
        <w:rPr>
          <w:sz w:val="20"/>
          <w:szCs w:val="20"/>
          <w:color w:val="auto"/>
        </w:rPr>
      </w:pPr>
    </w:p>
    <w:tbl>
      <w:tblPr>
        <w:tblLayout w:type="fixed"/>
        <w:tblInd w:w="5920" w:type="dxa"/>
        <w:tblCellMar>
          <w:top w:w="0" w:type="dxa"/>
          <w:left w:w="0" w:type="dxa"/>
          <w:bottom w:w="0" w:type="dxa"/>
          <w:right w:w="0" w:type="dxa"/>
        </w:tblCellMar>
      </w:tblPr>
      <w:tr>
        <w:trPr>
          <w:trHeight w:val="162"/>
        </w:trPr>
        <w:tc>
          <w:tcPr>
            <w:tcW w:w="2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12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2016</w:t>
            </w:r>
          </w:p>
        </w:tc>
        <w:tc>
          <w:tcPr>
            <w:tcW w:w="166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351"/>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1,564</w:t>
            </w:r>
          </w:p>
        </w:tc>
        <w:tc>
          <w:tcPr>
            <w:tcW w:w="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(369)</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revenues decreased $221 million (25.4%), due to the adjustment for deconsolidating our historical coffee business (13.1 pp), unfavorable currency (10.0 pp) and unfavorable volume/mix (5.3 pp), partially offset by higher net pricing (3.0 pp). The adjustment for deconsolidating our historical coffee business resulted in a year-over-year decrease in net revenues of $130 million. Unfavorable currency impacts were due to the strength of the U.S. dollar relative to most currencies in the region, primarily the Russian ruble, South African rand, Egyptian pound and Turkish lira. Unfavorable volume/mix was largely due to the impact of pricing-related elasticity as well as strategic decisions to exit certain low-margin product lines. Unfavorable volume/mix was driven by declines in all categories except cheese &amp; grocery. Higher net pricing was reflected across all categories except cheese &amp; grocery.</w:t>
      </w:r>
    </w:p>
    <w:p>
      <w:pPr>
        <w:spacing w:after="0" w:line="203" w:lineRule="exact"/>
        <w:rPr>
          <w:sz w:val="20"/>
          <w:szCs w:val="20"/>
          <w:color w:val="auto"/>
        </w:rPr>
      </w:pPr>
    </w:p>
    <w:p>
      <w:pPr>
        <w:jc w:val="both"/>
        <w:ind w:right="380"/>
        <w:spacing w:after="0" w:line="239" w:lineRule="auto"/>
        <w:rPr>
          <w:sz w:val="20"/>
          <w:szCs w:val="20"/>
          <w:color w:val="auto"/>
        </w:rPr>
      </w:pPr>
      <w:r>
        <w:rPr>
          <w:rFonts w:ascii="Arial" w:cs="Arial" w:eastAsia="Arial" w:hAnsi="Arial"/>
          <w:sz w:val="18"/>
          <w:szCs w:val="18"/>
          <w:color w:val="auto"/>
        </w:rPr>
        <w:t>Segment operating income decreased $41 million (41.0%), primarily due to higher raw material costs, the deconsolidation of our historical coffee business, unfavorable volume/mix, higher costs incurred for the 2014-2018 Restructuring Program and unfavorable currency. These unfavorable items were partially offset by higher net pricing, lower other selling, general and administrative expenses, the absence of costs associated with the JDE coffee business transactions and lower manufacturing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Net revenues decreased $369 million (23.6%), due to the adjustment for deconsolidating our historical coffee business (14.3 pp), unfavorable currency (10.0 pp) and unfavorable volume/mix (5.1 pp), partially offset by higher net pricing (5.8 pp). The adjustment for deconsolidating our historical coffee business resulted in a year-over-year decrease in net revenues of $246 million. Unfavorable currency impacts were due to the strength of the U.S. dollar relative to most currencies in the region, primarily the Russian ruble, South African rand, Turkish lira and Egyptian pound. Unfavorable volume/mix was largely due to the impact of pricing-related elasticity as well as strategic decisions to exit certain low-margin product lines. Unfavorable volume/mix was driven by declines in all categories except cheese &amp; grocery. Higher net pricing was reflected across all categories except cheese &amp; grocery.</w:t>
      </w:r>
    </w:p>
    <w:p>
      <w:pPr>
        <w:spacing w:after="0" w:line="203" w:lineRule="exact"/>
        <w:rPr>
          <w:sz w:val="20"/>
          <w:szCs w:val="20"/>
          <w:color w:val="auto"/>
        </w:rPr>
      </w:pPr>
    </w:p>
    <w:p>
      <w:pPr>
        <w:jc w:val="both"/>
        <w:ind w:right="400"/>
        <w:spacing w:after="0" w:line="239" w:lineRule="auto"/>
        <w:rPr>
          <w:sz w:val="20"/>
          <w:szCs w:val="20"/>
          <w:color w:val="auto"/>
        </w:rPr>
      </w:pPr>
      <w:r>
        <w:rPr>
          <w:rFonts w:ascii="Arial" w:cs="Arial" w:eastAsia="Arial" w:hAnsi="Arial"/>
          <w:sz w:val="18"/>
          <w:szCs w:val="18"/>
          <w:color w:val="auto"/>
        </w:rPr>
        <w:t>Segment operating income decreased $22 million (16.7%), primarily due to higher raw material costs, the deconsolidation of our historical coffee business, higher costs incurred for the 2014-2018 Restructuring Program, unfavorable volume/mix and unfavorable currency. These unfavorable items were partially offset by higher net pricing, lower other selling, general and administrative expenses, lower manufacturing costs and the absence of costs associated with the JDE coffee business transactions.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8" w:lineRule="exact"/>
        <w:rPr>
          <w:sz w:val="20"/>
          <w:szCs w:val="20"/>
          <w:color w:val="auto"/>
        </w:rPr>
      </w:pPr>
    </w:p>
    <w:tbl>
      <w:tblPr>
        <w:tblLayout w:type="fixed"/>
        <w:tblInd w:w="5680" w:type="dxa"/>
        <w:tblCellMar>
          <w:top w:w="0" w:type="dxa"/>
          <w:left w:w="0" w:type="dxa"/>
          <w:bottom w:w="0" w:type="dxa"/>
          <w:right w:w="0" w:type="dxa"/>
        </w:tblCellMar>
      </w:tblPr>
      <w:tr>
        <w:trPr>
          <w:trHeight w:val="162"/>
        </w:trPr>
        <w:tc>
          <w:tcPr>
            <w:tcW w:w="31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226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8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2016</w:t>
            </w:r>
          </w:p>
        </w:tc>
        <w:tc>
          <w:tcPr>
            <w:tcW w:w="172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2,815</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7"/>
        </w:trPr>
        <w:tc>
          <w:tcPr>
            <w:tcW w:w="41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51"/>
        </w:trPr>
        <w:tc>
          <w:tcPr>
            <w:tcW w:w="4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For the Six Months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5,790</w:t>
            </w: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(1,433)</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7"/>
        </w:trPr>
        <w:tc>
          <w:tcPr>
            <w:tcW w:w="41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Net revenues decreased $747 million (26.5%), due to the adjustment for deconsolidating our historical coffee business (25.7 pp), lower net pricing (0.8 pp) and unfavorable currency (0.7 pp), partially offset by favorable volume/mix (0.7 pp). The adjustment for deconsolidating our historical coffee business resulted in a year-over-year decrease in net revenues of $730 million. Lower net pricing was reflected across all categories. Unfavorable currency impacts reflected the strength of the U.S. dollar against most currencies in the region, including the British pound sterling, partially offset by the strength of the euro against the U.S. dollar. Favorable volume/mix, including the unfavorable impact of strategic decisions to exit certain low-margin product lines, was driven by chocolate and biscuits, partially offset by declines in candy, gum and refreshment beverages.</w:t>
      </w:r>
    </w:p>
    <w:p>
      <w:pPr>
        <w:spacing w:after="0" w:line="203"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Segment operating income decreased $10 million (3.8%), primarily due to the deconsolidation of our historical coffee business, divestiture-related costs and an intangible asset impairment charge related to the planned sale of a confectionery business in France, lower net pricing and unfavorable currency. These unfavorable items were partially offset by the absence of costs associated with the JDE coffee business transactions, lower manufacturing costs, lower other selling, general and administrative expenses, lower costs incurred for the 2014-2018 Restructuring Program, lower raw material costs, favorable volume/mix and the gain on the sale of an intangible asset in Finland.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Net revenues decreased $1,433 million (24.7%), due to the adjustment for deconsolidating our historical coffee business (22.8 pp), unfavorable currency (2.0 pp) and lower net pricing (0.8 pp), partially offset by favorable volume/mix (0.9 pp). The adjustment for deconsolidating our historical coffee business resulted in a year-over-year decrease in net revenues of $1,348 million. Unfavorable currency impacts reflected the strength of the U.S. dollar against most currencies in the region, including the British pound sterling. Lower net pricing was reflected across most categories, primarily biscuits, cheese &amp; grocery and gum. Favorable volume/mix, including the unfavorable impact of strategic decisions to exit certain low-margin product lines, was driven by chocolate, biscuits and cheese &amp; grocery, partially offset by declines in refreshment beverages, candy and gum.</w:t>
      </w:r>
    </w:p>
    <w:p>
      <w:pPr>
        <w:spacing w:after="0" w:line="2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Segment operating income increased $7 million (1.2%), primarily due to the absence of costs associated with the JDE coffee business transactions, lower manufacturing costs, lower other selling, general and administrative expenses, lower costs incurred for the 2014-2018 Restructuring Program, favorable volume/mix and the gain on the sale of an intangible asset in Finland. These favorable items were partially offset by the deconsolidation of our historical coffee business, divestiture-related costs and intangible asset impairment charges related to the planned sale of a confectionery business in France, lower net pricing, unfavorable currency, higher raw material costs and higher advertising and consumer promotion costs.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8" w:lineRule="exact"/>
        <w:rPr>
          <w:sz w:val="20"/>
          <w:szCs w:val="20"/>
          <w:color w:val="auto"/>
        </w:rPr>
      </w:pPr>
    </w:p>
    <w:tbl>
      <w:tblPr>
        <w:tblLayout w:type="fixed"/>
        <w:tblInd w:w="5540" w:type="dxa"/>
        <w:tblCellMar>
          <w:top w:w="0" w:type="dxa"/>
          <w:left w:w="0" w:type="dxa"/>
          <w:bottom w:w="0" w:type="dxa"/>
          <w:right w:w="0" w:type="dxa"/>
        </w:tblCellMar>
      </w:tblPr>
      <w:tr>
        <w:trPr>
          <w:trHeight w:val="162"/>
        </w:trPr>
        <w:tc>
          <w:tcPr>
            <w:tcW w:w="3200" w:type="dxa"/>
            <w:vAlign w:val="bottom"/>
            <w:gridSpan w:val="4"/>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1000" w:type="dxa"/>
            <w:vAlign w:val="bottom"/>
            <w:tcBorders>
              <w:top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2016</w:t>
            </w:r>
          </w:p>
        </w:tc>
        <w:tc>
          <w:tcPr>
            <w:tcW w:w="1620" w:type="dxa"/>
            <w:vAlign w:val="bottom"/>
            <w:tcBorders>
              <w:top w:val="single" w:sz="8" w:color="auto"/>
            </w:tcBorders>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0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1,713</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41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51"/>
        </w:trPr>
        <w:tc>
          <w:tcPr>
            <w:tcW w:w="4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Six Months Ended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9"/>
              </w:rPr>
              <w:t>(in millions)</w:t>
            </w:r>
          </w:p>
        </w:tc>
        <w:tc>
          <w:tcPr>
            <w:tcW w:w="5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3,395</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3,395</w:t>
            </w:r>
          </w:p>
        </w:tc>
        <w:tc>
          <w:tcPr>
            <w:tcW w:w="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41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revenues increased $7 million (0.4%), due to favorable volume/mix (1.0 pp), partially offset by unfavorable currency (0.5 pp) and lower net pricing (0.1 pp). Favorable volume/mix, including the unfavorable impact of strategic decisions to exit certain low-margin product lines, was driven by gains in candy and biscuits, partially offset by declines in gum and chocolate. Unfavorable currency impact was due to the strength of the U.S. dollar relative to the Canadian dollar. Lower net pricing was reflected in biscuits and candy, partially offset by higher net pricing in chocolate and gum.</w:t>
      </w:r>
    </w:p>
    <w:p>
      <w:pPr>
        <w:spacing w:after="0" w:line="20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Segment operating income increased $ 34 million (13.0%), primarily due to lower other selling, general and administrative expenses (including the gain on sale of property), favorable volume/mix and lower manufacturing costs. These favorable items were partially offset by higher costs incurred for the 2014-2018 Restructuring Program and an intangible asset impairment charge.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Net revenues were flat to the prior year, due to favorable volume/mix (1.5 pp), higher net pricing (0.2 pp) and an acquisition (0.1 pp), offset by the impact of an accounting calendar change made in the prior year (1.1 pp) and unfavorable currency (0.7 pp). Favorable volume/mix, including the unfavorable impact of strategic decisions to exit certain low-margin product lines, was driven by gains in biscuits and candy, partially offset by declines in gum and chocolate. Higher net pricing was reflected in chocolate, gum and candy, partially offset by lower net pricing in biscuits. The acquisition of Enjoy Life Foods in March 2015 added net revenues of $5 million. The prior-year change in North America’s accounting calendar resulted in a year-over-year decrease in net revenues of $38 million. Unfavorable currency impact was due to the strength of the U.S. dollar relative to the Canadian dollar.</w:t>
      </w:r>
    </w:p>
    <w:p>
      <w:pPr>
        <w:spacing w:after="0" w:line="203"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Segment operating income increased $ 24 million (4.4%), primarily due to lower other selling, general and administrative expenses (including the gain on sale of property), favorable volume/mix, lower manufacturing costs, lower raw material costs and higher net pricing. These favorable items were partially offset by higher costs incurred for the 2014-2018 Restructuring Program, higher advertising and consumer promotion costs, the year-over-year impact of the prior-year accounting calendar change and an intangible asset impairment charge.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believe that cash from operations, our $4.5 billion revolving credit facility and our authorized long-term financing will provide sufficient liquidity for our working capital needs, planned capital expenditures, future contractual obligations, share repurchases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Overall, we do not expect any negative effects to our funding sources that would have a material effect on our liquidity, including the indefinite reinvestment of our earnings outside of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cash provided by operating activities was $337 million in the first six months of 2016 and $ 571 million in the first six months of 2015. The deconsolidation of our coffee businesses impacted our operating cash flows, as well as higher contributions related to our pension benefit plans in 2016 to date, including discretionary contributions of $250 million in 2016 and $200 million in 2015. After converting our coffee holdings into equity method investments, we will only recognize cash flows from coffee when the investments pay dividends. We received $2 million of dividends from our investment in Keurig in the second quarter of 2016. Our coffee investment in JDE did not distribute dividends in the first six months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 Provided by Investing Activities:</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cash used in investing activities was $505 million in the first six months of 2016 and net cash provided by investing activities was $583 million in the first six months of 2015. In the first six months of 2015, we received $1.2 billion of cash related to the settlement of currency exchange forward contracts related to our JDE coffee business transactions and $219 million of proceeds, net of transaction costs, from the divestiture of AGF. This was partially offset by lower planned capital expenditures in 2016, $81 million of payments in the first quarter of 2015 to acquire Enjoy Life Foods and $60 million of proceeds from the sales of property in 2016.</w:t>
      </w:r>
    </w:p>
    <w:p>
      <w:pPr>
        <w:spacing w:after="0" w:line="17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Capital expenditures were $604 million for the six months ended June 30, 2016 and $790 million for the six months ended June 30, 2015. We continue to make capital expenditures primarily to modernize manufacturing facilities and support new product and productivity initiatives. We expect 2016 capital expenditures to be up to $ 1.4 billion, including capital expenditures in connection with our 2014-2018 Restructuring Program. We expect to continue to fund these expenditures from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 (Used In) Financing Activities:</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Net cash provided by financing activities was $28 million in the first six months of 2016 and net cash used in financing activities $297 million in the first six months of 2015. Cash flows from financing activities were higher due to lower share repurchases in 2016 to date than in the first six months of 2015 and lower net repayments of long-term debt due to the decision to refinance maturing debt in 2016 to date, partially offset by lower short-term working capital financing requirements than in the first six months of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From time to time we refinance long-term and short-term debt.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issuances and maturities during the first six months of 2016. The nature and amount of our long-term and short-term debt and the proportionate amount of each varies as a result of current and expected business requirements, market conditions and other factors. Generally, in the first and second quarters of the year, our working capital requirements grow, increasing the need for short-term financing. The third and fourth quarters of the year typically generate higher cash flows. As such, we may issue commercial paper or secure other forms of financing throughout the year to meet short-term working capital needs.</w:t>
      </w:r>
    </w:p>
    <w:p>
      <w:pPr>
        <w:spacing w:after="0" w:line="17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July 2015, our Board of Directors approved a $5 billion long-term financing authority. As of June 30, 2016, we had $2.8 billion of long-term financing authority remaining.</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the next 12 months, $1.0 billion of long-term debt will mature as follows: €750 million ($833 million as of June 30, 2016) in January 2017 and </w:t>
      </w:r>
      <w:r>
        <w:rPr>
          <w:rFonts w:ascii="Arial" w:cs="Arial" w:eastAsia="Arial" w:hAnsi="Arial"/>
          <w:sz w:val="18"/>
          <w:szCs w:val="18"/>
          <w:i w:val="1"/>
          <w:iCs w:val="1"/>
          <w:color w:val="auto"/>
        </w:rPr>
        <w:t>fr.</w:t>
      </w:r>
      <w:r>
        <w:rPr>
          <w:rFonts w:ascii="Arial" w:cs="Arial" w:eastAsia="Arial" w:hAnsi="Arial"/>
          <w:sz w:val="18"/>
          <w:szCs w:val="18"/>
          <w:color w:val="auto"/>
        </w:rPr>
        <w:t>175 million Swiss franc notes ($179 million as of June 30, 2016) in March 2017. We expect to fund these repayments with a combination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from operations and the issuance of commercial paper or long-term debt.</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Our total debt was $17.3 billion at June 30, 2016 and $15.4 billion at December 31, 2015. Our debt-to-capitalization ratio was 0.39 at June 30, 2016 and 0.35 at December 31, 2015. At June 30, 2016, the weighted-average term of our outstanding long-term debt was 8.7 years. Our average daily commercial borrowings were $2.0 billion for the six months ended June 30, 2016 and $3.1 billion for the six months ended June 30, 2015. We expect to continue to comply with our long-term debt covenants.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six months ended June 30, 2016, the primary drivers of the increase in our aggregate commodity costs were higher currency-related costs on our commodity purchases and increased costs for packaging and other raw materials, partially offset by lower costs for dairy, grains and oils, nuts, energy, sugar and cocoa.</w:t>
      </w:r>
    </w:p>
    <w:p>
      <w:pPr>
        <w:spacing w:after="0" w:line="2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We expect price volatility and a slightly higher aggregate cost environment to continue in the second half of 2016. While the costs of our principal raw materials fluctuate, we believe there will continue to be an adequate supply of the raw materials we use and that they will generally remain available from numerous 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16"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the first six months of 2016, including the February 9, 2016 refinancing and repayment of $1,750 million of matured U.S. dollar debt, the January 26, 2016 issuance of </w:t>
      </w:r>
      <w:r>
        <w:rPr>
          <w:rFonts w:ascii="Arial" w:cs="Arial" w:eastAsia="Arial" w:hAnsi="Arial"/>
          <w:sz w:val="18"/>
          <w:szCs w:val="18"/>
          <w:i w:val="1"/>
          <w:iCs w:val="1"/>
          <w:color w:val="auto"/>
        </w:rPr>
        <w:t>fr</w:t>
      </w:r>
      <w:r>
        <w:rPr>
          <w:rFonts w:ascii="Arial" w:cs="Arial" w:eastAsia="Arial" w:hAnsi="Arial"/>
          <w:sz w:val="18"/>
          <w:szCs w:val="18"/>
          <w:color w:val="auto"/>
        </w:rPr>
        <w:t xml:space="preserve">.400 million of Swiss franc notes and the January 21, 2016 issuance of €700 million of euro notes. There were no other material changes to our off-balance sheet arrangements and aggregate contractual obligations disclosed in our Annual Report on Form 10-K for the year ended December 31, 2015. We also do not expect a material change in the effect these arrangements and obligations will have on our liquidity.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1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six months ended June 30, 2016.</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intend to continue to use a portion of our cash for share repurchases. On July 29, 2015, our Finance Committee, with authorization delegated from our Board of Directors, approved an increase of $ 6.0 billion in the share repurchase program, raising the authorization to $13.7 billion of Common Stock repurchases, and extended the program through December 31, 2018. We repurchased $9.6 billion of shares ($1.3 billion in the first six months of 2016, $3.6 billion in 2015, $1.9 billion in 2014 and $2.7 billion in 2013) through June 30, 2016.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paid dividends of $537 million in the first six months of 2016 and $495 million in the first six months of 2015. On July 19, 2016, our Board of Directors approved a 12% increase in the quarterly dividend to $0.19 per common share or $0.76 per common share on an annual basis. On July 23, 2015, our Board of Directors approved a 13% increase at that time in the quarterly dividend to $ 0.17 per common share or $0.68 per common share on an annual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 We will make a determination as to whether 2016 distributions are taxable as dividends, a return of basis or both under U.S. federal income tax rules after the 2016 calendar year-end. This determination will be reflected on an IRS Form 1099-DIV issued in early 2017.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prepare our condensed consolidated financial statements in accordance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2015. Our significant accounting estimates are described in our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Condition and Results of Operations </w:t>
      </w:r>
      <w:r>
        <w:rPr>
          <w:rFonts w:ascii="Arial" w:cs="Arial" w:eastAsia="Arial" w:hAnsi="Arial"/>
          <w:sz w:val="18"/>
          <w:szCs w:val="18"/>
          <w:color w:val="auto"/>
        </w:rPr>
        <w:t>in our Annual Report on Form 10-K for the year ended December 31, 2015.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There were no changes in our accounting policies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had a material impact on our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Guidance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guidance.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“intend,” “plan,” “believe,” “estimate,” “anticipate,” “seek,” “potential,” “outlook” and similar expressions are intended to identify our forward-looking statements, including but not limited to statements about: our future performance, including our future revenue growth, margins and earnings per share; our goal to deliver top-tier financial performance; price volatility and pricing actions; the cost environment and measures to address increased costs; the U.K. vote to exit the E.U. and its effect on demand for our products and our financial results and operations; the costs of, timing of expenditures under and completion of our restructuring program; snack category growth; commodity prices and supply; investments; economic conditions; currency exchange rates, controls and restrictions; our operations in Venezuela and Argentina; pension and tax expense liabilities related to the JDE coffee business transactions; the significance of the coffee category to our future results; completion of our biscuit operation acquisition and biscuit brand divestiture; the timing and completion of the sale of several manufacturing facilities in France and sale or license of several local confectionery brands; integration of our EEMEA business into our Europe and Asia Pacific segments; costs we could incur related to re-negotiating collective bargaining agreements and executing business continuity plans for the North America business; legal matters; the estimated value of goodwill and intangible assets; impairment of goodwill and intangible assets and our projections of operating results and other factors that may affect our impairment testing; our accounting estimates and judgments; pension expenses, contributions and assumptions; our liquidity, funding sources and uses of funding; reinvestment of earnings; our risk management program, including the use of financial instruments and the effectiveness of our hedging activities; capital expenditures and funding; share repurchases; dividends; compliance with financial and long-term debt covenants; taxes; guarantees; and our contractual obligations.</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unanticipated disruptions to our business;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strategic transactions; our ability to innovate and differentiate our products; significant changes in valuation factors that may adversely affect our impairment testing of goodwill and intangible assets; perceived or actual product quality issues or product recalls; failure to maintain effective internal control over financial reporting; volatility of capital or other markets; pension costs; use of information technology and third party service providers; our ability to protect our intellectual property and intangible assets; a shift in our pre-tax income among jurisdictions, including the United States; and tax law changes. We disclaim and do not undertake any obligation to update or revise any forward-looking statement in this report except as required by applicable law or regulation.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0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w:t>
      </w:r>
    </w:p>
    <w:p>
      <w:pPr>
        <w:spacing w:after="0" w:line="227" w:lineRule="exact"/>
        <w:rPr>
          <w:sz w:val="20"/>
          <w:szCs w:val="20"/>
          <w:color w:val="auto"/>
        </w:rPr>
      </w:pPr>
    </w:p>
    <w:p>
      <w:pPr>
        <w:ind w:left="900" w:hanging="325"/>
        <w:spacing w:after="0" w:line="23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(2)</w:t>
      </w:r>
      <w:r>
        <w:rPr>
          <w:rFonts w:ascii="Arial" w:cs="Arial" w:eastAsia="Arial" w:hAnsi="Arial"/>
          <w:sz w:val="18"/>
          <w:szCs w:val="18"/>
          <w:color w:val="auto"/>
        </w:rPr>
        <w:t xml:space="preserve">, our historical Venezuelan operations, accounting calendar changes and currency rate fluctuations </w:t>
      </w:r>
      <w:r>
        <w:rPr>
          <w:rFonts w:ascii="Arial" w:cs="Arial" w:eastAsia="Arial" w:hAnsi="Arial"/>
          <w:sz w:val="15"/>
          <w:szCs w:val="15"/>
          <w:color w:val="auto"/>
        </w:rPr>
        <w:t>(3)</w:t>
      </w:r>
      <w:r>
        <w:rPr>
          <w:rFonts w:ascii="Arial" w:cs="Arial" w:eastAsia="Arial" w:hAnsi="Arial"/>
          <w:sz w:val="18"/>
          <w:szCs w:val="18"/>
          <w:color w:val="auto"/>
        </w:rPr>
        <w:t>. We also evaluate Organic Net Revenue growth from emerging markets and our Power Brands.</w:t>
      </w:r>
    </w:p>
    <w:p>
      <w:pPr>
        <w:spacing w:after="0" w:line="2" w:lineRule="exact"/>
        <w:rPr>
          <w:rFonts w:ascii="Arial" w:cs="Arial" w:eastAsia="Arial" w:hAnsi="Arial"/>
          <w:sz w:val="18"/>
          <w:szCs w:val="18"/>
          <w:color w:val="auto"/>
        </w:rPr>
      </w:pPr>
    </w:p>
    <w:p>
      <w:pPr>
        <w:jc w:val="both"/>
        <w:ind w:left="1480" w:right="400" w:hanging="446"/>
        <w:spacing w:after="0" w:line="234"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emerging markets include our Latin America and EEMEA regions in their entirety; the Asia Pacific region, excluding Australia, New Zealand and Japan; and the following countries from the Europe region: Poland, Czech Republic, Slovak Republic, Hungary, Bulgaria, Romania, the Baltics and the East Adriatic countries.</w:t>
      </w:r>
    </w:p>
    <w:p>
      <w:pPr>
        <w:spacing w:after="0" w:line="2" w:lineRule="exact"/>
        <w:rPr>
          <w:rFonts w:ascii="Arial" w:cs="Arial" w:eastAsia="Arial" w:hAnsi="Arial"/>
          <w:sz w:val="18"/>
          <w:szCs w:val="18"/>
          <w:color w:val="auto"/>
        </w:rPr>
      </w:pPr>
    </w:p>
    <w:p>
      <w:pPr>
        <w:ind w:left="1480" w:right="4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Lacta</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29" w:lineRule="exact"/>
        <w:rPr>
          <w:rFonts w:ascii="Arial" w:cs="Arial" w:eastAsia="Arial" w:hAnsi="Arial"/>
          <w:sz w:val="18"/>
          <w:szCs w:val="18"/>
          <w:color w:val="auto"/>
        </w:rPr>
      </w:pPr>
    </w:p>
    <w:p>
      <w:pPr>
        <w:ind w:left="900" w:right="80" w:hanging="325"/>
        <w:spacing w:after="0" w:line="23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Spin-Off Costs; the 2012-2014 Restructuring Program; the 2014-2018 Restructuring Program; Venezuela remeasurement and deconsolidation losses and historical operating results; gains or losses (including non-cash impairment charges) on goodwill and intangible assets; divestiture </w:t>
      </w:r>
      <w:r>
        <w:rPr>
          <w:rFonts w:ascii="Arial" w:cs="Arial" w:eastAsia="Arial" w:hAnsi="Arial"/>
          <w:sz w:val="15"/>
          <w:szCs w:val="15"/>
          <w:color w:val="auto"/>
        </w:rPr>
        <w:t>(1)</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(2)</w:t>
      </w:r>
      <w:r>
        <w:rPr>
          <w:rFonts w:ascii="Arial" w:cs="Arial" w:eastAsia="Arial" w:hAnsi="Arial"/>
          <w:sz w:val="18"/>
          <w:szCs w:val="18"/>
          <w:color w:val="auto"/>
        </w:rPr>
        <w:t xml:space="preserve">; and equity method investment earnings historically reported within operating income </w:t>
      </w:r>
      <w:r>
        <w:rPr>
          <w:rFonts w:ascii="Arial" w:cs="Arial" w:eastAsia="Arial" w:hAnsi="Arial"/>
          <w:sz w:val="15"/>
          <w:szCs w:val="15"/>
          <w:color w:val="auto"/>
        </w:rPr>
        <w:t>(4)</w:t>
      </w:r>
      <w:r>
        <w:rPr>
          <w:rFonts w:ascii="Arial" w:cs="Arial" w:eastAsia="Arial" w:hAnsi="Arial"/>
          <w:sz w:val="18"/>
          <w:szCs w:val="18"/>
          <w:color w:val="auto"/>
        </w:rPr>
        <w:t xml:space="preserve">. We also evaluate growth in our Adjusted Operating Income on a constant currency basis </w:t>
      </w:r>
      <w:r>
        <w:rPr>
          <w:rFonts w:ascii="Arial" w:cs="Arial" w:eastAsia="Arial" w:hAnsi="Arial"/>
          <w:sz w:val="15"/>
          <w:szCs w:val="15"/>
          <w:color w:val="auto"/>
        </w:rPr>
        <w:t>(3)</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ind w:left="900" w:hanging="325"/>
        <w:spacing w:after="0" w:line="23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Spin-Off Costs; the 2012-2014 Restructuring Program; the 2014-2018 Restructuring Program; Venezuela remeasurement and deconsolidation losses and historical operating results; losses on debt extinguishment and related expenses; gains or losses (including non-cash impairment charges) on goodwill and intangible assets; gains or losses on interest rate swaps no longer designated as accounting cash flow hedges due to changed financing and hedging plans; divestiture </w:t>
      </w:r>
      <w:r>
        <w:rPr>
          <w:rFonts w:ascii="Arial" w:cs="Arial" w:eastAsia="Arial" w:hAnsi="Arial"/>
          <w:sz w:val="15"/>
          <w:szCs w:val="15"/>
          <w:color w:val="auto"/>
        </w:rPr>
        <w:t>(1)</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transaction hedging gains or losses and net incremental costs; gain on the equity method investment exchange; and net earnings from divestitures</w:t>
      </w:r>
      <w:r>
        <w:rPr>
          <w:rFonts w:ascii="Arial" w:cs="Arial" w:eastAsia="Arial" w:hAnsi="Arial"/>
          <w:sz w:val="15"/>
          <w:szCs w:val="15"/>
          <w:color w:val="auto"/>
        </w:rPr>
        <w:t>(1)</w:t>
      </w:r>
      <w:r>
        <w:rPr>
          <w:rFonts w:ascii="Arial" w:cs="Arial" w:eastAsia="Arial" w:hAnsi="Arial"/>
          <w:sz w:val="18"/>
          <w:szCs w:val="18"/>
          <w:color w:val="auto"/>
        </w:rPr>
        <w:t xml:space="preserve">. In addition, we have adjusted our equity method investment earnings for our proportionate share of their unusual or infrequent items, such as acquisition and divestiture-related costs and restructuring program costs, recorded by our JDE and Keurig equity method investees. Taxes were computed for each of the items excluded from our GAAP results based on the facts and tax assumptions associated with each item. We also evaluate growth in our Adjusted EPS on a constant currency basis </w:t>
      </w:r>
      <w:r>
        <w:rPr>
          <w:rFonts w:ascii="Arial" w:cs="Arial" w:eastAsia="Arial" w:hAnsi="Arial"/>
          <w:sz w:val="15"/>
          <w:szCs w:val="15"/>
          <w:color w:val="auto"/>
        </w:rPr>
        <w:t>(3)</w:t>
      </w:r>
      <w:r>
        <w:rPr>
          <w:rFonts w:ascii="Arial" w:cs="Arial" w:eastAsia="Arial" w:hAnsi="Arial"/>
          <w:sz w:val="18"/>
          <w:szCs w:val="18"/>
          <w:color w:val="auto"/>
        </w:rPr>
        <w:t>.</w:t>
      </w:r>
    </w:p>
    <w:p>
      <w:pPr>
        <w:spacing w:after="0" w:line="238" w:lineRule="exact"/>
        <w:rPr>
          <w:sz w:val="20"/>
          <w:szCs w:val="20"/>
          <w:color w:val="auto"/>
        </w:rPr>
      </w:pPr>
    </w:p>
    <w:p>
      <w:pPr>
        <w:ind w:left="920" w:right="60" w:hanging="345"/>
        <w:spacing w:after="0" w:line="241"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and exits of major product lines upon completion of a sale or licensing agreement. We modified our definition of divestitures as we do not anticipate excluding as a divestiture the results of pending business sales for which we have cleared significant sale-related conditions. We instead anticipate including the results of businesses we control until a sale of business has been completed.</w:t>
      </w:r>
    </w:p>
    <w:p>
      <w:pPr>
        <w:spacing w:after="0" w:line="1" w:lineRule="exact"/>
        <w:rPr>
          <w:rFonts w:ascii="Arial" w:cs="Arial" w:eastAsia="Arial" w:hAnsi="Arial"/>
          <w:sz w:val="14"/>
          <w:szCs w:val="14"/>
          <w:color w:val="auto"/>
        </w:rPr>
      </w:pPr>
    </w:p>
    <w:p>
      <w:pPr>
        <w:ind w:left="920" w:hanging="345"/>
        <w:spacing w:after="0" w:line="244"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In connection with the JDE coffee business transactions that closed on July 2, 2015, because we exchanged our coffee interests for similarly-sized coffee interests in JDE at the time of the transaction, we have deconsolidated and not included our historical global coffee business results within divestitures in our non-GAAP financial measures and in the related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We continue to have an ongoing interest in the coffee business. Beginning in the third quarter of 2015, we have included the after-tax earnings of JDE, Keurig and of our historical coffee business results within continuing results of operations. For Adjusted EPS, we have included these earnings in equity method investment earnings and have deconsolidated our historical coffee business results from Organic Net Revenue and Adjusted Operating Income to facilitate comparisons of past and future coffee operating results.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20" w:hanging="345"/>
        <w:spacing w:after="0" w:line="241" w:lineRule="auto"/>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 period local currency operating results by the currency exchange rates used to translate the financial statements in the comparable prior-year period to determine what the current 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20" w:right="20" w:hanging="345"/>
        <w:spacing w:after="0" w:line="245" w:lineRule="auto"/>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See Note 1, </w:t>
      </w:r>
      <w:r>
        <w:rPr>
          <w:rFonts w:ascii="Arial" w:cs="Arial" w:eastAsia="Arial" w:hAnsi="Arial"/>
          <w:sz w:val="14"/>
          <w:szCs w:val="14"/>
          <w:i w:val="1"/>
          <w:iCs w:val="1"/>
          <w:color w:val="auto"/>
        </w:rPr>
        <w:t>Basis of Presentation – Principles of Consolidation</w:t>
      </w:r>
      <w:r>
        <w:rPr>
          <w:rFonts w:ascii="Arial" w:cs="Arial" w:eastAsia="Arial" w:hAnsi="Arial"/>
          <w:sz w:val="14"/>
          <w:szCs w:val="14"/>
          <w:color w:val="auto"/>
        </w:rPr>
        <w:t>, for more information. In periods prior to July 2, 2015, we have reclassified the equity method earnings from our Adjusted Operating Income to after-tax equity method investment earnings within Adjusted EPS to be consistent with the deconsolidation of our coffee business results on July 2, 2015 and in order to evaluate our operating results on a consistent basis.</w:t>
      </w:r>
    </w:p>
    <w:p>
      <w:pPr>
        <w:spacing w:after="0" w:line="36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the adjustment for deconsolidating our historical coffee business, our historical Venezuelan operations, an accounting calendar change and acquisitions.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8"/>
          </w:tcPr>
          <w:p>
            <w:pPr>
              <w:jc w:val="center"/>
              <w:ind w:left="536"/>
              <w:spacing w:after="0"/>
              <w:rPr>
                <w:sz w:val="20"/>
                <w:szCs w:val="20"/>
                <w:color w:val="auto"/>
              </w:rPr>
            </w:pPr>
            <w:r>
              <w:rPr>
                <w:rFonts w:ascii="Arial" w:cs="Arial" w:eastAsia="Arial" w:hAnsi="Arial"/>
                <w:sz w:val="14"/>
                <w:szCs w:val="14"/>
                <w:b w:val="1"/>
                <w:bCs w:val="1"/>
                <w:color w:val="auto"/>
              </w:rPr>
              <w:t>For the Three Months Ended</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8"/>
          </w:tcPr>
          <w:p>
            <w:pPr>
              <w:jc w:val="center"/>
              <w:ind w:left="556"/>
              <w:spacing w:after="0"/>
              <w:rPr>
                <w:sz w:val="20"/>
                <w:szCs w:val="20"/>
                <w:color w:val="auto"/>
              </w:rPr>
            </w:pPr>
            <w:r>
              <w:rPr>
                <w:rFonts w:ascii="Arial" w:cs="Arial" w:eastAsia="Arial" w:hAnsi="Arial"/>
                <w:sz w:val="14"/>
                <w:szCs w:val="14"/>
                <w:b w:val="1"/>
                <w:bCs w:val="1"/>
                <w:color w:val="auto"/>
              </w:rPr>
              <w:t>For the Three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80"/>
              <w:spacing w:after="0" w:line="143" w:lineRule="exact"/>
              <w:rPr>
                <w:sz w:val="20"/>
                <w:szCs w:val="20"/>
                <w:color w:val="auto"/>
              </w:rPr>
            </w:pPr>
            <w:r>
              <w:rPr>
                <w:rFonts w:ascii="Arial" w:cs="Arial" w:eastAsia="Arial" w:hAnsi="Arial"/>
                <w:sz w:val="14"/>
                <w:szCs w:val="14"/>
                <w:b w:val="1"/>
                <w:bCs w:val="1"/>
                <w:color w:val="auto"/>
              </w:rPr>
              <w:t>Emerging</w:t>
            </w: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Developed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Emerging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Developed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2,595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3,990</w:t>
            </w:r>
          </w:p>
        </w:tc>
        <w:tc>
          <w:tcPr>
            <w:tcW w:w="3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6,585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2,502</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3,983</w:t>
            </w:r>
          </w:p>
        </w:tc>
        <w:tc>
          <w:tcPr>
            <w:tcW w:w="3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(316)</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2,343</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8"/>
          </w:tcPr>
          <w:p>
            <w:pPr>
              <w:jc w:val="center"/>
              <w:ind w:left="536"/>
              <w:spacing w:after="0"/>
              <w:rPr>
                <w:sz w:val="20"/>
                <w:szCs w:val="20"/>
                <w:color w:val="auto"/>
              </w:rPr>
            </w:pPr>
            <w:r>
              <w:rPr>
                <w:rFonts w:ascii="Arial" w:cs="Arial" w:eastAsia="Arial" w:hAnsi="Arial"/>
                <w:sz w:val="14"/>
                <w:szCs w:val="14"/>
                <w:b w:val="1"/>
                <w:bCs w:val="1"/>
                <w:color w:val="auto"/>
              </w:rPr>
              <w:t>For the Three Months Ended</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8"/>
          </w:tcPr>
          <w:p>
            <w:pPr>
              <w:jc w:val="center"/>
              <w:ind w:left="556"/>
              <w:spacing w:after="0"/>
              <w:rPr>
                <w:sz w:val="20"/>
                <w:szCs w:val="20"/>
                <w:color w:val="auto"/>
              </w:rPr>
            </w:pPr>
            <w:r>
              <w:rPr>
                <w:rFonts w:ascii="Arial" w:cs="Arial" w:eastAsia="Arial" w:hAnsi="Arial"/>
                <w:sz w:val="14"/>
                <w:szCs w:val="14"/>
                <w:b w:val="1"/>
                <w:bCs w:val="1"/>
                <w:color w:val="auto"/>
              </w:rPr>
              <w:t>For the Three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spacing w:after="0" w:line="179" w:lineRule="exact"/>
              <w:rPr>
                <w:sz w:val="20"/>
                <w:szCs w:val="20"/>
                <w:color w:val="auto"/>
              </w:rPr>
            </w:pPr>
            <w:r>
              <w:rPr>
                <w:rFonts w:ascii="Arial" w:cs="Arial" w:eastAsia="Arial" w:hAnsi="Arial"/>
                <w:sz w:val="12"/>
                <w:szCs w:val="12"/>
                <w:b w:val="1"/>
                <w:bCs w:val="1"/>
                <w:color w:val="auto"/>
              </w:rPr>
              <w:t xml:space="preserve">June 30, 2015 </w:t>
            </w:r>
            <w:r>
              <w:rPr>
                <w:rFonts w:ascii="Arial" w:cs="Arial" w:eastAsia="Arial" w:hAnsi="Arial"/>
                <w:sz w:val="20"/>
                <w:szCs w:val="20"/>
                <w:b w:val="1"/>
                <w:bCs w:val="1"/>
                <w:color w:val="auto"/>
                <w:vertAlign w:val="superscript"/>
              </w:rPr>
              <w:t>(3)</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80"/>
              <w:spacing w:after="0" w:line="143" w:lineRule="exact"/>
              <w:rPr>
                <w:sz w:val="20"/>
                <w:szCs w:val="20"/>
                <w:color w:val="auto"/>
              </w:rPr>
            </w:pPr>
            <w:r>
              <w:rPr>
                <w:rFonts w:ascii="Arial" w:cs="Arial" w:eastAsia="Arial" w:hAnsi="Arial"/>
                <w:sz w:val="14"/>
                <w:szCs w:val="14"/>
                <w:b w:val="1"/>
                <w:bCs w:val="1"/>
                <w:color w:val="auto"/>
              </w:rPr>
              <w:t>Power</w:t>
            </w: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Non-Power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9"/>
              </w:rPr>
              <w:t>Power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Non-Power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Brands</w:t>
            </w: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Brands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4,574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2,011</w:t>
            </w:r>
          </w:p>
        </w:tc>
        <w:tc>
          <w:tcPr>
            <w:tcW w:w="3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6,585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4,443</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2,042</w:t>
            </w:r>
          </w:p>
        </w:tc>
        <w:tc>
          <w:tcPr>
            <w:tcW w:w="3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(316)</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rPr>
              <w:t>For the Six Months Ended</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8"/>
          </w:tcPr>
          <w:p>
            <w:pPr>
              <w:jc w:val="center"/>
              <w:ind w:left="555"/>
              <w:spacing w:after="0"/>
              <w:rPr>
                <w:sz w:val="20"/>
                <w:szCs w:val="20"/>
                <w:color w:val="auto"/>
              </w:rPr>
            </w:pPr>
            <w:r>
              <w:rPr>
                <w:rFonts w:ascii="Arial" w:cs="Arial" w:eastAsia="Arial" w:hAnsi="Arial"/>
                <w:sz w:val="14"/>
                <w:szCs w:val="14"/>
                <w:b w:val="1"/>
                <w:bCs w:val="1"/>
                <w:color w:val="auto"/>
              </w:rPr>
              <w:t>For the 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Emerging</w:t>
            </w:r>
          </w:p>
        </w:tc>
        <w:tc>
          <w:tcPr>
            <w:tcW w:w="120" w:type="dxa"/>
            <w:vAlign w:val="bottom"/>
          </w:tcPr>
          <w:p>
            <w:pPr>
              <w:spacing w:after="0"/>
              <w:rPr>
                <w:sz w:val="12"/>
                <w:szCs w:val="12"/>
                <w:color w:val="auto"/>
              </w:rPr>
            </w:pPr>
          </w:p>
        </w:tc>
        <w:tc>
          <w:tcPr>
            <w:tcW w:w="126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Developed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Emerging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Developed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5,237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8,247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13,484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5,051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8,188</w:t>
            </w:r>
          </w:p>
        </w:tc>
        <w:tc>
          <w:tcPr>
            <w:tcW w:w="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(659)</w:t>
            </w:r>
          </w:p>
        </w:tc>
        <w:tc>
          <w:tcPr>
            <w:tcW w:w="12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(144)</w:t>
            </w:r>
          </w:p>
        </w:tc>
        <w:tc>
          <w:tcPr>
            <w:tcW w:w="22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(803)</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76</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4,649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8,108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12,757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6,012</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9,411</w:t>
            </w:r>
          </w:p>
        </w:tc>
        <w:tc>
          <w:tcPr>
            <w:tcW w:w="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rPr>
              <w:t>For the Six Months Ended</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8"/>
          </w:tcPr>
          <w:p>
            <w:pPr>
              <w:jc w:val="center"/>
              <w:ind w:left="555"/>
              <w:spacing w:after="0"/>
              <w:rPr>
                <w:sz w:val="20"/>
                <w:szCs w:val="20"/>
                <w:color w:val="auto"/>
              </w:rPr>
            </w:pPr>
            <w:r>
              <w:rPr>
                <w:rFonts w:ascii="Arial" w:cs="Arial" w:eastAsia="Arial" w:hAnsi="Arial"/>
                <w:sz w:val="14"/>
                <w:szCs w:val="14"/>
                <w:b w:val="1"/>
                <w:bCs w:val="1"/>
                <w:color w:val="auto"/>
              </w:rPr>
              <w:t>For the Six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spacing w:after="0" w:line="179" w:lineRule="exact"/>
              <w:rPr>
                <w:sz w:val="20"/>
                <w:szCs w:val="20"/>
                <w:color w:val="auto"/>
              </w:rPr>
            </w:pPr>
            <w:r>
              <w:rPr>
                <w:rFonts w:ascii="Arial" w:cs="Arial" w:eastAsia="Arial" w:hAnsi="Arial"/>
                <w:sz w:val="12"/>
                <w:szCs w:val="12"/>
                <w:b w:val="1"/>
                <w:bCs w:val="1"/>
                <w:color w:val="auto"/>
              </w:rPr>
              <w:t xml:space="preserve">June 30, 2015 </w:t>
            </w:r>
            <w:r>
              <w:rPr>
                <w:rFonts w:ascii="Arial" w:cs="Arial" w:eastAsia="Arial" w:hAnsi="Arial"/>
                <w:sz w:val="20"/>
                <w:szCs w:val="20"/>
                <w:b w:val="1"/>
                <w:bCs w:val="1"/>
                <w:color w:val="auto"/>
                <w:vertAlign w:val="superscript"/>
              </w:rPr>
              <w:t>(3)</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w w:val="99"/>
              </w:rPr>
              <w:t>Power</w:t>
            </w:r>
          </w:p>
        </w:tc>
        <w:tc>
          <w:tcPr>
            <w:tcW w:w="120" w:type="dxa"/>
            <w:vAlign w:val="bottom"/>
          </w:tcPr>
          <w:p>
            <w:pPr>
              <w:spacing w:after="0"/>
              <w:rPr>
                <w:sz w:val="12"/>
                <w:szCs w:val="12"/>
                <w:color w:val="auto"/>
              </w:rPr>
            </w:pPr>
          </w:p>
        </w:tc>
        <w:tc>
          <w:tcPr>
            <w:tcW w:w="126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Non-Power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Power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Non-Power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Brands</w:t>
            </w:r>
          </w:p>
        </w:tc>
        <w:tc>
          <w:tcPr>
            <w:tcW w:w="12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Brands</w:t>
            </w:r>
          </w:p>
        </w:tc>
        <w:tc>
          <w:tcPr>
            <w:tcW w:w="2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Brands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9,455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4,029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13,484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9,143</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4,096</w:t>
            </w:r>
          </w:p>
        </w:tc>
        <w:tc>
          <w:tcPr>
            <w:tcW w:w="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(564)</w:t>
            </w:r>
          </w:p>
        </w:tc>
        <w:tc>
          <w:tcPr>
            <w:tcW w:w="12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(239)</w:t>
            </w:r>
          </w:p>
        </w:tc>
        <w:tc>
          <w:tcPr>
            <w:tcW w:w="22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(803)</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76</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8,891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3,866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12,757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10,717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4,706</w:t>
            </w:r>
          </w:p>
        </w:tc>
        <w:tc>
          <w:tcPr>
            <w:tcW w:w="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240" w:hanging="332"/>
        <w:spacing w:after="0" w:line="252"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ind w:left="340" w:right="180" w:hanging="332"/>
        <w:spacing w:after="0" w:line="24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 Translation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Highly Inflationary Accounting: Venezuela, </w:t>
      </w:r>
      <w:r>
        <w:rPr>
          <w:rFonts w:ascii="Arial" w:cs="Arial" w:eastAsia="Arial" w:hAnsi="Arial"/>
          <w:sz w:val="14"/>
          <w:szCs w:val="14"/>
          <w:color w:val="auto"/>
        </w:rPr>
        <w:t>for more information.</w:t>
      </w:r>
    </w:p>
    <w:p>
      <w:pPr>
        <w:jc w:val="both"/>
        <w:ind w:left="340" w:right="200" w:hanging="332"/>
        <w:spacing w:after="0" w:line="250"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2016, we made limited changes to our list of regional Power Brands and as such, we reclassified 2015 Power Brand net revenues on a basis consistent with the current list of Power Brands.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2012-2014 Restructuring Program costs, 2014-2018 Restructuring Program costs, Venezuela historical operating results and remeasurement loss, impairment charges related to intangible assets, gain on sale of an intangible asset, operating income from our historical coffee business, the JDE coffee business transactions incremental costs, equity method investment earnings reclassified to after-tax earnings in Q3 2015 in connection with the coffee business transactions, operating results of the AGF divestiture, pre-tax gain on the AGF divestiture, divestiture-related costs incurred for the planned sale of a confectionery business in France, acquisition integration costs and acquisition-related costs. We also evaluate Adjusted Operating Income on a constant currency basis. We believe these measures provide improved comparability of underlying operating results.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998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850</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148</w:t>
            </w: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(38)</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960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850</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tcPr>
          <w:p>
            <w:pPr>
              <w:ind w:left="160"/>
              <w:spacing w:after="0" w:line="199" w:lineRule="exact"/>
              <w:rPr>
                <w:sz w:val="20"/>
                <w:szCs w:val="20"/>
                <w:color w:val="auto"/>
              </w:rPr>
            </w:pPr>
            <w:r>
              <w:rPr>
                <w:rFonts w:ascii="Arial" w:cs="Arial" w:eastAsia="Arial" w:hAnsi="Arial"/>
                <w:sz w:val="18"/>
                <w:szCs w:val="18"/>
                <w:color w:val="auto"/>
              </w:rPr>
              <w:t>Operating income from Venezuelan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 xml:space="preserve">subsidiaries </w:t>
            </w:r>
            <w:r>
              <w:rPr>
                <w:rFonts w:ascii="Arial" w:cs="Arial" w:eastAsia="Arial" w:hAnsi="Arial"/>
                <w:sz w:val="15"/>
                <w:szCs w:val="15"/>
                <w:color w:val="auto"/>
              </w:rPr>
              <w:t>(1)</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(77)</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Operating income from historical coffee</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business </w:t>
            </w:r>
            <w:r>
              <w:rPr>
                <w:rFonts w:ascii="Arial" w:cs="Arial" w:eastAsia="Arial" w:hAnsi="Arial"/>
                <w:sz w:val="15"/>
                <w:szCs w:val="15"/>
                <w:color w:val="auto"/>
              </w:rPr>
              <w:t>(2)</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Costs associated with the JDE coffee business transactions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(157)</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Reclassification of equity method earnings </w:t>
            </w:r>
            <w:r>
              <w:rPr>
                <w:rFonts w:ascii="Arial" w:cs="Arial" w:eastAsia="Arial" w:hAnsi="Arial"/>
                <w:sz w:val="15"/>
                <w:szCs w:val="15"/>
                <w:color w:val="auto"/>
              </w:rPr>
              <w:t>(3)</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sale of intangible asset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(4)</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(4)</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(13)</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(5)</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(84)</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 rounding</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w:t>
            </w:r>
          </w:p>
        </w:tc>
        <w:tc>
          <w:tcPr>
            <w:tcW w:w="4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4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Six Months Ended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2,035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1,714</w:t>
            </w:r>
          </w:p>
        </w:tc>
        <w:tc>
          <w:tcPr>
            <w:tcW w:w="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321</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(101)</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1,934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1,714</w:t>
            </w:r>
          </w:p>
        </w:tc>
        <w:tc>
          <w:tcPr>
            <w:tcW w:w="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220</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(59)</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ind w:left="160"/>
              <w:spacing w:after="0" w:line="199" w:lineRule="exact"/>
              <w:rPr>
                <w:sz w:val="20"/>
                <w:szCs w:val="20"/>
                <w:color w:val="auto"/>
              </w:rPr>
            </w:pPr>
            <w:r>
              <w:rPr>
                <w:rFonts w:ascii="Arial" w:cs="Arial" w:eastAsia="Arial" w:hAnsi="Arial"/>
                <w:sz w:val="18"/>
                <w:szCs w:val="18"/>
                <w:color w:val="auto"/>
              </w:rPr>
              <w:t>Operating income from Venezuelan</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 xml:space="preserve">subsidiaries </w:t>
            </w:r>
            <w:r>
              <w:rPr>
                <w:rFonts w:ascii="Arial" w:cs="Arial" w:eastAsia="Arial" w:hAnsi="Arial"/>
                <w:sz w:val="15"/>
                <w:szCs w:val="15"/>
                <w:color w:val="auto"/>
              </w:rPr>
              <w:t>(1)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(130)</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Remeasurement of net monetary assets in Venezuela</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ind w:left="160"/>
              <w:spacing w:after="0" w:line="199" w:lineRule="exact"/>
              <w:rPr>
                <w:sz w:val="20"/>
                <w:szCs w:val="20"/>
                <w:color w:val="auto"/>
              </w:rPr>
            </w:pPr>
            <w:r>
              <w:rPr>
                <w:rFonts w:ascii="Arial" w:cs="Arial" w:eastAsia="Arial" w:hAnsi="Arial"/>
                <w:sz w:val="18"/>
                <w:szCs w:val="18"/>
                <w:color w:val="auto"/>
              </w:rPr>
              <w:t>Operating income from historical coffee</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 xml:space="preserve">business </w:t>
            </w:r>
            <w:r>
              <w:rPr>
                <w:rFonts w:ascii="Arial" w:cs="Arial" w:eastAsia="Arial" w:hAnsi="Arial"/>
                <w:sz w:val="15"/>
                <w:szCs w:val="15"/>
                <w:color w:val="auto"/>
              </w:rPr>
              <w:t>(2)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(342)</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Costs associated with the JDE coffee business transactions</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185</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Reclassification of equity method earnings </w:t>
            </w:r>
            <w:r>
              <w:rPr>
                <w:rFonts w:ascii="Arial" w:cs="Arial" w:eastAsia="Arial" w:hAnsi="Arial"/>
                <w:sz w:val="15"/>
                <w:szCs w:val="15"/>
                <w:color w:val="auto"/>
              </w:rPr>
              <w:t>(3)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(51)</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(26)</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Gain on sale of intangible asset</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(4)</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(84)</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Other / rounding</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1,360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1,652</w:t>
            </w:r>
          </w:p>
        </w:tc>
        <w:tc>
          <w:tcPr>
            <w:tcW w:w="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(292)</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right="120" w:hanging="335"/>
        <w:spacing w:after="0" w:line="252"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ind w:left="1140" w:right="180" w:hanging="335"/>
        <w:spacing w:after="0" w:line="241"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ind w:left="1140" w:right="100" w:hanging="335"/>
        <w:spacing w:after="0" w:line="241"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180" w:hanging="335"/>
        <w:spacing w:after="0" w:line="241"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hanging="335"/>
        <w:spacing w:after="0"/>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Includes costs incurred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Applying the definition of “Adjusted EPS”, the adjustments made to “diluted EPS attributable to Mondelēz International” (the most comparable U.S. GAAP financial measure) were to exclude 2012-2014 Restructuring Program costs, 2014-2018 Restructuring Program costs, a loss on debt extinguishment and related expenses, Venezuela historical operating results and remeasurement loss, the JDE coffee business transactions hedging gains and incremental costs, losses on interest rate swaps no longer designated as accounting cash flow hedges due to changed financing and hedging plans, gain on the equity method investment exchange, our proportionate share of unusual or infrequent items recorded by our JDE and Keurig equity method investees, impairment charges related to intangible assets, gain on sale of an intangible asset, net earnings from the AGF divestiture, after-tax loss on the AGF divestiture, divestiture-related costs incurred for the planned sale of a confectionery business in France, acquisition integration costs, and acquisition-related costs. Taxes are computed for each of the items excluded from our GAAP results based on the facts and tax assumptions associated with each item. We also evaluate Adjusted EPS on a constant currency basis. We believe Adjusted EPS provides improved comparability of underlying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0.46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0.44</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0.02</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0.44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0.44</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(0.08)</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(1)</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 (costs) associated with the JDE coffee business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transactions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0.13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Equity method investee acquisition-related and other adjustments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Gain on sale of intangible asset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(2)</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(2)</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(0.01)</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5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0.29</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4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20" w:type="dxa"/>
            <w:vAlign w:val="bottom"/>
            <w:vMerge w:val="restart"/>
          </w:tcPr>
          <w:p>
            <w:pPr>
              <w:jc w:val="right"/>
              <w:ind w:right="11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Six Months Ended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22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0.97</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0.83</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0.14</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(0.04)</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(0.04)</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22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0.93</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0.83</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0.10</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(0.19)</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(0.27)</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0.27</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(0.05)</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Remeasurement of net monetary assets in Venezuela</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(0.01)</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 (costs) associated with the JDE coffee business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transactions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0.07</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(0.07)</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Loss related to interest rate swaps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(0.04)</w:t>
            </w: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(0.01)</w:t>
            </w:r>
          </w:p>
        </w:tc>
        <w:tc>
          <w:tcPr>
            <w:tcW w:w="3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0.03</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Equity method investee acquisition-related and other adjustments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Gain on sale of intangible asset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0.02</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(0.01)</w:t>
            </w:r>
          </w:p>
        </w:tc>
        <w:tc>
          <w:tcPr>
            <w:tcW w:w="3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0.64</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0.44</w:t>
            </w:r>
          </w:p>
        </w:tc>
        <w:tc>
          <w:tcPr>
            <w:tcW w:w="4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right="120" w:hanging="335"/>
        <w:spacing w:after="0" w:line="252" w:lineRule="auto"/>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ind w:left="1140" w:right="180" w:hanging="335"/>
        <w:spacing w:after="0" w:line="241" w:lineRule="auto"/>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hanging="335"/>
        <w:spacing w:after="0"/>
        <w:tabs>
          <w:tab w:leader="none" w:pos="1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Includes costs incurred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six months ended June 30, 2016. For additional information on the impact of currency policies, the recent U.K. referendum to exit the E.U., recent currency devaluations, the deconsolidation of our Venezuelan operation and the historical remeasurement of our Venezuelan net monetary assets on our financial condition and results of operations, also see Note 1, </w:t>
      </w:r>
      <w:r>
        <w:rPr>
          <w:rFonts w:ascii="Arial" w:cs="Arial" w:eastAsia="Arial" w:hAnsi="Arial"/>
          <w:sz w:val="18"/>
          <w:szCs w:val="18"/>
          <w:i w:val="1"/>
          <w:iCs w:val="1"/>
          <w:color w:val="auto"/>
        </w:rPr>
        <w:t>Basis of Presentation – Currency Translation and Highly</w:t>
      </w:r>
      <w:r>
        <w:rPr>
          <w:rFonts w:ascii="Arial" w:cs="Arial" w:eastAsia="Arial" w:hAnsi="Arial"/>
          <w:sz w:val="18"/>
          <w:szCs w:val="18"/>
          <w:color w:val="auto"/>
        </w:rPr>
        <w:t xml:space="preserve"> </w:t>
      </w:r>
      <w:r>
        <w:rPr>
          <w:rFonts w:ascii="Arial" w:cs="Arial" w:eastAsia="Arial" w:hAnsi="Arial"/>
          <w:sz w:val="18"/>
          <w:szCs w:val="18"/>
          <w:i w:val="1"/>
          <w:iCs w:val="1"/>
          <w:color w:val="auto"/>
        </w:rPr>
        <w:t>Inflationary Accounting</w:t>
      </w:r>
      <w:r>
        <w:rPr>
          <w:rFonts w:ascii="Arial" w:cs="Arial" w:eastAsia="Arial" w:hAnsi="Arial"/>
          <w:sz w:val="18"/>
          <w:szCs w:val="18"/>
          <w:color w:val="auto"/>
        </w:rPr>
        <w:t>.</w:t>
      </w:r>
    </w:p>
    <w:p>
      <w:pPr>
        <w:spacing w:after="0" w:line="20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the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In addition to using interest rate derivatives to manage future interest payments, in the first quarter of 2016, we retired $ 1.8 billion of our long-term debt and issued $ 1.2 billion of lower borrowing cost debt. Our weighted-average interest rate on our total debt as of June 30, 2016 was 3.0%, down from 3.7% as of December 31, 2015.</w:t>
      </w:r>
    </w:p>
    <w:p>
      <w:pPr>
        <w:spacing w:after="0" w:line="20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 xml:space="preserve">There were no significant changes in the types of derivative instruments we use to hedge our exposures between December 31, 2015 and June 30, 2016.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2016 derivative activity. For additional information on our hedging strategies, policies and practices on an ongoing basis, also refer to our Annual Report on Form 10-K for the year ended December 31, 2015.</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2016. Based on this evaluation, the CEO and CFO concluded that our disclosure controls and procedures were effective as of June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2016. During the quarter ended June 30, 2016, we worked with outsourced partners to further simplify and standardize processes and focus on scalable, transactional processes across all regions. We transitioned additional corporate financial reporting and accounting functions to an outsourced partner. We continued to migrate some of our procurement administration functions for all regions to another outsourced partner. Additionally, we continued to transition some of our transactional processing and financial reporting for a number of countries in all regions (including sales order-to-cash in our Europe, EEMEA and Latin America regions) to these two outsourced partners. Per our service agreements, the controls previously established around these accounting functions will be maintained by our outsourced partners and they are subject to management’s internal control testing. During the quarter, we also transitioned some of our human resources data processing performed in country to our internal shared service centers in our Europe and Asia Pacific regions. Additionally, we transitioned the business acquired in Vietnam during the third quarter of 2015 onto our accounting system during the quarter ended June 30, 2016. There were no other changes in our internal control over financial reporting during the quarter ended June 30, 2016, that have materially affected, or are reasonably likely to materially affect, our internal control over financial reporting.</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 xml:space="preserve">Information regarding legal proceedings is available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2016 was:</w:t>
      </w:r>
    </w:p>
    <w:p>
      <w:pPr>
        <w:spacing w:after="0" w:line="226"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Issuer Purchases of Equity Securities</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Part of Publicly</w:t>
            </w:r>
          </w:p>
        </w:tc>
        <w:tc>
          <w:tcPr>
            <w:tcW w:w="16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5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rPr>
              <w:t>Price Paid</w:t>
            </w:r>
          </w:p>
        </w:tc>
        <w:tc>
          <w:tcPr>
            <w:tcW w:w="300" w:type="dxa"/>
            <w:vAlign w:val="bottom"/>
          </w:tcPr>
          <w:p>
            <w:pPr>
              <w:spacing w:after="0"/>
              <w:rPr>
                <w:sz w:val="13"/>
                <w:szCs w:val="13"/>
                <w:color w:val="auto"/>
              </w:rPr>
            </w:pPr>
          </w:p>
        </w:tc>
        <w:tc>
          <w:tcPr>
            <w:tcW w:w="166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rPr>
              <w:t>Announced Plans</w:t>
            </w:r>
          </w:p>
        </w:tc>
        <w:tc>
          <w:tcPr>
            <w:tcW w:w="160" w:type="dxa"/>
            <w:vAlign w:val="bottom"/>
          </w:tcPr>
          <w:p>
            <w:pPr>
              <w:spacing w:after="0"/>
              <w:rPr>
                <w:sz w:val="13"/>
                <w:szCs w:val="13"/>
                <w:color w:val="auto"/>
              </w:rPr>
            </w:pPr>
          </w:p>
        </w:tc>
        <w:tc>
          <w:tcPr>
            <w:tcW w:w="186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72"/>
        </w:trPr>
        <w:tc>
          <w:tcPr>
            <w:tcW w:w="3800" w:type="dxa"/>
            <w:vAlign w:val="bottom"/>
            <w:gridSpan w:val="2"/>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9"/>
                <w:szCs w:val="19"/>
                <w:b w:val="1"/>
                <w:bCs w:val="1"/>
                <w:color w:val="auto"/>
                <w:vertAlign w:val="superscript"/>
              </w:rPr>
              <w:t>(1)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4"/>
                <w:szCs w:val="14"/>
                <w:color w:val="auto"/>
              </w:rPr>
            </w:pPr>
          </w:p>
        </w:tc>
        <w:tc>
          <w:tcPr>
            <w:tcW w:w="1660" w:type="dxa"/>
            <w:vAlign w:val="bottom"/>
            <w:gridSpan w:val="2"/>
          </w:tcPr>
          <w:p>
            <w:pPr>
              <w:jc w:val="center"/>
              <w:ind w:right="420"/>
              <w:spacing w:after="0" w:line="165" w:lineRule="exact"/>
              <w:rPr>
                <w:sz w:val="20"/>
                <w:szCs w:val="20"/>
                <w:color w:val="auto"/>
              </w:rPr>
            </w:pPr>
            <w:r>
              <w:rPr>
                <w:rFonts w:ascii="Arial" w:cs="Arial" w:eastAsia="Arial" w:hAnsi="Arial"/>
                <w:sz w:val="12"/>
                <w:szCs w:val="12"/>
                <w:b w:val="1"/>
                <w:bCs w:val="1"/>
                <w:color w:val="auto"/>
              </w:rPr>
              <w:t xml:space="preserve">or Programs </w:t>
            </w:r>
            <w:r>
              <w:rPr>
                <w:rFonts w:ascii="Arial" w:cs="Arial" w:eastAsia="Arial" w:hAnsi="Arial"/>
                <w:sz w:val="19"/>
                <w:szCs w:val="19"/>
                <w:b w:val="1"/>
                <w:bCs w:val="1"/>
                <w:color w:val="auto"/>
                <w:vertAlign w:val="superscript"/>
              </w:rPr>
              <w:t>(2)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line="165" w:lineRule="exact"/>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95"/>
        </w:trPr>
        <w:tc>
          <w:tcPr>
            <w:tcW w:w="440" w:type="dxa"/>
            <w:vAlign w:val="bottom"/>
            <w:tcBorders>
              <w:top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1-30, 2016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3,037,946</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41.36</w:t>
            </w:r>
          </w:p>
        </w:tc>
        <w:tc>
          <w:tcPr>
            <w:tcW w:w="19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3,021,840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4,134,056,806</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May 1-31, 2016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4,160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44.24</w:t>
            </w:r>
          </w:p>
        </w:tc>
        <w:tc>
          <w:tcPr>
            <w:tcW w:w="300" w:type="dxa"/>
            <w:vAlign w:val="bottom"/>
          </w:tcPr>
          <w:p>
            <w:pPr>
              <w:spacing w:after="0"/>
              <w:rPr>
                <w:sz w:val="17"/>
                <w:szCs w:val="17"/>
                <w:color w:val="auto"/>
              </w:rPr>
            </w:pPr>
          </w:p>
        </w:tc>
        <w:tc>
          <w:tcPr>
            <w:tcW w:w="16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4,134,056,806</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June 1-30, 2016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7,919</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44.19</w:t>
            </w:r>
          </w:p>
        </w:tc>
        <w:tc>
          <w:tcPr>
            <w:tcW w:w="3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4,134,056,806</w:t>
            </w:r>
          </w:p>
        </w:tc>
        <w:tc>
          <w:tcPr>
            <w:tcW w:w="0" w:type="dxa"/>
            <w:vAlign w:val="bottom"/>
          </w:tcPr>
          <w:p>
            <w:pPr>
              <w:spacing w:after="0"/>
              <w:rPr>
                <w:sz w:val="1"/>
                <w:szCs w:val="1"/>
                <w:color w:val="auto"/>
              </w:rPr>
            </w:pPr>
          </w:p>
        </w:tc>
      </w:tr>
      <w:tr>
        <w:trPr>
          <w:trHeight w:val="209"/>
        </w:trPr>
        <w:tc>
          <w:tcPr>
            <w:tcW w:w="3800" w:type="dxa"/>
            <w:vAlign w:val="bottom"/>
            <w:gridSpan w:val="2"/>
          </w:tcPr>
          <w:p>
            <w:pPr>
              <w:spacing w:after="0"/>
              <w:rPr>
                <w:sz w:val="20"/>
                <w:szCs w:val="20"/>
                <w:color w:val="auto"/>
              </w:rPr>
            </w:pPr>
            <w:r>
              <w:rPr>
                <w:rFonts w:ascii="Arial" w:cs="Arial" w:eastAsia="Arial" w:hAnsi="Arial"/>
                <w:sz w:val="18"/>
                <w:szCs w:val="18"/>
                <w:color w:val="auto"/>
              </w:rPr>
              <w:t>For the Quarter Ended</w:t>
            </w:r>
          </w:p>
        </w:tc>
        <w:tc>
          <w:tcPr>
            <w:tcW w:w="9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June 30, 2016</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3,050,025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41.38</w:t>
            </w:r>
          </w:p>
        </w:tc>
        <w:tc>
          <w:tcPr>
            <w:tcW w:w="1960" w:type="dxa"/>
            <w:vAlign w:val="bottom"/>
            <w:gridSpan w:val="3"/>
          </w:tcPr>
          <w:p>
            <w:pPr>
              <w:jc w:val="right"/>
              <w:ind w:right="420"/>
              <w:spacing w:after="0" w:line="203" w:lineRule="exact"/>
              <w:rPr>
                <w:sz w:val="20"/>
                <w:szCs w:val="20"/>
                <w:color w:val="auto"/>
              </w:rPr>
            </w:pPr>
            <w:r>
              <w:rPr>
                <w:rFonts w:ascii="Arial" w:cs="Arial" w:eastAsia="Arial" w:hAnsi="Arial"/>
                <w:sz w:val="18"/>
                <w:szCs w:val="18"/>
                <w:color w:val="auto"/>
              </w:rPr>
              <w:t>3,021,840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40" w:hanging="335"/>
        <w:spacing w:after="0" w:line="241"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total number of shares purchased includes: (i) shares purchased pursuant to the repurchase program described in (2) below; and (ii) shares tendered to us by employees who used shares to exercise options and to pay the related taxes for grants of restricted and deferred stock that vested, totaling 16,106 shares, 4,160 shares and 7,919 shares for the fiscal months of April, May and June 2016, respectively.</w:t>
      </w:r>
    </w:p>
    <w:p>
      <w:pPr>
        <w:spacing w:after="0" w:line="1" w:lineRule="exact"/>
        <w:rPr>
          <w:rFonts w:ascii="Arial" w:cs="Arial" w:eastAsia="Arial" w:hAnsi="Arial"/>
          <w:sz w:val="14"/>
          <w:szCs w:val="14"/>
          <w:color w:val="auto"/>
        </w:rPr>
      </w:pPr>
    </w:p>
    <w:p>
      <w:pPr>
        <w:ind w:left="1140" w:right="120" w:hanging="335"/>
        <w:spacing w:after="0" w:line="244"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See Note 10, </w:t>
      </w:r>
      <w:r>
        <w:rPr>
          <w:rFonts w:ascii="Arial" w:cs="Arial" w:eastAsia="Arial" w:hAnsi="Arial"/>
          <w:sz w:val="14"/>
          <w:szCs w:val="14"/>
          <w:i w:val="1"/>
          <w:iCs w:val="1"/>
          <w:color w:val="auto"/>
        </w:rPr>
        <w:t>Stock Plans</w:t>
      </w:r>
      <w:r>
        <w:rPr>
          <w:rFonts w:ascii="Arial" w:cs="Arial" w:eastAsia="Arial" w:hAnsi="Arial"/>
          <w:sz w:val="14"/>
          <w:szCs w:val="14"/>
          <w:color w:val="auto"/>
        </w:rPr>
        <w:t>, for additional information.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10580" w:type="dxa"/>
            <w:vAlign w:val="bottom"/>
          </w:tcPr>
          <w:p>
            <w:pPr>
              <w:spacing w:after="0"/>
              <w:rPr>
                <w:sz w:val="14"/>
                <w:szCs w:val="14"/>
                <w:color w:val="auto"/>
              </w:rPr>
            </w:pPr>
          </w:p>
        </w:tc>
      </w:tr>
      <w:tr>
        <w:trPr>
          <w:trHeight w:val="157"/>
        </w:trPr>
        <w:tc>
          <w:tcPr>
            <w:tcW w:w="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3"/>
                <w:szCs w:val="13"/>
                <w:color w:val="auto"/>
              </w:rPr>
            </w:pPr>
          </w:p>
        </w:tc>
        <w:tc>
          <w:tcPr>
            <w:tcW w:w="10580" w:type="dxa"/>
            <w:vAlign w:val="bottom"/>
          </w:tcPr>
          <w:p>
            <w:pPr>
              <w:ind w:left="4940"/>
              <w:spacing w:after="0" w:line="157" w:lineRule="exact"/>
              <w:rPr>
                <w:sz w:val="20"/>
                <w:szCs w:val="20"/>
                <w:color w:val="auto"/>
              </w:rPr>
            </w:pPr>
            <w:r>
              <w:rPr>
                <w:rFonts w:ascii="Arial" w:cs="Arial" w:eastAsia="Arial" w:hAnsi="Arial"/>
                <w:sz w:val="14"/>
                <w:szCs w:val="14"/>
                <w:color w:val="auto"/>
              </w:rPr>
              <w:t>Description</w:t>
            </w: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580" w:type="dxa"/>
            <w:vAlign w:val="bottom"/>
            <w:tcBorders>
              <w:bottom w:val="single" w:sz="8" w:color="auto"/>
            </w:tcBorders>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Computation of Ratios of Earnings to Fixed Charges.</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13a-14(a)/15d-14(a) of the Securities Exchange Act of 1934, as amended.</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13a-14(a)/15d-14(a) of the Securities Exchange Act of 1934, as amended.</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Certifications of Chief Executive Officer and Chief Financial Officer pursuant to 18 U.S.C. 1350, as adopted pursuant to Section 906</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June 30, 2016 are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formatted in XBRL (eXtensible Business Reporting Language): (i) the Condensed Consolidated Statements of Earnings, (ii) the</w:t>
            </w:r>
          </w:p>
        </w:tc>
      </w:tr>
    </w:tbl>
    <w:p>
      <w:pPr>
        <w:jc w:val="both"/>
        <w:ind w:left="840" w:right="640"/>
        <w:spacing w:after="0"/>
        <w:rPr>
          <w:sz w:val="20"/>
          <w:szCs w:val="20"/>
          <w:color w:val="auto"/>
        </w:rPr>
      </w:pPr>
      <w:r>
        <w:rPr>
          <w:rFonts w:ascii="Arial" w:cs="Arial" w:eastAsia="Arial" w:hAnsi="Arial"/>
          <w:sz w:val="18"/>
          <w:szCs w:val="18"/>
          <w:color w:val="auto"/>
        </w:rPr>
        <w:t>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-1905</wp:posOffset>
            </wp:positionV>
            <wp:extent cx="24955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Brian T. Gladden</w:t>
      </w:r>
    </w:p>
    <w:p>
      <w:pPr>
        <w:ind w:left="7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July 27, 2016</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240" w:top="459" w:right="5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3"/>
        </w:trPr>
        <w:tc>
          <w:tcPr>
            <w:tcW w:w="7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ind w:left="320"/>
              <w:spacing w:after="0"/>
              <w:rPr>
                <w:sz w:val="20"/>
                <w:szCs w:val="20"/>
                <w:color w:val="auto"/>
              </w:rPr>
            </w:pPr>
            <w:r>
              <w:rPr>
                <w:rFonts w:ascii="Arial" w:cs="Arial" w:eastAsia="Arial" w:hAnsi="Arial"/>
                <w:sz w:val="18"/>
                <w:szCs w:val="18"/>
                <w:b w:val="1"/>
                <w:bCs w:val="1"/>
                <w:color w:val="auto"/>
                <w:w w:val="95"/>
              </w:rPr>
              <w:t>EXHIBIT 12.1</w:t>
            </w:r>
          </w:p>
        </w:tc>
      </w:tr>
      <w:tr>
        <w:trPr>
          <w:trHeight w:val="334"/>
        </w:trPr>
        <w:tc>
          <w:tcPr>
            <w:tcW w:w="7500" w:type="dxa"/>
            <w:vAlign w:val="bottom"/>
          </w:tcPr>
          <w:p>
            <w:pPr>
              <w:jc w:val="center"/>
              <w:ind w:left="2932"/>
              <w:spacing w:after="0"/>
              <w:rPr>
                <w:sz w:val="20"/>
                <w:szCs w:val="20"/>
                <w:color w:val="auto"/>
              </w:rPr>
            </w:pPr>
            <w:r>
              <w:rPr>
                <w:rFonts w:ascii="Arial" w:cs="Arial" w:eastAsia="Arial" w:hAnsi="Arial"/>
                <w:sz w:val="18"/>
                <w:szCs w:val="18"/>
                <w:b w:val="1"/>
                <w:bCs w:val="1"/>
                <w:color w:val="auto"/>
                <w:w w:val="97"/>
              </w:rPr>
              <w:t>Mondelēz International, Inc. and Subsidiaries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7500" w:type="dxa"/>
            <w:vAlign w:val="bottom"/>
          </w:tcPr>
          <w:p>
            <w:pPr>
              <w:jc w:val="center"/>
              <w:ind w:left="2932"/>
              <w:spacing w:after="0" w:line="202" w:lineRule="exact"/>
              <w:rPr>
                <w:sz w:val="20"/>
                <w:szCs w:val="20"/>
                <w:color w:val="auto"/>
              </w:rPr>
            </w:pPr>
            <w:r>
              <w:rPr>
                <w:rFonts w:ascii="Arial" w:cs="Arial" w:eastAsia="Arial" w:hAnsi="Arial"/>
                <w:sz w:val="18"/>
                <w:szCs w:val="18"/>
                <w:b w:val="1"/>
                <w:bCs w:val="1"/>
                <w:color w:val="auto"/>
                <w:w w:val="97"/>
              </w:rPr>
              <w:t>Computation of Ratio of Earnings to Fixed Charges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3"/>
        </w:trPr>
        <w:tc>
          <w:tcPr>
            <w:tcW w:w="7500" w:type="dxa"/>
            <w:vAlign w:val="bottom"/>
          </w:tcPr>
          <w:p>
            <w:pPr>
              <w:jc w:val="center"/>
              <w:ind w:left="2912"/>
              <w:spacing w:after="0"/>
              <w:rPr>
                <w:sz w:val="20"/>
                <w:szCs w:val="20"/>
                <w:color w:val="auto"/>
              </w:rPr>
            </w:pPr>
            <w:r>
              <w:rPr>
                <w:rFonts w:ascii="Arial" w:cs="Arial" w:eastAsia="Arial" w:hAnsi="Arial"/>
                <w:sz w:val="18"/>
                <w:szCs w:val="18"/>
                <w:b w:val="1"/>
                <w:bCs w:val="1"/>
                <w:color w:val="auto"/>
                <w:w w:val="97"/>
              </w:rPr>
              <w:t>(in millions of U.S. dollars, except ratio)</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23"/>
        </w:trPr>
        <w:tc>
          <w:tcPr>
            <w:tcW w:w="7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For the Six</w:t>
            </w:r>
          </w:p>
        </w:tc>
      </w:tr>
      <w:tr>
        <w:trPr>
          <w:trHeight w:val="149"/>
        </w:trPr>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4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Months Ended</w:t>
            </w:r>
          </w:p>
        </w:tc>
      </w:tr>
      <w:tr>
        <w:trPr>
          <w:trHeight w:val="165"/>
        </w:trPr>
        <w:tc>
          <w:tcPr>
            <w:tcW w:w="7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2016</w:t>
            </w:r>
          </w:p>
        </w:tc>
        <w:tc>
          <w:tcPr>
            <w:tcW w:w="420" w:type="dxa"/>
            <w:vAlign w:val="bottom"/>
          </w:tcPr>
          <w:p>
            <w:pPr>
              <w:spacing w:after="0"/>
              <w:rPr>
                <w:sz w:val="14"/>
                <w:szCs w:val="14"/>
                <w:color w:val="auto"/>
              </w:rPr>
            </w:pPr>
          </w:p>
        </w:tc>
        <w:tc>
          <w:tcPr>
            <w:tcW w:w="15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6"/>
              </w:rPr>
              <w:t>June 30, 2016</w:t>
            </w:r>
          </w:p>
        </w:tc>
      </w:tr>
      <w:tr>
        <w:trPr>
          <w:trHeight w:val="88"/>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w:t>
            </w:r>
          </w:p>
        </w:tc>
        <w:tc>
          <w:tcPr>
            <w:tcW w:w="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311"/>
        </w:trPr>
        <w:tc>
          <w:tcPr>
            <w:tcW w:w="7500" w:type="dxa"/>
            <w:vAlign w:val="bottom"/>
          </w:tcPr>
          <w:p>
            <w:pPr>
              <w:spacing w:after="0"/>
              <w:rPr>
                <w:sz w:val="20"/>
                <w:szCs w:val="20"/>
                <w:color w:val="auto"/>
              </w:rPr>
            </w:pPr>
            <w:r>
              <w:rPr>
                <w:rFonts w:ascii="Arial" w:cs="Arial" w:eastAsia="Arial" w:hAnsi="Arial"/>
                <w:sz w:val="18"/>
                <w:szCs w:val="18"/>
                <w:color w:val="auto"/>
              </w:rPr>
              <w:t>Add / (Deduct):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Dividends from less than 50% owned affiliates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w:t>
            </w:r>
          </w:p>
        </w:tc>
        <w:tc>
          <w:tcPr>
            <w:tcW w:w="460" w:type="dxa"/>
            <w:vAlign w:val="bottom"/>
          </w:tcPr>
          <w:p>
            <w:pPr>
              <w:spacing w:after="0"/>
              <w:rPr>
                <w:sz w:val="17"/>
                <w:szCs w:val="17"/>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capitalized, net of amortization</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7500" w:type="dxa"/>
            <w:vAlign w:val="bottom"/>
          </w:tcPr>
          <w:p>
            <w:pPr>
              <w:ind w:left="440"/>
              <w:spacing w:after="0"/>
              <w:rPr>
                <w:sz w:val="20"/>
                <w:szCs w:val="20"/>
                <w:color w:val="auto"/>
              </w:rPr>
            </w:pPr>
            <w:r>
              <w:rPr>
                <w:rFonts w:ascii="Arial" w:cs="Arial" w:eastAsia="Arial" w:hAnsi="Arial"/>
                <w:sz w:val="18"/>
                <w:szCs w:val="18"/>
                <w:color w:val="auto"/>
              </w:rPr>
              <w:t>Earnings available for fixed charges</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677</w:t>
            </w:r>
          </w:p>
        </w:tc>
        <w:tc>
          <w:tcPr>
            <w:tcW w:w="50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7"/>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Interest incurred: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7500" w:type="dxa"/>
            <w:vAlign w:val="bottom"/>
          </w:tcPr>
          <w:p>
            <w:pPr>
              <w:ind w:left="440"/>
              <w:spacing w:after="0" w:line="202" w:lineRule="exact"/>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r>
      <w:tr>
        <w:trPr>
          <w:trHeight w:val="203"/>
        </w:trPr>
        <w:tc>
          <w:tcPr>
            <w:tcW w:w="7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7500" w:type="dxa"/>
            <w:vAlign w:val="bottom"/>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3"/>
        </w:trPr>
        <w:tc>
          <w:tcPr>
            <w:tcW w:w="7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Fixed charges</w:t>
            </w:r>
          </w:p>
        </w:tc>
        <w:tc>
          <w:tcPr>
            <w:tcW w:w="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5"/>
        </w:trPr>
        <w:tc>
          <w:tcPr>
            <w:tcW w:w="75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4"/>
                <w:szCs w:val="24"/>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ectPr>
          <w:pgSz w:w="11900" w:h="16838" w:orient="portrait"/>
          <w:cols w:equalWidth="0" w:num="1">
            <w:col w:w="10960"/>
          </w:cols>
          <w:pgMar w:left="70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Irene B. Rosenfeld, certify that:</w:t>
      </w:r>
    </w:p>
    <w:p>
      <w:pPr>
        <w:spacing w:after="0" w:line="198" w:lineRule="exact"/>
        <w:rPr>
          <w:sz w:val="20"/>
          <w:szCs w:val="20"/>
          <w:color w:val="auto"/>
        </w:rPr>
      </w:pPr>
    </w:p>
    <w:p>
      <w:pPr>
        <w:ind w:left="1380" w:hanging="575"/>
        <w:spacing w:after="0"/>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1380" w:right="160" w:hanging="575"/>
        <w:spacing w:after="0" w:line="238"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380" w:right="520" w:hanging="575"/>
        <w:spacing w:after="0" w:line="238"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1380" w:right="140" w:hanging="575"/>
        <w:spacing w:after="0" w:line="238"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20" w:right="20" w:hanging="448"/>
        <w:spacing w:after="0" w:line="281" w:lineRule="auto"/>
        <w:tabs>
          <w:tab w:leader="none" w:pos="18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820" w:right="420" w:hanging="448"/>
        <w:spacing w:after="0" w:line="281" w:lineRule="auto"/>
        <w:tabs>
          <w:tab w:leader="none" w:pos="18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820" w:right="200" w:hanging="448"/>
        <w:spacing w:after="0" w:line="238" w:lineRule="auto"/>
        <w:tabs>
          <w:tab w:leader="none" w:pos="18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820" w:right="280" w:hanging="448"/>
        <w:spacing w:after="0" w:line="281" w:lineRule="auto"/>
        <w:tabs>
          <w:tab w:leader="none" w:pos="18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380" w:right="540" w:hanging="575"/>
        <w:spacing w:after="0" w:line="238"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820" w:right="340" w:hanging="448"/>
        <w:spacing w:after="0" w:line="238" w:lineRule="auto"/>
        <w:tabs>
          <w:tab w:leader="none" w:pos="18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820" w:right="660" w:hanging="448"/>
        <w:spacing w:after="0" w:line="239" w:lineRule="auto"/>
        <w:tabs>
          <w:tab w:leader="none" w:pos="18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2016</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Irene B. Rosenfeld</w:t>
      </w: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Brian T. Gladden, certify that:</w:t>
      </w:r>
    </w:p>
    <w:p>
      <w:pPr>
        <w:spacing w:after="0" w:line="198" w:lineRule="exact"/>
        <w:rPr>
          <w:sz w:val="20"/>
          <w:szCs w:val="20"/>
          <w:color w:val="auto"/>
        </w:rPr>
      </w:pPr>
    </w:p>
    <w:p>
      <w:pPr>
        <w:ind w:left="1380" w:hanging="575"/>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1380" w:right="160" w:hanging="575"/>
        <w:spacing w:after="0" w:line="238" w:lineRule="auto"/>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380" w:right="520" w:hanging="575"/>
        <w:spacing w:after="0" w:line="238" w:lineRule="auto"/>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1380" w:right="140" w:hanging="575"/>
        <w:spacing w:after="0" w:line="238" w:lineRule="auto"/>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20" w:right="20" w:hanging="448"/>
        <w:spacing w:after="0" w:line="281" w:lineRule="auto"/>
        <w:tabs>
          <w:tab w:leader="none" w:pos="1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820" w:right="420" w:hanging="448"/>
        <w:spacing w:after="0" w:line="281" w:lineRule="auto"/>
        <w:tabs>
          <w:tab w:leader="none" w:pos="1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820" w:right="200" w:hanging="448"/>
        <w:spacing w:after="0" w:line="238" w:lineRule="auto"/>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820" w:right="280" w:hanging="448"/>
        <w:spacing w:after="0" w:line="281" w:lineRule="auto"/>
        <w:tabs>
          <w:tab w:leader="none" w:pos="1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380" w:right="540" w:hanging="575"/>
        <w:spacing w:after="0" w:line="238" w:lineRule="auto"/>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820" w:right="340" w:hanging="448"/>
        <w:spacing w:after="0" w:line="238" w:lineRule="auto"/>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820" w:right="660" w:hanging="448"/>
        <w:spacing w:after="0" w:line="239" w:lineRule="auto"/>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2016</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Brian T. Gladden</w:t>
      </w:r>
    </w:p>
    <w:p>
      <w:pPr>
        <w:ind w:left="686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jc w:val="center"/>
        <w:spacing w:after="0" w:line="235"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 Irene B. Rosenfeld,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2016, fully complies with the requirements of Section 13(a) or 15(d) of the Securities Exchange Act of 1934, as amended and that the information contained in Mondelēz International’s Quarterly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Irene B. Rosenfeld</w:t>
      </w:r>
    </w:p>
    <w:p>
      <w:pPr>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July 27, 2016</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2016, fully complies with the requirements of Section 13(a) or 15(d) of the Securities Exchange Act of 1934, as amended and that the information contained in Mondelēz International’s Quarterly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Brian T. Gladden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July 27, 2016</w:t>
      </w:r>
    </w:p>
    <w:p>
      <w:pPr>
        <w:spacing w:after="0" w:line="200" w:lineRule="exact"/>
        <w:rPr>
          <w:sz w:val="20"/>
          <w:szCs w:val="20"/>
          <w:color w:val="auto"/>
        </w:rPr>
      </w:pPr>
    </w:p>
    <w:p>
      <w:pPr>
        <w:spacing w:after="0" w:line="26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Roman"/>
      <w:start w:val="2"/>
    </w:lvl>
    <w:lvl w:ilvl="1">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8"/>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7"/>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6"/>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Letter"/>
      <w:start w:val="42"/>
    </w:lvl>
  </w:abstractNum>
  <w:abstractNum w:abstractNumId="41">
    <w:nsid w:val="542289EC"/>
    <w:multiLevelType w:val="hybridMultilevel"/>
    <w:lvl w:ilvl="0">
      <w:lvlJc w:val="left"/>
      <w:lvlText w:val="%1)"/>
      <w:numFmt w:val="lowerLetter"/>
      <w:start w:val="42"/>
    </w:lvl>
  </w:abstractNum>
  <w:abstractNum w:abstractNumId="42">
    <w:nsid w:val="6DE91B18"/>
    <w:multiLevelType w:val="hybridMultilevel"/>
    <w:lvl w:ilvl="0">
      <w:lvlJc w:val="left"/>
      <w:lvlText w:val="•"/>
      <w:numFmt w:val="bullet"/>
      <w:start w:val="1"/>
    </w:lvl>
    <w:lvl w:ilvl="1">
      <w:lvlJc w:val="left"/>
      <w:lvlText w:val="•"/>
      <w:numFmt w:val="bullet"/>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3"/>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2019-12-29T10:39:48Z</dcterms:created>
  <dcterms:modified xsi:type="dcterms:W3CDTF">2019-12-29T10:39:48Z</dcterms:modified>
</cp:coreProperties>
</file>