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0" w:lineRule="exact"/>
        <w:rPr>
          <w:sz w:val="24"/>
          <w:szCs w:val="24"/>
          <w:color w:val="auto"/>
        </w:rPr>
      </w:pPr>
    </w:p>
    <w:p>
      <w:pPr>
        <w:ind w:left="1020" w:hanging="330"/>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2026</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5" w:lineRule="exact"/>
        <w:rPr>
          <w:sz w:val="24"/>
          <w:szCs w:val="24"/>
          <w:color w:val="auto"/>
        </w:rPr>
      </w:pPr>
    </w:p>
    <w:p>
      <w:pPr>
        <w:ind w:left="1040" w:hanging="337"/>
        <w:spacing w:after="0"/>
        <w:tabs>
          <w:tab w:leader="none" w:pos="10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0" w:lineRule="exact"/>
        <w:rPr>
          <w:sz w:val="24"/>
          <w:szCs w:val="24"/>
          <w:color w:val="auto"/>
        </w:rPr>
      </w:pPr>
    </w:p>
    <w:p>
      <w:pPr>
        <w:jc w:val="right"/>
        <w:ind w:right="4400"/>
        <w:spacing w:after="0"/>
        <w:tabs>
          <w:tab w:leader="none" w:pos="45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3" w:lineRule="exact"/>
        <w:rPr>
          <w:sz w:val="24"/>
          <w:szCs w:val="24"/>
          <w:color w:val="auto"/>
        </w:rPr>
      </w:pPr>
    </w:p>
    <w:p>
      <w:pPr>
        <w:jc w:val="right"/>
        <w:ind w:right="4360"/>
        <w:spacing w:after="0"/>
        <w:rPr>
          <w:sz w:val="20"/>
          <w:szCs w:val="20"/>
          <w:color w:val="auto"/>
        </w:rPr>
      </w:pPr>
      <w:r>
        <w:rPr>
          <w:rFonts w:ascii="Arial" w:cs="Arial" w:eastAsia="Arial" w:hAnsi="Arial"/>
          <w:sz w:val="16"/>
          <w:szCs w:val="16"/>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3116580</wp:posOffset>
            </wp:positionH>
            <wp:positionV relativeFrom="paragraph">
              <wp:posOffset>46355</wp:posOffset>
            </wp:positionV>
            <wp:extent cx="908685"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08685" cy="22288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Mondelēz International,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48" w:lineRule="exact"/>
        <w:rPr>
          <w:sz w:val="24"/>
          <w:szCs w:val="24"/>
          <w:color w:val="auto"/>
        </w:rPr>
      </w:pPr>
    </w:p>
    <w:tbl>
      <w:tblPr>
        <w:tblLayout w:type="fixed"/>
        <w:tblInd w:w="960" w:type="dxa"/>
        <w:tblCellMar>
          <w:top w:w="0" w:type="dxa"/>
          <w:left w:w="0" w:type="dxa"/>
          <w:bottom w:w="0" w:type="dxa"/>
          <w:right w:w="0" w:type="dxa"/>
        </w:tblCellMar>
      </w:tblPr>
      <w:tr>
        <w:trPr>
          <w:trHeight w:val="196"/>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Virginia</w:t>
            </w:r>
          </w:p>
        </w:tc>
        <w:tc>
          <w:tcPr>
            <w:tcW w:w="3540" w:type="dxa"/>
            <w:vAlign w:val="bottom"/>
          </w:tcPr>
          <w:p>
            <w:pPr>
              <w:jc w:val="right"/>
              <w:ind w:right="668"/>
              <w:spacing w:after="0"/>
              <w:rPr>
                <w:sz w:val="20"/>
                <w:szCs w:val="20"/>
                <w:color w:val="auto"/>
              </w:rPr>
            </w:pPr>
            <w:r>
              <w:rPr>
                <w:rFonts w:ascii="Arial" w:cs="Arial" w:eastAsia="Arial" w:hAnsi="Arial"/>
                <w:sz w:val="14"/>
                <w:szCs w:val="14"/>
                <w:b w:val="1"/>
                <w:bCs w:val="1"/>
                <w:color w:val="auto"/>
              </w:rPr>
              <w:t>52-2284372</w:t>
            </w:r>
          </w:p>
        </w:tc>
      </w:tr>
      <w:tr>
        <w:trPr>
          <w:trHeight w:val="197"/>
        </w:trPr>
        <w:tc>
          <w:tcPr>
            <w:tcW w:w="5040" w:type="dxa"/>
            <w:vAlign w:val="bottom"/>
          </w:tcPr>
          <w:p>
            <w:pPr>
              <w:jc w:val="center"/>
              <w:ind w:right="1248"/>
              <w:spacing w:after="0"/>
              <w:rPr>
                <w:sz w:val="20"/>
                <w:szCs w:val="20"/>
                <w:color w:val="auto"/>
              </w:rPr>
            </w:pPr>
            <w:r>
              <w:rPr>
                <w:rFonts w:ascii="Arial" w:cs="Arial" w:eastAsia="Arial" w:hAnsi="Arial"/>
                <w:sz w:val="14"/>
                <w:szCs w:val="14"/>
                <w:color w:val="auto"/>
              </w:rPr>
              <w:t>(State or other jurisdiction of incorporation or organization)</w:t>
            </w:r>
          </w:p>
        </w:tc>
        <w:tc>
          <w:tcPr>
            <w:tcW w:w="3540" w:type="dxa"/>
            <w:vAlign w:val="bottom"/>
          </w:tcPr>
          <w:p>
            <w:pPr>
              <w:jc w:val="center"/>
              <w:ind w:left="1248"/>
              <w:spacing w:after="0"/>
              <w:rPr>
                <w:sz w:val="20"/>
                <w:szCs w:val="20"/>
                <w:color w:val="auto"/>
              </w:rPr>
            </w:pPr>
            <w:r>
              <w:rPr>
                <w:rFonts w:ascii="Arial" w:cs="Arial" w:eastAsia="Arial" w:hAnsi="Arial"/>
                <w:sz w:val="14"/>
                <w:szCs w:val="14"/>
                <w:color w:val="auto"/>
              </w:rPr>
              <w:t>(I.R.S. Employer Identification No.)</w:t>
            </w:r>
          </w:p>
        </w:tc>
      </w:tr>
      <w:tr>
        <w:trPr>
          <w:trHeight w:val="262"/>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905 West Fulton Market, Suite 200</w:t>
            </w:r>
          </w:p>
        </w:tc>
        <w:tc>
          <w:tcPr>
            <w:tcW w:w="3540" w:type="dxa"/>
            <w:vAlign w:val="bottom"/>
          </w:tcPr>
          <w:p>
            <w:pPr>
              <w:spacing w:after="0"/>
              <w:rPr>
                <w:sz w:val="22"/>
                <w:szCs w:val="22"/>
                <w:color w:val="auto"/>
              </w:rPr>
            </w:pPr>
          </w:p>
        </w:tc>
      </w:tr>
      <w:tr>
        <w:trPr>
          <w:trHeight w:val="203"/>
        </w:trPr>
        <w:tc>
          <w:tcPr>
            <w:tcW w:w="5040" w:type="dxa"/>
            <w:vAlign w:val="bottom"/>
          </w:tcPr>
          <w:p>
            <w:pPr>
              <w:ind w:left="1240"/>
              <w:spacing w:after="0"/>
              <w:rPr>
                <w:sz w:val="20"/>
                <w:szCs w:val="20"/>
                <w:color w:val="auto"/>
              </w:rPr>
            </w:pPr>
            <w:r>
              <w:rPr>
                <w:rFonts w:ascii="Arial" w:cs="Arial" w:eastAsia="Arial" w:hAnsi="Arial"/>
                <w:sz w:val="14"/>
                <w:szCs w:val="14"/>
                <w:b w:val="1"/>
                <w:bCs w:val="1"/>
                <w:color w:val="auto"/>
              </w:rPr>
              <w:t>Chicago, Illinois</w:t>
            </w:r>
          </w:p>
        </w:tc>
        <w:tc>
          <w:tcPr>
            <w:tcW w:w="3540" w:type="dxa"/>
            <w:vAlign w:val="bottom"/>
          </w:tcPr>
          <w:p>
            <w:pPr>
              <w:jc w:val="right"/>
              <w:ind w:right="848"/>
              <w:spacing w:after="0"/>
              <w:rPr>
                <w:sz w:val="20"/>
                <w:szCs w:val="20"/>
                <w:color w:val="auto"/>
              </w:rPr>
            </w:pPr>
            <w:r>
              <w:rPr>
                <w:rFonts w:ascii="Arial" w:cs="Arial" w:eastAsia="Arial" w:hAnsi="Arial"/>
                <w:sz w:val="14"/>
                <w:szCs w:val="14"/>
                <w:b w:val="1"/>
                <w:bCs w:val="1"/>
                <w:color w:val="auto"/>
              </w:rPr>
              <w:t>60607</w:t>
            </w:r>
          </w:p>
        </w:tc>
      </w:tr>
      <w:tr>
        <w:trPr>
          <w:trHeight w:val="197"/>
        </w:trPr>
        <w:tc>
          <w:tcPr>
            <w:tcW w:w="5040" w:type="dxa"/>
            <w:vAlign w:val="bottom"/>
          </w:tcPr>
          <w:p>
            <w:pPr>
              <w:jc w:val="center"/>
              <w:ind w:right="1228"/>
              <w:spacing w:after="0"/>
              <w:rPr>
                <w:sz w:val="20"/>
                <w:szCs w:val="20"/>
                <w:color w:val="auto"/>
              </w:rPr>
            </w:pPr>
            <w:r>
              <w:rPr>
                <w:rFonts w:ascii="Arial" w:cs="Arial" w:eastAsia="Arial" w:hAnsi="Arial"/>
                <w:sz w:val="14"/>
                <w:szCs w:val="14"/>
                <w:color w:val="auto"/>
              </w:rPr>
              <w:t>(Address of principal executive offices)</w:t>
            </w:r>
          </w:p>
        </w:tc>
        <w:tc>
          <w:tcPr>
            <w:tcW w:w="3540" w:type="dxa"/>
            <w:vAlign w:val="bottom"/>
          </w:tcPr>
          <w:p>
            <w:pPr>
              <w:jc w:val="center"/>
              <w:ind w:left="1228"/>
              <w:spacing w:after="0"/>
              <w:rPr>
                <w:sz w:val="20"/>
                <w:szCs w:val="20"/>
                <w:color w:val="auto"/>
              </w:rPr>
            </w:pPr>
            <w:r>
              <w:rPr>
                <w:rFonts w:ascii="Arial" w:cs="Arial" w:eastAsia="Arial" w:hAnsi="Arial"/>
                <w:sz w:val="14"/>
                <w:szCs w:val="14"/>
                <w:color w:val="auto"/>
              </w:rPr>
              <w:t>(Zip Code)</w:t>
            </w:r>
          </w:p>
        </w:tc>
      </w:tr>
    </w:tbl>
    <w:p>
      <w:pPr>
        <w:spacing w:after="0" w:line="80"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(847) 943-4000</w:t>
      </w:r>
    </w:p>
    <w:p>
      <w:pPr>
        <w:spacing w:after="0" w:line="69" w:lineRule="exact"/>
        <w:rPr>
          <w:sz w:val="24"/>
          <w:szCs w:val="24"/>
          <w:color w:val="auto"/>
        </w:rPr>
      </w:pPr>
    </w:p>
    <w:p>
      <w:pPr>
        <w:ind w:left="5120"/>
        <w:spacing w:after="0"/>
        <w:rPr>
          <w:sz w:val="20"/>
          <w:szCs w:val="20"/>
          <w:color w:val="auto"/>
        </w:rPr>
      </w:pPr>
      <w:r>
        <w:rPr>
          <w:rFonts w:ascii="Arial" w:cs="Arial" w:eastAsia="Arial" w:hAnsi="Arial"/>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10"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vMerge w:val="restart"/>
          </w:tcPr>
          <w:p>
            <w:pPr>
              <w:spacing w:after="0"/>
              <w:rPr>
                <w:sz w:val="14"/>
                <w:szCs w:val="14"/>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Trading</w:t>
            </w:r>
          </w:p>
        </w:tc>
        <w:tc>
          <w:tcPr>
            <w:tcW w:w="4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0" w:type="dxa"/>
            <w:vAlign w:val="bottom"/>
            <w:gridSpan w:val="2"/>
          </w:tcPr>
          <w:p>
            <w:pPr>
              <w:jc w:val="center"/>
              <w:ind w:right="120"/>
              <w:spacing w:after="0"/>
              <w:rPr>
                <w:sz w:val="20"/>
                <w:szCs w:val="20"/>
                <w:color w:val="auto"/>
              </w:rPr>
            </w:pPr>
            <w:r>
              <w:rPr>
                <w:rFonts w:ascii="Arial" w:cs="Arial" w:eastAsia="Arial" w:hAnsi="Arial"/>
                <w:sz w:val="14"/>
                <w:szCs w:val="14"/>
                <w:color w:val="auto"/>
              </w:rPr>
              <w:t>Class A Common Stock, no par value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MDLZ</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1.625% Notes due 2027</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MDLZ27</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0.250% Notes due 2028</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MDLZ28</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0.750% Notes due 2033</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MDLZ33</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2.375%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MDLZ35</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4.500%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MDLZ35A</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2"/>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1.375% Notes due 2041</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MDLZ41</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3.875% Notes due 2045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MDLZ45</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bl>
    <w:p>
      <w:pPr>
        <w:spacing w:after="0" w:line="107" w:lineRule="exact"/>
        <w:rPr>
          <w:sz w:val="24"/>
          <w:szCs w:val="24"/>
          <w:color w:val="auto"/>
        </w:rPr>
      </w:pPr>
    </w:p>
    <w:p>
      <w:pPr>
        <w:jc w:val="both"/>
        <w:spacing w:after="0" w:line="21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9"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00" w:type="dxa"/>
            <w:vAlign w:val="bottom"/>
          </w:tcPr>
          <w:p>
            <w:pPr>
              <w:ind w:left="920"/>
              <w:spacing w:after="0"/>
              <w:rPr>
                <w:sz w:val="20"/>
                <w:szCs w:val="20"/>
                <w:color w:val="auto"/>
              </w:rPr>
            </w:pPr>
            <w:r>
              <w:rPr>
                <w:rFonts w:ascii="Wingdings" w:cs="Wingdings" w:eastAsia="Wingdings" w:hAnsi="Wingdings"/>
                <w:sz w:val="14"/>
                <w:szCs w:val="14"/>
                <w:b w:val="1"/>
                <w:bCs w:val="1"/>
                <w:color w:val="auto"/>
              </w:rPr>
              <w:t>x</w:t>
            </w:r>
          </w:p>
        </w:tc>
        <w:tc>
          <w:tcPr>
            <w:tcW w:w="4420" w:type="dxa"/>
            <w:vAlign w:val="bottom"/>
          </w:tcPr>
          <w:p>
            <w:pPr>
              <w:ind w:left="192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360" w:type="dxa"/>
            <w:vAlign w:val="bottom"/>
          </w:tcPr>
          <w:p>
            <w:pPr>
              <w:spacing w:after="0"/>
              <w:rPr>
                <w:sz w:val="20"/>
                <w:szCs w:val="20"/>
                <w:color w:val="auto"/>
              </w:rPr>
            </w:pPr>
            <w:r>
              <w:rPr>
                <w:rFonts w:ascii="Arial" w:cs="Arial" w:eastAsia="Arial" w:hAnsi="Arial"/>
                <w:sz w:val="14"/>
                <w:szCs w:val="14"/>
                <w:color w:val="auto"/>
              </w:rPr>
              <w:t>Non-accelerated filer</w:t>
            </w:r>
          </w:p>
        </w:tc>
        <w:tc>
          <w:tcPr>
            <w:tcW w:w="300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192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3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420" w:type="dxa"/>
            <w:vAlign w:val="bottom"/>
          </w:tcPr>
          <w:p>
            <w:pPr>
              <w:ind w:left="1920"/>
              <w:spacing w:after="0"/>
              <w:rPr>
                <w:sz w:val="20"/>
                <w:szCs w:val="20"/>
                <w:color w:val="auto"/>
              </w:rPr>
            </w:pPr>
            <w:r>
              <w:rPr>
                <w:rFonts w:ascii="Arial" w:cs="Arial" w:eastAsia="Arial" w:hAnsi="Arial"/>
                <w:sz w:val="14"/>
                <w:szCs w:val="14"/>
                <w:color w:val="auto"/>
              </w:rPr>
              <w:t>Emerging growth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7"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At April 24, 2026, there were 1,283,649,766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Page No.</w:t>
            </w:r>
          </w:p>
        </w:tc>
        <w:tc>
          <w:tcPr>
            <w:tcW w:w="0" w:type="dxa"/>
            <w:vAlign w:val="bottom"/>
          </w:tcPr>
          <w:p>
            <w:pPr>
              <w:spacing w:after="0"/>
              <w:rPr>
                <w:sz w:val="1"/>
                <w:szCs w:val="1"/>
                <w:color w:val="auto"/>
              </w:rPr>
            </w:pPr>
          </w:p>
        </w:tc>
      </w:tr>
      <w:tr>
        <w:trPr>
          <w:trHeight w:val="148"/>
        </w:trPr>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0000FF"/>
              </w:rPr>
              <w:t>PART I</w:t>
            </w:r>
          </w:p>
        </w:tc>
        <w:tc>
          <w:tcPr>
            <w:tcW w:w="9840" w:type="dxa"/>
            <w:vAlign w:val="bottom"/>
            <w:gridSpan w:val="16"/>
          </w:tcPr>
          <w:p>
            <w:pPr>
              <w:spacing w:after="0" w:line="149" w:lineRule="exact"/>
              <w:rPr>
                <w:sz w:val="20"/>
                <w:szCs w:val="20"/>
                <w:color w:val="auto"/>
              </w:rPr>
            </w:pPr>
            <w:r>
              <w:rPr>
                <w:rFonts w:ascii="Arial" w:cs="Arial" w:eastAsia="Arial" w:hAnsi="Arial"/>
                <w:sz w:val="14"/>
                <w:szCs w:val="14"/>
                <w:b w:val="1"/>
                <w:bCs w:val="1"/>
                <w:color w:val="auto"/>
              </w:rPr>
              <w:t>FINANCIAL INFORMATION</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460" w:type="dxa"/>
            <w:vAlign w:val="bottom"/>
            <w:tcBorders>
              <w:top w:val="single" w:sz="8" w:color="0000FF"/>
            </w:tcBorders>
          </w:tcPr>
          <w:p>
            <w:pPr>
              <w:spacing w:after="0"/>
              <w:rPr>
                <w:sz w:val="20"/>
                <w:szCs w:val="20"/>
                <w:color w:val="auto"/>
              </w:rPr>
            </w:pPr>
            <w:r>
              <w:rPr>
                <w:rFonts w:ascii="Arial" w:cs="Arial" w:eastAsia="Arial" w:hAnsi="Arial"/>
                <w:sz w:val="14"/>
                <w:szCs w:val="14"/>
                <w:color w:val="auto"/>
              </w:rPr>
              <w:t>Item 1.</w:t>
            </w:r>
          </w:p>
        </w:tc>
        <w:tc>
          <w:tcPr>
            <w:tcW w:w="340" w:type="dxa"/>
            <w:vAlign w:val="bottom"/>
            <w:gridSpan w:val="2"/>
          </w:tcPr>
          <w:p>
            <w:pPr>
              <w:spacing w:after="0"/>
              <w:rPr>
                <w:sz w:val="23"/>
                <w:szCs w:val="23"/>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auto"/>
              </w:rPr>
              <w:t>Financial Statements (Unaudited)</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0000FF"/>
              </w:rPr>
              <w:t>Condensed Consolidated Statements of Earnings for the Three Months Ended March 31, 2026 and 2025</w:t>
            </w: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0000FF"/>
              </w:rPr>
              <w:t>Condensed Consolidated Statements of Comprehensive Earnings for the Three Months Ended March 31, 2026 and 2025</w:t>
            </w: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36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4"/>
                <w:szCs w:val="14"/>
                <w:color w:val="0000FF"/>
              </w:rPr>
              <w:t>Condensed Consolidated Balance Sheets at March 31, 2026 and December 31, 2025</w:t>
            </w:r>
          </w:p>
        </w:tc>
        <w:tc>
          <w:tcPr>
            <w:tcW w:w="2220" w:type="dxa"/>
            <w:vAlign w:val="bottom"/>
            <w:tcBorders>
              <w:top w:val="single" w:sz="8" w:color="0000FF"/>
            </w:tcBorders>
            <w:gridSpan w:val="5"/>
          </w:tcPr>
          <w:p>
            <w:pPr>
              <w:spacing w:after="0"/>
              <w:rPr>
                <w:sz w:val="15"/>
                <w:szCs w:val="15"/>
                <w:color w:val="auto"/>
              </w:rPr>
            </w:pPr>
          </w:p>
        </w:tc>
        <w:tc>
          <w:tcPr>
            <w:tcW w:w="2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0000FF"/>
              </w:rPr>
              <w:t>Condensed Consolidated Statements of Equity for the Three Months Ended March 31, 2026 and 2025</w:t>
            </w: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74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rPr>
              <w:t>Condensed Consolidated Statements of Cash Flows for the Three Months Ended March 31, 2026 and 2025</w:t>
            </w:r>
          </w:p>
        </w:tc>
        <w:tc>
          <w:tcPr>
            <w:tcW w:w="3100" w:type="dxa"/>
            <w:vAlign w:val="bottom"/>
            <w:gridSpan w:val="2"/>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0000FF"/>
              </w:rPr>
              <w:t>Notes to Condensed Consolidated Financial Statements</w:t>
            </w: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line="20" w:lineRule="exact"/>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2.</w:t>
            </w:r>
          </w:p>
        </w:tc>
        <w:tc>
          <w:tcPr>
            <w:tcW w:w="556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4280" w:type="dxa"/>
            <w:vAlign w:val="bottom"/>
            <w:gridSpan w:val="5"/>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3.</w:t>
            </w:r>
          </w:p>
        </w:tc>
        <w:tc>
          <w:tcPr>
            <w:tcW w:w="368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6160" w:type="dxa"/>
            <w:vAlign w:val="bottom"/>
            <w:gridSpan w:val="8"/>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37"/>
        </w:trPr>
        <w:tc>
          <w:tcPr>
            <w:tcW w:w="800" w:type="dxa"/>
            <w:vAlign w:val="bottom"/>
            <w:gridSpan w:val="3"/>
          </w:tcPr>
          <w:p>
            <w:pPr>
              <w:spacing w:after="0"/>
              <w:rPr>
                <w:sz w:val="20"/>
                <w:szCs w:val="20"/>
                <w:color w:val="auto"/>
              </w:rPr>
            </w:pPr>
            <w:r>
              <w:rPr>
                <w:rFonts w:ascii="Arial" w:cs="Arial" w:eastAsia="Arial" w:hAnsi="Arial"/>
                <w:sz w:val="14"/>
                <w:szCs w:val="14"/>
                <w:color w:val="auto"/>
              </w:rPr>
              <w:t>Item 4.</w:t>
            </w:r>
          </w:p>
        </w:tc>
        <w:tc>
          <w:tcPr>
            <w:tcW w:w="9840" w:type="dxa"/>
            <w:vAlign w:val="bottom"/>
            <w:gridSpan w:val="16"/>
          </w:tcPr>
          <w:p>
            <w:pPr>
              <w:spacing w:after="0"/>
              <w:rPr>
                <w:sz w:val="20"/>
                <w:szCs w:val="20"/>
                <w:color w:val="auto"/>
              </w:rPr>
            </w:pPr>
            <w:r>
              <w:rPr>
                <w:rFonts w:ascii="Arial" w:cs="Arial" w:eastAsia="Arial" w:hAnsi="Arial"/>
                <w:sz w:val="14"/>
                <w:szCs w:val="14"/>
                <w:color w:val="0000FF"/>
              </w:rPr>
              <w:t>Controls and Procedures</w:t>
            </w:r>
          </w:p>
        </w:tc>
        <w:tc>
          <w:tcPr>
            <w:tcW w:w="58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37"/>
        </w:trPr>
        <w:tc>
          <w:tcPr>
            <w:tcW w:w="800" w:type="dxa"/>
            <w:vAlign w:val="bottom"/>
            <w:gridSpan w:val="3"/>
          </w:tcPr>
          <w:p>
            <w:pPr>
              <w:spacing w:after="0"/>
              <w:rPr>
                <w:sz w:val="20"/>
                <w:szCs w:val="20"/>
                <w:color w:val="auto"/>
              </w:rPr>
            </w:pPr>
            <w:r>
              <w:rPr>
                <w:rFonts w:ascii="Arial" w:cs="Arial" w:eastAsia="Arial" w:hAnsi="Arial"/>
                <w:sz w:val="14"/>
                <w:szCs w:val="14"/>
                <w:b w:val="1"/>
                <w:bCs w:val="1"/>
                <w:color w:val="0000FF"/>
              </w:rPr>
              <w:t>PART II</w:t>
            </w:r>
          </w:p>
        </w:tc>
        <w:tc>
          <w:tcPr>
            <w:tcW w:w="1540" w:type="dxa"/>
            <w:vAlign w:val="bottom"/>
            <w:tcBorders>
              <w:top w:val="single" w:sz="8" w:color="0000FF"/>
            </w:tcBorders>
            <w:gridSpan w:val="6"/>
          </w:tcPr>
          <w:p>
            <w:pPr>
              <w:spacing w:after="0"/>
              <w:rPr>
                <w:sz w:val="20"/>
                <w:szCs w:val="20"/>
                <w:color w:val="auto"/>
              </w:rPr>
            </w:pPr>
            <w:r>
              <w:rPr>
                <w:rFonts w:ascii="Arial" w:cs="Arial" w:eastAsia="Arial" w:hAnsi="Arial"/>
                <w:sz w:val="14"/>
                <w:szCs w:val="14"/>
                <w:b w:val="1"/>
                <w:bCs w:val="1"/>
                <w:color w:val="auto"/>
              </w:rPr>
              <w:t>OTHER INFORMATION</w:t>
            </w:r>
          </w:p>
        </w:tc>
        <w:tc>
          <w:tcPr>
            <w:tcW w:w="8300" w:type="dxa"/>
            <w:vAlign w:val="bottom"/>
            <w:gridSpan w:val="10"/>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auto"/>
              </w:rPr>
              <w:t>Item 1.</w:t>
            </w:r>
          </w:p>
        </w:tc>
        <w:tc>
          <w:tcPr>
            <w:tcW w:w="300" w:type="dxa"/>
            <w:vAlign w:val="bottom"/>
          </w:tcPr>
          <w:p>
            <w:pPr>
              <w:spacing w:after="0"/>
              <w:rPr>
                <w:sz w:val="20"/>
                <w:szCs w:val="20"/>
                <w:color w:val="auto"/>
              </w:rPr>
            </w:pPr>
          </w:p>
        </w:tc>
        <w:tc>
          <w:tcPr>
            <w:tcW w:w="116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w w:val="98"/>
              </w:rPr>
              <w:t>Legal Proceedings</w:t>
            </w:r>
          </w:p>
        </w:tc>
        <w:tc>
          <w:tcPr>
            <w:tcW w:w="8680" w:type="dxa"/>
            <w:vAlign w:val="bottom"/>
            <w:gridSpan w:val="11"/>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1A.</w:t>
            </w:r>
          </w:p>
        </w:tc>
        <w:tc>
          <w:tcPr>
            <w:tcW w:w="9840" w:type="dxa"/>
            <w:vAlign w:val="bottom"/>
            <w:gridSpan w:val="16"/>
          </w:tcPr>
          <w:p>
            <w:pPr>
              <w:spacing w:after="0"/>
              <w:rPr>
                <w:sz w:val="20"/>
                <w:szCs w:val="20"/>
                <w:color w:val="auto"/>
              </w:rPr>
            </w:pPr>
            <w:r>
              <w:rPr>
                <w:rFonts w:ascii="Arial" w:cs="Arial" w:eastAsia="Arial" w:hAnsi="Arial"/>
                <w:sz w:val="14"/>
                <w:szCs w:val="14"/>
                <w:color w:val="0000FF"/>
              </w:rPr>
              <w:t>Risk Factors</w:t>
            </w:r>
          </w:p>
        </w:tc>
        <w:tc>
          <w:tcPr>
            <w:tcW w:w="58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800" w:type="dxa"/>
            <w:vAlign w:val="bottom"/>
            <w:tcBorders>
              <w:right w:val="single" w:sz="8" w:color="0000FF"/>
            </w:tcBorders>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6040" w:type="dxa"/>
            <w:vAlign w:val="bottom"/>
            <w:gridSpan w:val="7"/>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line="20" w:lineRule="exact"/>
              <w:rPr>
                <w:sz w:val="1"/>
                <w:szCs w:val="1"/>
                <w:color w:val="auto"/>
              </w:rPr>
            </w:pPr>
          </w:p>
        </w:tc>
      </w:tr>
      <w:tr>
        <w:trPr>
          <w:trHeight w:val="236"/>
        </w:trPr>
        <w:tc>
          <w:tcPr>
            <w:tcW w:w="800" w:type="dxa"/>
            <w:vAlign w:val="bottom"/>
            <w:gridSpan w:val="3"/>
          </w:tcPr>
          <w:p>
            <w:pPr>
              <w:spacing w:after="0"/>
              <w:rPr>
                <w:sz w:val="20"/>
                <w:szCs w:val="20"/>
                <w:color w:val="auto"/>
              </w:rPr>
            </w:pPr>
            <w:r>
              <w:rPr>
                <w:rFonts w:ascii="Arial" w:cs="Arial" w:eastAsia="Arial" w:hAnsi="Arial"/>
                <w:sz w:val="14"/>
                <w:szCs w:val="14"/>
                <w:color w:val="auto"/>
              </w:rPr>
              <w:t>Item 2.</w:t>
            </w:r>
          </w:p>
        </w:tc>
        <w:tc>
          <w:tcPr>
            <w:tcW w:w="9840" w:type="dxa"/>
            <w:vAlign w:val="bottom"/>
            <w:gridSpan w:val="16"/>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5.</w:t>
            </w:r>
          </w:p>
        </w:tc>
        <w:tc>
          <w:tcPr>
            <w:tcW w:w="3800" w:type="dxa"/>
            <w:vAlign w:val="bottom"/>
            <w:tcBorders>
              <w:top w:val="single" w:sz="8" w:color="0000FF"/>
            </w:tcBorders>
            <w:gridSpan w:val="9"/>
          </w:tcPr>
          <w:p>
            <w:pPr>
              <w:spacing w:after="0"/>
              <w:rPr>
                <w:sz w:val="20"/>
                <w:szCs w:val="20"/>
                <w:color w:val="auto"/>
              </w:rPr>
            </w:pPr>
            <w:r>
              <w:rPr>
                <w:rFonts w:ascii="Arial" w:cs="Arial" w:eastAsia="Arial" w:hAnsi="Arial"/>
                <w:sz w:val="14"/>
                <w:szCs w:val="14"/>
                <w:color w:val="0000FF"/>
              </w:rPr>
              <w:t>Other Information</w:t>
            </w:r>
          </w:p>
        </w:tc>
        <w:tc>
          <w:tcPr>
            <w:tcW w:w="6040" w:type="dxa"/>
            <w:vAlign w:val="bottom"/>
            <w:gridSpan w:val="7"/>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37"/>
        </w:trPr>
        <w:tc>
          <w:tcPr>
            <w:tcW w:w="800" w:type="dxa"/>
            <w:vAlign w:val="bottom"/>
            <w:gridSpan w:val="3"/>
          </w:tcPr>
          <w:p>
            <w:pPr>
              <w:spacing w:after="0"/>
              <w:rPr>
                <w:sz w:val="20"/>
                <w:szCs w:val="20"/>
                <w:color w:val="auto"/>
              </w:rPr>
            </w:pPr>
            <w:r>
              <w:rPr>
                <w:rFonts w:ascii="Arial" w:cs="Arial" w:eastAsia="Arial" w:hAnsi="Arial"/>
                <w:sz w:val="14"/>
                <w:szCs w:val="14"/>
                <w:color w:val="auto"/>
              </w:rPr>
              <w:t>Item 6.</w:t>
            </w:r>
          </w:p>
        </w:tc>
        <w:tc>
          <w:tcPr>
            <w:tcW w:w="4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w w:val="93"/>
              </w:rPr>
              <w:t>Exhibits</w:t>
            </w:r>
          </w:p>
        </w:tc>
        <w:tc>
          <w:tcPr>
            <w:tcW w:w="600" w:type="dxa"/>
            <w:vAlign w:val="bottom"/>
            <w:tcBorders>
              <w:top w:val="single" w:sz="8" w:color="0000FF"/>
            </w:tcBorders>
            <w:gridSpan w:val="3"/>
          </w:tcPr>
          <w:p>
            <w:pPr>
              <w:spacing w:after="0"/>
              <w:rPr>
                <w:sz w:val="20"/>
                <w:szCs w:val="20"/>
                <w:color w:val="auto"/>
              </w:rPr>
            </w:pPr>
          </w:p>
        </w:tc>
        <w:tc>
          <w:tcPr>
            <w:tcW w:w="8760" w:type="dxa"/>
            <w:vAlign w:val="bottom"/>
            <w:gridSpan w:val="12"/>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0000FF"/>
              </w:rPr>
              <w:t>Signature</w:t>
            </w:r>
          </w:p>
        </w:tc>
        <w:tc>
          <w:tcPr>
            <w:tcW w:w="5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315595</wp:posOffset>
            </wp:positionV>
            <wp:extent cx="282575"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For the Three Months Ended</w:t>
      </w:r>
    </w:p>
    <w:p>
      <w:pPr>
        <w:jc w:val="center"/>
        <w:ind w:left="7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14605</wp:posOffset>
            </wp:positionV>
            <wp:extent cx="2245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 and exit costs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Gain on divestiture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770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 non-service income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net</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equity method investment transactions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 net earnings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Noncontrolling interest earnings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 attributable to Mondelēz International</w:t>
            </w:r>
          </w:p>
        </w:tc>
        <w:tc>
          <w:tcPr>
            <w:tcW w:w="106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0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share attributable to Mondelēz International</w:t>
            </w:r>
          </w:p>
        </w:tc>
        <w:tc>
          <w:tcPr>
            <w:tcW w:w="106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vMerge w:val="continue"/>
          </w:tcPr>
          <w:p>
            <w:pPr>
              <w:spacing w:after="0"/>
              <w:rPr>
                <w:sz w:val="17"/>
                <w:szCs w:val="17"/>
                <w:color w:val="auto"/>
              </w:rPr>
            </w:pPr>
          </w:p>
        </w:tc>
        <w:tc>
          <w:tcPr>
            <w:tcW w:w="1060" w:type="dxa"/>
            <w:vAlign w:val="bottom"/>
            <w:tcBorders>
              <w:bottom w:val="single" w:sz="8" w:color="auto"/>
            </w:tcBorders>
          </w:tcPr>
          <w:p>
            <w:pPr>
              <w:jc w:val="right"/>
              <w:ind w:right="854"/>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For the Three Months Ended</w:t>
      </w:r>
    </w:p>
    <w:p>
      <w:pPr>
        <w:jc w:val="center"/>
        <w:ind w:left="7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14605</wp:posOffset>
            </wp:positionV>
            <wp:extent cx="2245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2025</w:t>
            </w: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Pension and other benefit plans</w:t>
            </w: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cash flow hedges</w:t>
            </w:r>
          </w:p>
        </w:tc>
        <w:tc>
          <w:tcPr>
            <w:tcW w:w="1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29"/>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Comprehensive earnings/(losses) attributable to noncontrolling interests</w:t>
            </w: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 attributable to Mondelēz International</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5"/>
        </w:trPr>
        <w:tc>
          <w:tcPr>
            <w:tcW w:w="7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less allowance ($31 and $35, respectively)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Other receivables, less allowance ($35 and $35, respectively)</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24,336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19,628</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Prepaid pension assets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71,487</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21,864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45,596</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Common Stock, no par value (5,000,000,000 shares authorized, 1,996,537,778 shares issued)</w:t>
            </w: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32,322</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36,413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Treasury stock, at cost (712,903,655 and 714,961,364 shares, respectively)</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Mondelēz International Shareholders’ Equity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71,487</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43180</wp:posOffset>
            </wp:positionV>
            <wp:extent cx="28257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8"/>
          </w:tcPr>
          <w:p>
            <w:pPr>
              <w:ind w:left="320"/>
              <w:spacing w:after="0"/>
              <w:rPr>
                <w:sz w:val="20"/>
                <w:szCs w:val="20"/>
                <w:color w:val="auto"/>
              </w:rPr>
            </w:pPr>
            <w:r>
              <w:rPr>
                <w:rFonts w:ascii="Arial" w:cs="Arial" w:eastAsia="Arial" w:hAnsi="Arial"/>
                <w:sz w:val="13"/>
                <w:szCs w:val="13"/>
                <w:b w:val="1"/>
                <w:bCs w:val="1"/>
                <w:color w:val="auto"/>
              </w:rPr>
              <w:t>Mondelēz International Shareholders’ Equity</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Treasury</w:t>
            </w: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1"/>
                <w:szCs w:val="11"/>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Earnings/</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(Losses)</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Three Months Ended March 31, 2026</w:t>
            </w: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2026</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32,322</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36,413</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(11,364)</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(31,533)</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25,891</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564</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($0.500 per share)</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142"/>
        </w:trPr>
        <w:tc>
          <w:tcPr>
            <w:tcW w:w="3200" w:type="dxa"/>
            <w:vAlign w:val="bottom"/>
          </w:tcPr>
          <w:p>
            <w:pPr>
              <w:ind w:left="20"/>
              <w:spacing w:after="0" w:line="142" w:lineRule="exact"/>
              <w:rPr>
                <w:sz w:val="20"/>
                <w:szCs w:val="20"/>
                <w:color w:val="auto"/>
              </w:rPr>
            </w:pPr>
            <w:r>
              <w:rPr>
                <w:rFonts w:ascii="Arial" w:cs="Arial" w:eastAsia="Arial" w:hAnsi="Arial"/>
                <w:sz w:val="13"/>
                <w:szCs w:val="13"/>
                <w:color w:val="auto"/>
              </w:rPr>
              <w:t>Balances at March 31, 2026</w:t>
            </w:r>
          </w:p>
        </w:tc>
        <w:tc>
          <w:tcPr>
            <w:tcW w:w="800" w:type="dxa"/>
            <w:vAlign w:val="bottom"/>
            <w:tcBorders>
              <w:top w:val="single" w:sz="8" w:color="auto"/>
              <w:bottom w:val="single" w:sz="8" w:color="auto"/>
            </w:tcBorders>
          </w:tcPr>
          <w:p>
            <w:pPr>
              <w:jc w:val="right"/>
              <w:ind w:right="637"/>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32,276</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36,329</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(11,406)</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(31,449)</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25,804</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Three Months Ended March 31, 2025</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2025</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32,276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36,476</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(12,471)</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(29,349)</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26,958</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407</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($0.470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(611)</w:t>
            </w:r>
          </w:p>
        </w:tc>
        <w:tc>
          <w:tcPr>
            <w:tcW w:w="0" w:type="dxa"/>
            <w:vAlign w:val="bottom"/>
          </w:tcPr>
          <w:p>
            <w:pPr>
              <w:spacing w:after="0"/>
              <w:rPr>
                <w:sz w:val="1"/>
                <w:szCs w:val="1"/>
                <w:color w:val="auto"/>
              </w:rPr>
            </w:pPr>
          </w:p>
        </w:tc>
      </w:tr>
      <w:tr>
        <w:trPr>
          <w:trHeight w:val="194"/>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March 31, 2025</w:t>
            </w:r>
          </w:p>
        </w:tc>
        <w:tc>
          <w:tcPr>
            <w:tcW w:w="80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(30,732)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25,823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For the Three Months Ended</w:t>
      </w:r>
    </w:p>
    <w:p>
      <w:pPr>
        <w:jc w:val="center"/>
        <w:ind w:left="7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399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2025</w:t>
            </w:r>
          </w:p>
        </w:tc>
      </w:tr>
      <w:tr>
        <w:trPr>
          <w:trHeight w:val="19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OPERATING ACTIVITIES</w:t>
            </w:r>
          </w:p>
        </w:tc>
        <w:tc>
          <w:tcPr>
            <w:tcW w:w="1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180" w:type="dxa"/>
            <w:vAlign w:val="bottom"/>
          </w:tcPr>
          <w:p>
            <w:pPr>
              <w:jc w:val="right"/>
              <w:ind w:right="100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earnings to operating cash flows: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 expense</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Deferred income tax provision/(benefit)</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 impairments and accelerated depreciation</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Gain on divestiture</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equity method investment transactions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Equity method investment net earnings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from equity method investments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Unrealized loss on derivative contracts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689</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Contingent consideration adjustments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Other non-cash items, net</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163"/>
        </w:trPr>
        <w:tc>
          <w:tcPr>
            <w:tcW w:w="75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Change in assets and liabilities,</w:t>
            </w:r>
          </w:p>
        </w:tc>
        <w:tc>
          <w:tcPr>
            <w:tcW w:w="1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16"/>
        </w:trPr>
        <w:tc>
          <w:tcPr>
            <w:tcW w:w="75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of acquisitions and divestitures: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520" w:type="dxa"/>
            <w:vAlign w:val="bottom"/>
          </w:tcPr>
          <w:p>
            <w:pPr>
              <w:ind w:left="560"/>
              <w:spacing w:after="0"/>
              <w:rPr>
                <w:sz w:val="20"/>
                <w:szCs w:val="20"/>
                <w:color w:val="auto"/>
              </w:rPr>
            </w:pPr>
            <w:r>
              <w:rPr>
                <w:rFonts w:ascii="Arial" w:cs="Arial" w:eastAsia="Arial" w:hAnsi="Arial"/>
                <w:sz w:val="16"/>
                <w:szCs w:val="16"/>
                <w:color w:val="auto"/>
              </w:rPr>
              <w:t>Receivables, net</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17"/>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Inventories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5"/>
        </w:trPr>
        <w:tc>
          <w:tcPr>
            <w:tcW w:w="752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7"/>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current assets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15"/>
        </w:trPr>
        <w:tc>
          <w:tcPr>
            <w:tcW w:w="7520" w:type="dxa"/>
            <w:vAlign w:val="bottom"/>
          </w:tcPr>
          <w:p>
            <w:pPr>
              <w:ind w:left="560"/>
              <w:spacing w:after="0"/>
              <w:rPr>
                <w:sz w:val="20"/>
                <w:szCs w:val="20"/>
                <w:color w:val="auto"/>
              </w:rPr>
            </w:pPr>
            <w:r>
              <w:rPr>
                <w:rFonts w:ascii="Arial" w:cs="Arial" w:eastAsia="Arial" w:hAnsi="Arial"/>
                <w:sz w:val="16"/>
                <w:szCs w:val="16"/>
                <w:color w:val="auto"/>
              </w:rPr>
              <w:t>Other current liabilities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pension and postretirement assets and liabilities, net</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75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w:t>
            </w:r>
          </w:p>
        </w:tc>
      </w:tr>
      <w:tr>
        <w:trPr>
          <w:trHeight w:val="19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INVESTING ACTIVITIES</w:t>
            </w:r>
          </w:p>
        </w:tc>
        <w:tc>
          <w:tcPr>
            <w:tcW w:w="1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 net of cash received</w:t>
            </w:r>
          </w:p>
        </w:tc>
        <w:tc>
          <w:tcPr>
            <w:tcW w:w="1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Proceeds from divestitures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derivative settlements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Payments for derivative settlements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investments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Proceeds from sales of property, plant and equipment and other</w:t>
            </w:r>
          </w:p>
        </w:tc>
        <w:tc>
          <w:tcPr>
            <w:tcW w:w="1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5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used in investing activities</w:t>
            </w: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195"/>
        </w:trPr>
        <w:tc>
          <w:tcPr>
            <w:tcW w:w="7520" w:type="dxa"/>
            <w:vAlign w:val="bottom"/>
          </w:tcPr>
          <w:p>
            <w:pPr>
              <w:ind w:left="20"/>
              <w:spacing w:after="0"/>
              <w:rPr>
                <w:sz w:val="20"/>
                <w:szCs w:val="20"/>
                <w:color w:val="auto"/>
              </w:rPr>
            </w:pPr>
            <w:r>
              <w:rPr>
                <w:rFonts w:ascii="Arial" w:cs="Arial" w:eastAsia="Arial" w:hAnsi="Arial"/>
                <w:sz w:val="16"/>
                <w:szCs w:val="16"/>
                <w:color w:val="auto"/>
              </w:rPr>
              <w:t>CASH PROVIDED BY/(USED IN) FINANCING ACTIVITIES</w:t>
            </w: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Issuances of commercial paper, maturities greater than 90 days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Net (repayment)/issuance of short-term borrowings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1,841</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repayments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1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(1,522)</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15"/>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10"/>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used in financing activities</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r>
      <w:tr>
        <w:trPr>
          <w:trHeight w:val="20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19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1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(Decrease)/increase</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Balance at beginning of period</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r>
      <w:tr>
        <w:trPr>
          <w:trHeight w:val="209"/>
        </w:trPr>
        <w:tc>
          <w:tcPr>
            <w:tcW w:w="7520" w:type="dxa"/>
            <w:vAlign w:val="bottom"/>
          </w:tcPr>
          <w:p>
            <w:pPr>
              <w:ind w:left="140"/>
              <w:spacing w:after="0"/>
              <w:rPr>
                <w:sz w:val="20"/>
                <w:szCs w:val="20"/>
                <w:color w:val="auto"/>
              </w:rPr>
            </w:pPr>
            <w:r>
              <w:rPr>
                <w:rFonts w:ascii="Arial" w:cs="Arial" w:eastAsia="Arial" w:hAnsi="Arial"/>
                <w:sz w:val="16"/>
                <w:szCs w:val="16"/>
                <w:color w:val="auto"/>
              </w:rPr>
              <w:t>Balance at end of period</w:t>
            </w:r>
          </w:p>
        </w:tc>
        <w:tc>
          <w:tcPr>
            <w:tcW w:w="1180" w:type="dxa"/>
            <w:vAlign w:val="bottom"/>
            <w:tcBorders>
              <w:bottom w:val="single" w:sz="8" w:color="auto"/>
            </w:tcBorders>
          </w:tcPr>
          <w:p>
            <w:pPr>
              <w:jc w:val="right"/>
              <w:ind w:right="100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w:t>
            </w:r>
          </w:p>
        </w:tc>
      </w:tr>
      <w:tr>
        <w:trPr>
          <w:trHeight w:val="21"/>
        </w:trPr>
        <w:tc>
          <w:tcPr>
            <w:tcW w:w="7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in common stock or in-substance common stock over which we exercise significant influence under the equity method of accounting.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Highly Inflationary Accounting</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2026, our consolidated entities in Argentina, Türkiye, Egypt and Nigeria are operating in highly inflationary economies and represent 1.2%, 0.5%, 0.5% and 0.3%, respectively, of our consolidated net revenues for the three months ended March 31, 2026. The aggregate losses from remeasurements of monetary assets and liabilities into our reporting currency for the highly inflationary countries were $(5) million and $(7) million for the three months ended March 31, 2026 and 2025, respectively. Given the continued volatility of these currencies, impacts to our financial statements in future periods could be significantly different from historical levels.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Restricted cash primarily includes cash held on behalf of financial institutions in accordance with accounts receivable factoring arrangements and letters of credit arrangements with legally restricted cash collateral provisions. Restricted cash is recorded within other current assets and was $107 million as of March 31, 2026 and $ 70 million as of December 31, 2025. Total cash, cash equivalents and restricted cash was $1,631 million as of March 31, 2026 and $2,195 million as of December 31,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2"/>
                <w:szCs w:val="12"/>
                <w:color w:val="auto"/>
              </w:rPr>
            </w:pPr>
          </w:p>
        </w:tc>
        <w:tc>
          <w:tcPr>
            <w:tcW w:w="12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9"/>
        </w:trPr>
        <w:tc>
          <w:tcPr>
            <w:tcW w:w="6840" w:type="dxa"/>
            <w:vAlign w:val="bottom"/>
          </w:tcPr>
          <w:p>
            <w:pPr>
              <w:spacing w:after="0"/>
              <w:rPr>
                <w:sz w:val="16"/>
                <w:szCs w:val="16"/>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8"/>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58"/>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Net recovery for expected credit losses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left="77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and 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7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color w:val="auto"/>
              </w:rPr>
              <w:t>Balance at March 31, 2026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left="758"/>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outstanding principal amount of receivables under our uncommitted revolving non-recourse accounts receivable factoring arrangements amounted to $892 million as of March 31, 2026 and $674 million as of December 31, 2025. The incremental costs of factoring receivables under these arrangements were recorded in selling, general and administrative expenses in the condensed consolidated statements of earnings and were not material for all periods presented. The proceeds from the sales of receivables are included in cash from operating activities in the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488315</wp:posOffset>
            </wp:positionV>
            <wp:extent cx="28257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recorded $47 million in operating lease and $43 million in finance lease right-of-use assets obtained in exchange for lease obligations during the three months ended March 31, 2026 and $38 million in operating lease and $51 million in finance lease right-of-use assets obtained in exchange for lease obligations during the three months ended March 31,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continued efforts to improve our working capital efficiency, we have worked with our suppliers over the past several years to optimize our terms and conditions, which include the extension of payment terms. We also facilitate voluntary supply chain financing (“SCF”) programs through several participating financial institutions. Amounts due to our suppliers that elected to participate in the SCF program are included in accounts payable in our condensed consolidated balance sheets. Our outstanding obligations confirmed as valid under our SCF program are $3.3 billion and $3.6 billion as of March 31, 2026 and December 31, 2025,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Adopted</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2025, the FASB issued an ASU which introduces a practical expedient that allows entities to measure expected credit losses on current accounts receivable and current contract assets by assuming that the conditions existing at the balance sheet date remain unchanged over the remaining life of those assets. The guidance is intended to simplify the application of the current expected credit loss model by reducing the need to develop forward-looking forecasts for short-term trade receivables. We adopted the practical expedient on a prospective basis during the quarter ended March 31, 2026 and the impact on our consolidated financial statements was not material.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Not Yet Adopted</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2024, the FASB issued an ASU that will require incremental disclosures in the notes to the financial statements to disaggregate income statement expense line items into specified expense categories and to provide additional information about certain expenses. The ASU is effective for the first annual reporting period beginning after December 15, 2026 and for interim reporting periods within annual reporting periods beginning after December 15, 2027. Early adoption is permitted. The guidance may be applied either on a prospective or retrospective basis. We currently expect to adopt the guidance when it becomes effective, for our annual reporting for the year ending December 31, 2027 and for our interim reporting in the first quarter of 2028. We are currently assessing the impact on our consolidated financial statements and related disclosures, as well as whether we will adopt the guidance on a prospective or retrospective basis.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2025, the FASB issued an ASU that refines the scope of derivative accounting by introducing a new exception for contracts whose underlyings are based on the operations or activities of one of the parties among other updates. The ASU is effective for interim and annual periods beginning after December 15, 2026, with early adoption permitted. The guidance may be applied either on a prospective or modified retrospective basis. We do not expect this ASU to have a material impact on our consolidated financial statements and related disclosures.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2025, the FASB issued an ASU that improves the accounting for internal-use software by replacing the previous capitalization guidance, which focused on a project's stage of development, with a principles-based "probable-to-complete" recognition threshold. The ASU is effective for interim and annual periods beginning after December 15, 2027, with early adoption permitted. The guidance may be applied on a prospective or retrospective basis. We are currently assessing the impact on our consolidated financial statements and related disclosures.</w:t>
      </w:r>
    </w:p>
    <w:p>
      <w:pPr>
        <w:spacing w:after="0" w:line="20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December 2025, the FASB issued an ASU that establishes accounting guidance for government grants received by a business entity, including grants related to an asset and grants related to income. The ASU is effective for interim and annual periods beginning after December 15, 2028, with early adoption permitted. The guidance may be applied on a modified prospective, modified retrospective or retrospective basis. We are currently assessing the impact on our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167005</wp:posOffset>
            </wp:positionV>
            <wp:extent cx="28257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Inventories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As of March 31,</w:t>
            </w:r>
          </w:p>
        </w:tc>
        <w:tc>
          <w:tcPr>
            <w:tcW w:w="1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 of December 31,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2026</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342"/>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7"/>
              </w:rPr>
              <w:t>1,015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7"/>
              </w:rPr>
              <w:t>3,404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7"/>
              </w:rPr>
              <w:t>4,419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3. Property, Plant and Equipment</w:t>
            </w: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4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As of March 31,</w:t>
            </w:r>
          </w:p>
        </w:tc>
        <w:tc>
          <w:tcPr>
            <w:tcW w:w="1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of December 31, 2025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center"/>
              <w:ind w:right="197"/>
              <w:spacing w:after="0"/>
              <w:rPr>
                <w:sz w:val="20"/>
                <w:szCs w:val="20"/>
                <w:color w:val="auto"/>
              </w:rPr>
            </w:pPr>
            <w:r>
              <w:rPr>
                <w:rFonts w:ascii="Arial" w:cs="Arial" w:eastAsia="Arial" w:hAnsi="Arial"/>
                <w:sz w:val="14"/>
                <w:szCs w:val="14"/>
                <w:b w:val="1"/>
                <w:bCs w:val="1"/>
                <w:color w:val="auto"/>
              </w:rPr>
              <w:t>2026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5"/>
          </w:tcPr>
          <w:p>
            <w:pPr>
              <w:jc w:val="right"/>
              <w:ind w:right="362"/>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rPr>
              <w:t>(9,395)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2026, capital expenditures of $312 million excluded $ 392 million of accrued capital expenditures remaining unpaid at March 31, 2026 and included payment for a portion of the $481 million of capital expenditures that were accrued and unpaid at December 31, 2025. For the three months ended March 31, 2025, capital expenditures of $277 million excluded $397 million of accrued capital expenditures remaining unpaid at March 31, 2025 and included payment for a portion of the $458 million of capital expenditures that were accrued and unpaid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14605</wp:posOffset>
            </wp:positionV>
            <wp:extent cx="28257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consisted of:</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Latin America</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AMEA</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North America</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Total</w:t>
            </w:r>
          </w:p>
        </w:tc>
      </w:tr>
      <w:tr>
        <w:trPr>
          <w:trHeight w:val="196"/>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24,336</w:t>
            </w:r>
          </w:p>
        </w:tc>
      </w:tr>
      <w:tr>
        <w:trPr>
          <w:trHeight w:val="230"/>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24,226</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 of March 31, 2026</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As of December 31, 2025</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43"/>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Gross carrying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40" w:type="dxa"/>
            <w:vAlign w:val="bottom"/>
          </w:tcPr>
          <w:p>
            <w:pPr>
              <w:jc w:val="right"/>
              <w:ind w:right="97"/>
              <w:spacing w:after="0" w:line="143" w:lineRule="exact"/>
              <w:rPr>
                <w:sz w:val="20"/>
                <w:szCs w:val="20"/>
                <w:color w:val="auto"/>
              </w:rPr>
            </w:pPr>
            <w:r>
              <w:rPr>
                <w:rFonts w:ascii="Arial" w:cs="Arial" w:eastAsia="Arial" w:hAnsi="Arial"/>
                <w:sz w:val="14"/>
                <w:szCs w:val="14"/>
                <w:b w:val="1"/>
                <w:bCs w:val="1"/>
                <w:color w:val="auto"/>
              </w:rPr>
              <w:t>Net carrying</w:t>
            </w:r>
          </w:p>
        </w:tc>
      </w:tr>
      <w:tr>
        <w:trPr>
          <w:trHeight w:val="189"/>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amount</w:t>
            </w:r>
          </w:p>
        </w:tc>
      </w:tr>
      <w:tr>
        <w:trPr>
          <w:trHeight w:val="195"/>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w:t>
            </w:r>
          </w:p>
        </w:tc>
      </w:tr>
      <w:tr>
        <w:trPr>
          <w:trHeight w:val="229"/>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Definite-life intangible assets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r>
      <w:tr>
        <w:trPr>
          <w:trHeight w:val="248"/>
        </w:trPr>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22,038</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19,628</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global </w:t>
      </w:r>
      <w:r>
        <w:rPr>
          <w:rFonts w:ascii="Arial" w:cs="Arial" w:eastAsia="Arial" w:hAnsi="Arial"/>
          <w:sz w:val="18"/>
          <w:szCs w:val="18"/>
          <w:i w:val="1"/>
          <w:iCs w:val="1"/>
          <w:color w:val="auto"/>
        </w:rPr>
        <w:t xml:space="preserve">LU </w:t>
      </w:r>
      <w:r>
        <w:rPr>
          <w:rFonts w:ascii="Arial" w:cs="Arial" w:eastAsia="Arial" w:hAnsi="Arial"/>
          <w:sz w:val="18"/>
          <w:szCs w:val="18"/>
          <w:color w:val="auto"/>
        </w:rPr>
        <w:t>biscuit business of Groupe Danone S.A., Cadbury Limited and Clif Bar. Definite-life intangible assets consist primarily of customer-related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intangibles, process technology and trademarks. The weighted-average amortization period for our definite-life intangible assets is approximately 16 years, which is primarily driven by recently acquired customer-related intangibles.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for definite-life intangible assets was $27 million and $37 million for the three months ended March 31, 2026 and 2025,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Assessments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test our reporting units and indefinite-life intangible assets for impairment annually as of July 1, or more frequently if events or circumstances indicate it is more likely than not that the fair value of a reporting unit or brand is less than its carrying amount. During the first quarter of 2026, we evaluated our goodwill impairment risk and intangible asset impairment risk through an assessment of potential triggering events. We considered qualitative and quantitative information in our assessment and concluded there were no impairment indicators.</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our 2025 annual impairment test, we recognized impairment charges of $33 million related to two biscuit brands in the Europe segment, one biscuit brand in the AMEA segment and one candy brand in the Latin America segment.</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Including the four brand intangibles for which we recognized impairments in 2025, we identified five brand intangibles, as part of our annual test, for which fair value exceeded book value by less than 10%. The aggregate carrying value of those five brand intangibles was $1.5 billion as of March 31, 2026. We are closely monitoring the performance of those brands and if there are adverse changes to the related sales and earnings forecasts in the future, whether caused by business-specific or broader macroeconomic factors, one or more of those indefinite-life intangible assets could become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177165</wp:posOffset>
            </wp:positionV>
            <wp:extent cx="28257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and Borrowing Arrangements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2"/>
          </w:tcPr>
          <w:p>
            <w:pPr>
              <w:jc w:val="right"/>
              <w:ind w:right="901"/>
              <w:spacing w:after="0"/>
              <w:rPr>
                <w:sz w:val="20"/>
                <w:szCs w:val="20"/>
                <w:color w:val="auto"/>
              </w:rPr>
            </w:pPr>
            <w:r>
              <w:rPr>
                <w:rFonts w:ascii="Arial" w:cs="Arial" w:eastAsia="Arial" w:hAnsi="Arial"/>
                <w:sz w:val="14"/>
                <w:szCs w:val="14"/>
                <w:b w:val="1"/>
                <w:bCs w:val="1"/>
                <w:color w:val="auto"/>
              </w:rPr>
              <w:t>As of March 31, 2026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4"/>
                <w:szCs w:val="14"/>
                <w:b w:val="1"/>
                <w:bCs w:val="1"/>
                <w:color w:val="auto"/>
              </w:rPr>
              <w:t>As of December 31, 2025</w:t>
            </w:r>
          </w:p>
        </w:tc>
      </w:tr>
      <w:tr>
        <w:trPr>
          <w:trHeight w:val="143"/>
        </w:trPr>
        <w:tc>
          <w:tcPr>
            <w:tcW w:w="4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419"/>
              <w:spacing w:after="0" w:line="143" w:lineRule="exact"/>
              <w:rPr>
                <w:sz w:val="20"/>
                <w:szCs w:val="20"/>
                <w:color w:val="auto"/>
              </w:rPr>
            </w:pPr>
            <w:r>
              <w:rPr>
                <w:rFonts w:ascii="Arial" w:cs="Arial" w:eastAsia="Arial" w:hAnsi="Arial"/>
                <w:sz w:val="14"/>
                <w:szCs w:val="14"/>
                <w:b w:val="1"/>
                <w:bCs w:val="1"/>
                <w:color w:val="auto"/>
              </w:rPr>
              <w:t>Amount</w:t>
            </w:r>
          </w:p>
        </w:tc>
        <w:tc>
          <w:tcPr>
            <w:tcW w:w="19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2"/>
                <w:szCs w:val="12"/>
                <w:color w:val="auto"/>
              </w:rPr>
            </w:pPr>
          </w:p>
        </w:tc>
        <w:tc>
          <w:tcPr>
            <w:tcW w:w="1320" w:type="dxa"/>
            <w:vAlign w:val="bottom"/>
          </w:tcPr>
          <w:p>
            <w:pPr>
              <w:jc w:val="right"/>
              <w:ind w:right="439"/>
              <w:spacing w:after="0" w:line="143" w:lineRule="exact"/>
              <w:rPr>
                <w:sz w:val="20"/>
                <w:szCs w:val="20"/>
                <w:color w:val="auto"/>
              </w:rPr>
            </w:pPr>
            <w:r>
              <w:rPr>
                <w:rFonts w:ascii="Arial" w:cs="Arial" w:eastAsia="Arial" w:hAnsi="Arial"/>
                <w:sz w:val="14"/>
                <w:szCs w:val="14"/>
                <w:b w:val="1"/>
                <w:bCs w:val="1"/>
                <w:color w:val="auto"/>
              </w:rPr>
              <w:t>Amount</w:t>
            </w:r>
          </w:p>
        </w:tc>
        <w:tc>
          <w:tcPr>
            <w:tcW w:w="1800" w:type="dxa"/>
            <w:vAlign w:val="bottom"/>
          </w:tcPr>
          <w:p>
            <w:pPr>
              <w:jc w:val="right"/>
              <w:ind w:right="419"/>
              <w:spacing w:after="0" w:line="143" w:lineRule="exact"/>
              <w:rPr>
                <w:sz w:val="20"/>
                <w:szCs w:val="20"/>
                <w:color w:val="auto"/>
              </w:rPr>
            </w:pPr>
            <w:r>
              <w:rPr>
                <w:rFonts w:ascii="Arial" w:cs="Arial" w:eastAsia="Arial" w:hAnsi="Arial"/>
                <w:sz w:val="14"/>
                <w:szCs w:val="14"/>
                <w:b w:val="1"/>
                <w:bCs w:val="1"/>
                <w:color w:val="auto"/>
              </w:rPr>
              <w:t>Weighted-</w:t>
            </w:r>
          </w:p>
        </w:tc>
      </w:tr>
      <w:tr>
        <w:trPr>
          <w:trHeight w:val="189"/>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Outstanding</w:t>
            </w: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Average Rate</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Outstanding</w:t>
            </w: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Average Rate</w:t>
            </w:r>
          </w:p>
        </w:tc>
      </w:tr>
      <w:tr>
        <w:trPr>
          <w:trHeight w:val="195"/>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80" w:type="dxa"/>
            <w:vAlign w:val="bottom"/>
            <w:gridSpan w:val="4"/>
          </w:tcPr>
          <w:p>
            <w:pPr>
              <w:jc w:val="right"/>
              <w:ind w:right="419"/>
              <w:spacing w:after="0"/>
              <w:rPr>
                <w:sz w:val="20"/>
                <w:szCs w:val="20"/>
                <w:color w:val="auto"/>
              </w:rPr>
            </w:pPr>
            <w:r>
              <w:rPr>
                <w:rFonts w:ascii="Arial" w:cs="Arial" w:eastAsia="Arial" w:hAnsi="Arial"/>
                <w:sz w:val="14"/>
                <w:szCs w:val="14"/>
                <w:b w:val="1"/>
                <w:bCs w:val="1"/>
                <w:color w:val="auto"/>
              </w:rPr>
              <w:t>(in millions, except percentages)</w:t>
            </w:r>
          </w:p>
        </w:tc>
        <w:tc>
          <w:tcPr>
            <w:tcW w:w="1800" w:type="dxa"/>
            <w:vAlign w:val="bottom"/>
          </w:tcPr>
          <w:p>
            <w:pPr>
              <w:spacing w:after="0"/>
              <w:rPr>
                <w:sz w:val="16"/>
                <w:szCs w:val="16"/>
                <w:color w:val="auto"/>
              </w:rPr>
            </w:pPr>
          </w:p>
        </w:tc>
      </w:tr>
      <w:tr>
        <w:trPr>
          <w:trHeight w:val="231"/>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7.7 %</w:t>
            </w:r>
          </w:p>
        </w:tc>
      </w:tr>
      <w:tr>
        <w:trPr>
          <w:trHeight w:val="248"/>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short-term borrowings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and committed credit facilities available include: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4"/>
                <w:szCs w:val="14"/>
                <w:b w:val="1"/>
                <w:bCs w:val="1"/>
                <w:color w:val="auto"/>
              </w:rPr>
              <w:t>As of March 31, 2026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As of December 31, 2025</w:t>
            </w:r>
          </w:p>
        </w:tc>
      </w:tr>
      <w:tr>
        <w:trPr>
          <w:trHeight w:val="196"/>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Borrowed Amount</w:t>
            </w:r>
          </w:p>
        </w:tc>
      </w:tr>
      <w:tr>
        <w:trPr>
          <w:trHeight w:val="196"/>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4"/>
          </w:tcPr>
          <w:p>
            <w:pPr>
              <w:jc w:val="right"/>
              <w:ind w:right="1176"/>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facilities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18, 2026</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February 17, 2027</w:t>
            </w:r>
          </w:p>
        </w:tc>
        <w:tc>
          <w:tcPr>
            <w:tcW w:w="18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19, 2030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28" w:lineRule="exact"/>
        <w:rPr>
          <w:sz w:val="20"/>
          <w:szCs w:val="20"/>
          <w:color w:val="auto"/>
        </w:rPr>
      </w:pPr>
    </w:p>
    <w:p>
      <w:pPr>
        <w:ind w:left="260" w:hanging="252"/>
        <w:spacing w:after="0" w:line="285" w:lineRule="auto"/>
        <w:tabs>
          <w:tab w:leader="none" w:pos="247" w:val="left"/>
        </w:tabs>
        <w:numPr>
          <w:ilvl w:val="0"/>
          <w:numId w:val="3"/>
        </w:numPr>
        <w:rPr>
          <w:rFonts w:ascii="Arial" w:cs="Arial" w:eastAsia="Arial" w:hAnsi="Arial"/>
          <w:sz w:val="14"/>
          <w:szCs w:val="14"/>
          <w:color w:val="auto"/>
        </w:rPr>
      </w:pPr>
      <w:r>
        <w:rPr>
          <w:rFonts w:ascii="Arial" w:cs="Arial" w:eastAsia="Arial" w:hAnsi="Arial"/>
          <w:sz w:val="14"/>
          <w:szCs w:val="14"/>
          <w:color w:val="auto"/>
        </w:rPr>
        <w:t>On February 18, 2026, our $1.5 billion 364-day senior unsecured revolving credit agreement dated as of February 19, 2025 expired and we entered into a $1.5 billion 364-day senior unsecured revolving credit agreement that will expire on February 17, 2027.</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maintain senior unsecured revolving credit facilities for general corporate purposes, including working capital needs, and to support our commercial paper program. The revolving credit agreements include a covenant that we maintain a minimum shareholders' equity of at least $25.0 billion, excluding accumulated other comprehensive earnings/(losses), the cumulative effects of any changes in accounting principles and earnings/(losses) recognized in connection with any mark-to-market accounting for pensions and other retirement plans. At March 31, 2026, we complied with this covenant. The revolving credit facility also contains customary representations, covenants and events of default. There are no credit rating triggers, provisions or other financial covenants that could require us to post collateral as security.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we repaid the following notes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70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rPr>
              <w:t>3.625%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February 2026</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$222</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2025, we repaid the following notes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ind w:left="90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tcPr>
          <w:p>
            <w:pPr>
              <w:ind w:left="1080"/>
              <w:spacing w:after="0"/>
              <w:rPr>
                <w:sz w:val="20"/>
                <w:szCs w:val="20"/>
                <w:color w:val="auto"/>
              </w:rPr>
            </w:pPr>
            <w:r>
              <w:rPr>
                <w:rFonts w:ascii="Arial" w:cs="Arial" w:eastAsia="Arial" w:hAnsi="Arial"/>
                <w:sz w:val="14"/>
                <w:szCs w:val="14"/>
                <w:b w:val="1"/>
                <w:bCs w:val="1"/>
                <w:color w:val="auto"/>
              </w:rPr>
              <w:t>Amount</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70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rPr>
              <w:t>3.250%</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March 2025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C$600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$417</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and 2025, respectively, we did not complete any debt issuances.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On April 10, 2026, we issued the following notes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Principal Amount</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89"/>
        </w:trPr>
        <w:tc>
          <w:tcPr>
            <w:tcW w:w="2820" w:type="dxa"/>
            <w:vAlign w:val="bottom"/>
            <w:gridSpan w:val="2"/>
            <w:vMerge w:val="continue"/>
          </w:tcPr>
          <w:p>
            <w:pPr>
              <w:spacing w:after="0"/>
              <w:rPr>
                <w:sz w:val="16"/>
                <w:szCs w:val="16"/>
                <w:color w:val="auto"/>
              </w:rPr>
            </w:pPr>
          </w:p>
        </w:tc>
        <w:tc>
          <w:tcPr>
            <w:tcW w:w="2840" w:type="dxa"/>
            <w:vAlign w:val="bottom"/>
            <w:gridSpan w:val="2"/>
            <w:vMerge w:val="continue"/>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0.958%</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April 2029</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Fr.325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$411</w:t>
            </w:r>
          </w:p>
        </w:tc>
        <w:tc>
          <w:tcPr>
            <w:tcW w:w="0" w:type="dxa"/>
            <w:vAlign w:val="bottom"/>
          </w:tcPr>
          <w:p>
            <w:pPr>
              <w:spacing w:after="0"/>
              <w:rPr>
                <w:sz w:val="1"/>
                <w:szCs w:val="1"/>
                <w:color w:val="auto"/>
              </w:rPr>
            </w:pP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w w:val="98"/>
              </w:rPr>
              <w:t>1.271%</w:t>
            </w:r>
          </w:p>
        </w:tc>
        <w:tc>
          <w:tcPr>
            <w:tcW w:w="120" w:type="dxa"/>
            <w:vAlign w:val="bottom"/>
          </w:tcPr>
          <w:p>
            <w:pPr>
              <w:spacing w:after="0"/>
              <w:rPr>
                <w:sz w:val="19"/>
                <w:szCs w:val="19"/>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2032</w:t>
            </w: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Fr.245</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$309</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1.625%</w:t>
            </w:r>
          </w:p>
        </w:tc>
        <w:tc>
          <w:tcPr>
            <w:tcW w:w="1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2036</w:t>
            </w:r>
          </w:p>
        </w:tc>
        <w:tc>
          <w:tcPr>
            <w:tcW w:w="2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Fr.280</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394335</wp:posOffset>
            </wp:positionV>
            <wp:extent cx="28257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fair value of our short-term borrowings reflects current market interest rates and approximates the amounts we have recorded on our condensed consolidated balance sheets. The fair value of our long-term debt, excluding finance lease obligations, was determined using quoted prices in active markets (Level 1 valuation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As of March 31, 2026</w:t>
            </w: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2025</w:t>
            </w:r>
          </w:p>
        </w:tc>
      </w:tr>
      <w:tr>
        <w:trPr>
          <w:trHeight w:val="196"/>
        </w:trPr>
        <w:tc>
          <w:tcPr>
            <w:tcW w:w="7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19,220</w:t>
            </w:r>
          </w:p>
        </w:tc>
        <w:tc>
          <w:tcPr>
            <w:tcW w:w="8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19,553</w:t>
            </w:r>
          </w:p>
        </w:tc>
      </w:tr>
      <w:tr>
        <w:trPr>
          <w:trHeight w:val="239"/>
        </w:trPr>
        <w:tc>
          <w:tcPr>
            <w:tcW w:w="746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9"/>
              <w:spacing w:after="0"/>
              <w:rPr>
                <w:sz w:val="20"/>
                <w:szCs w:val="20"/>
                <w:color w:val="auto"/>
              </w:rPr>
            </w:pPr>
            <w:r>
              <w:rPr>
                <w:rFonts w:ascii="Arial" w:cs="Arial" w:eastAsia="Arial" w:hAnsi="Arial"/>
                <w:sz w:val="18"/>
                <w:szCs w:val="18"/>
                <w:color w:val="auto"/>
              </w:rPr>
              <w:t>21,024</w:t>
            </w:r>
          </w:p>
        </w:tc>
        <w:tc>
          <w:tcPr>
            <w:tcW w:w="860" w:type="dxa"/>
            <w:vAlign w:val="bottom"/>
          </w:tcPr>
          <w:p>
            <w:pPr>
              <w:jc w:val="right"/>
              <w:ind w:right="576"/>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21,205</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consisted of:</w:t>
      </w:r>
    </w:p>
    <w:p>
      <w:pPr>
        <w:spacing w:after="0" w:line="122"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For the Three Months Ended</w:t>
      </w:r>
    </w:p>
    <w:p>
      <w:pPr>
        <w:spacing w:after="0" w:line="2"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2025</w:t>
            </w:r>
          </w:p>
        </w:tc>
      </w:tr>
      <w:tr>
        <w:trPr>
          <w:trHeight w:val="195"/>
        </w:trPr>
        <w:tc>
          <w:tcPr>
            <w:tcW w:w="7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gridSpan w:val="3"/>
          </w:tcPr>
          <w:p>
            <w:pPr>
              <w:ind w:left="22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6"/>
                <w:szCs w:val="16"/>
                <w:color w:val="auto"/>
              </w:rPr>
            </w:pPr>
          </w:p>
        </w:tc>
      </w:tr>
      <w:tr>
        <w:trPr>
          <w:trHeight w:val="231"/>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1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7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and other expense, net</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Other (income)/expense, net includes amortization of amounts excluded from our assessment of hedge effectiveness related to our net investment hedge derivative contracts, foreign currency transaction gains and losses on certain foreign currency denominated assets and liabilities, gains and losses on certain foreign currency derivative contracts, interest income and other non-operating items. Refer to Note 6,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for additional information about our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171450</wp:posOffset>
            </wp:positionV>
            <wp:extent cx="28257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and corresponding hedge type were recorded at fair value in the condensed consolidated balance sheets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As of March 31, 2026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As of December 31, 2025</w:t>
            </w:r>
          </w:p>
        </w:tc>
      </w:tr>
      <w:tr>
        <w:trPr>
          <w:trHeight w:val="143"/>
        </w:trPr>
        <w:tc>
          <w:tcPr>
            <w:tcW w:w="3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9"/>
              </w:rPr>
              <w:t>Asset</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2"/>
                <w:szCs w:val="12"/>
                <w:color w:val="auto"/>
              </w:rPr>
            </w:pPr>
          </w:p>
        </w:tc>
        <w:tc>
          <w:tcPr>
            <w:tcW w:w="1200" w:type="dxa"/>
            <w:vAlign w:val="bottom"/>
          </w:tcPr>
          <w:p>
            <w:pPr>
              <w:jc w:val="right"/>
              <w:ind w:right="353"/>
              <w:spacing w:after="0" w:line="143" w:lineRule="exact"/>
              <w:rPr>
                <w:sz w:val="20"/>
                <w:szCs w:val="20"/>
                <w:color w:val="auto"/>
              </w:rPr>
            </w:pPr>
            <w:r>
              <w:rPr>
                <w:rFonts w:ascii="Arial" w:cs="Arial" w:eastAsia="Arial" w:hAnsi="Arial"/>
                <w:sz w:val="14"/>
                <w:szCs w:val="14"/>
                <w:b w:val="1"/>
                <w:bCs w:val="1"/>
                <w:color w:val="auto"/>
              </w:rPr>
              <w:t>Liability</w:t>
            </w:r>
          </w:p>
        </w:tc>
      </w:tr>
      <w:tr>
        <w:trPr>
          <w:trHeight w:val="189"/>
        </w:trPr>
        <w:tc>
          <w:tcPr>
            <w:tcW w:w="3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Derivatives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Derivatives</w:t>
            </w:r>
          </w:p>
        </w:tc>
      </w:tr>
      <w:tr>
        <w:trPr>
          <w:trHeight w:val="196"/>
        </w:trPr>
        <w:tc>
          <w:tcPr>
            <w:tcW w:w="3160" w:type="dxa"/>
            <w:vAlign w:val="bottom"/>
          </w:tcPr>
          <w:p>
            <w:pPr>
              <w:spacing w:after="0"/>
              <w:rPr>
                <w:sz w:val="17"/>
                <w:szCs w:val="17"/>
                <w:color w:val="auto"/>
              </w:rPr>
            </w:pPr>
          </w:p>
        </w:tc>
        <w:tc>
          <w:tcPr>
            <w:tcW w:w="2040" w:type="dxa"/>
            <w:vAlign w:val="bottom"/>
          </w:tcPr>
          <w:p>
            <w:pPr>
              <w:jc w:val="center"/>
              <w:ind w:left="215"/>
              <w:spacing w:after="0" w:line="196" w:lineRule="exact"/>
              <w:rPr>
                <w:sz w:val="20"/>
                <w:szCs w:val="20"/>
                <w:color w:val="auto"/>
              </w:rPr>
            </w:pPr>
            <w:r>
              <w:rPr>
                <w:rFonts w:ascii="Arial" w:cs="Arial" w:eastAsia="Arial" w:hAnsi="Arial"/>
                <w:sz w:val="14"/>
                <w:szCs w:val="14"/>
                <w:b w:val="1"/>
                <w:bCs w:val="1"/>
                <w:color w:val="auto"/>
                <w:w w:val="99"/>
              </w:rPr>
              <w:t xml:space="preserve">Type of Hedge </w:t>
            </w:r>
            <w:r>
              <w:rPr>
                <w:rFonts w:ascii="Arial" w:cs="Arial" w:eastAsia="Arial" w:hAnsi="Arial"/>
                <w:sz w:val="18"/>
                <w:szCs w:val="18"/>
                <w:b w:val="1"/>
                <w:bCs w:val="1"/>
                <w:color w:val="auto"/>
                <w:w w:val="99"/>
                <w:vertAlign w:val="superscript"/>
              </w:rPr>
              <w:t>(1)</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316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b w:val="1"/>
                <w:bCs w:val="1"/>
                <w:color w:val="auto"/>
              </w:rPr>
              <w:t xml:space="preserve">accounting hedges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2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2040" w:type="dxa"/>
            <w:vAlign w:val="bottom"/>
          </w:tcPr>
          <w:p>
            <w:pPr>
              <w:jc w:val="center"/>
              <w:ind w:left="215"/>
              <w:spacing w:after="0"/>
              <w:rPr>
                <w:sz w:val="20"/>
                <w:szCs w:val="20"/>
                <w:color w:val="auto"/>
              </w:rPr>
            </w:pPr>
            <w:r>
              <w:rPr>
                <w:rFonts w:ascii="Arial" w:cs="Arial" w:eastAsia="Arial" w:hAnsi="Arial"/>
                <w:sz w:val="18"/>
                <w:szCs w:val="18"/>
                <w:color w:val="auto"/>
                <w:w w:val="96"/>
              </w:rPr>
              <w:t>NIH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4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99"/>
              </w:rPr>
              <w:t>CF/FV</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Cross-currency swap contracts</w:t>
            </w:r>
          </w:p>
        </w:tc>
        <w:tc>
          <w:tcPr>
            <w:tcW w:w="2040" w:type="dxa"/>
            <w:vAlign w:val="bottom"/>
            <w:tcBorders>
              <w:bottom w:val="single" w:sz="8" w:color="CCEEFF"/>
            </w:tcBorders>
          </w:tcPr>
          <w:p>
            <w:pPr>
              <w:jc w:val="center"/>
              <w:ind w:left="235"/>
              <w:spacing w:after="0"/>
              <w:rPr>
                <w:sz w:val="20"/>
                <w:szCs w:val="20"/>
                <w:color w:val="auto"/>
              </w:rPr>
            </w:pPr>
            <w:r>
              <w:rPr>
                <w:rFonts w:ascii="Arial" w:cs="Arial" w:eastAsia="Arial" w:hAnsi="Arial"/>
                <w:sz w:val="18"/>
                <w:szCs w:val="18"/>
                <w:color w:val="auto"/>
                <w:w w:val="99"/>
              </w:rPr>
              <w:t>CF/NIH</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23"/>
        </w:trPr>
        <w:tc>
          <w:tcPr>
            <w:tcW w:w="31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156"/>
        </w:trPr>
        <w:tc>
          <w:tcPr>
            <w:tcW w:w="31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31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w:t>
            </w:r>
          </w:p>
        </w:tc>
      </w:tr>
      <w:tr>
        <w:trPr>
          <w:trHeight w:val="248"/>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fair value</w:t>
            </w:r>
          </w:p>
        </w:tc>
        <w:tc>
          <w:tcPr>
            <w:tcW w:w="2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Derivative contracts designated as either cash flow ("CF"), fair value ("FV") or net investment hedging ("NIH") instruments.</w:t>
      </w:r>
    </w:p>
    <w:p>
      <w:pPr>
        <w:spacing w:after="0" w:line="28" w:lineRule="exact"/>
        <w:rPr>
          <w:rFonts w:ascii="Arial" w:cs="Arial" w:eastAsia="Arial" w:hAnsi="Arial"/>
          <w:sz w:val="14"/>
          <w:szCs w:val="14"/>
          <w:color w:val="auto"/>
        </w:rPr>
      </w:pPr>
    </w:p>
    <w:p>
      <w:pPr>
        <w:jc w:val="both"/>
        <w:ind w:left="340" w:hanging="332"/>
        <w:spacing w:after="0" w:line="269"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We designate some of our non-U.S. dollar denominated debt to hedge a portion of our net investments in our non-U.S. operations. This debt is not reflected in the table above, but is included in long-term debt discussed in Note 5,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Non-U.S. dollar denominated debt designated as net investment hedges is also disclosed in the </w:t>
      </w:r>
      <w:r>
        <w:rPr>
          <w:rFonts w:ascii="Arial" w:cs="Arial" w:eastAsia="Arial" w:hAnsi="Arial"/>
          <w:sz w:val="14"/>
          <w:szCs w:val="14"/>
          <w:i w:val="1"/>
          <w:iCs w:val="1"/>
          <w:color w:val="auto"/>
        </w:rPr>
        <w:t>Notional Amounts of Derivatives and Other Hedging Instruments</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fair value of our derivative instruments in the condensed consolidated balance sheets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As of March 31, 2026</w:t>
            </w: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2025</w:t>
            </w:r>
          </w:p>
        </w:tc>
      </w:tr>
      <w:tr>
        <w:trPr>
          <w:trHeight w:val="196"/>
        </w:trPr>
        <w:tc>
          <w:tcPr>
            <w:tcW w:w="7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868</w:t>
            </w:r>
          </w:p>
        </w:tc>
        <w:tc>
          <w:tcPr>
            <w:tcW w:w="9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321</w:t>
            </w:r>
          </w:p>
        </w:tc>
        <w:tc>
          <w:tcPr>
            <w:tcW w:w="9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1,916</w:t>
            </w:r>
          </w:p>
        </w:tc>
        <w:tc>
          <w:tcPr>
            <w:tcW w:w="9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39"/>
        </w:trPr>
        <w:tc>
          <w:tcPr>
            <w:tcW w:w="74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0"/>
                <w:szCs w:val="20"/>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316</w:t>
            </w:r>
          </w:p>
        </w:tc>
        <w:tc>
          <w:tcPr>
            <w:tcW w:w="9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w:t>
            </w:r>
          </w:p>
        </w:tc>
      </w:tr>
    </w:tbl>
    <w:p>
      <w:pPr>
        <w:spacing w:after="0" w:line="3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exchange-traded commodity contracts require us to receive from or pay to a broker an amount of cash related to the daily fluctuation in value of the futures contract. Such cash collateral held or placed is known as variation margin and is recorded as other current assets and liabilities. The net asset variation margin balances for futures contracts were $318 million and $364 million as of March 31, 2026 and December 31, 2025, respectively. These balances are excluded from the table above. Our over-the-counter ("OTC") derivative transactions are governed by International Swaps and Derivatives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1095375</wp:posOffset>
            </wp:positionV>
            <wp:extent cx="28257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 of Derivative Instruments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Level 1 fair value measurements use quoted prices in active markets for identical assets or liabilities. Level 1 financial assets and liabilities consist of exchange-traded commodity futures and listed options. The fair value of these instruments is determined based on quoted market prices on commodity exchanges.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Level 2 fair value measurements use quoted prices for similar assets or liabilities in active markets, quoted prices for identical or similar assets or liabilities in markets with insufficient volume or infrequent transactions, or model-based valuations in which significant inputs are observable in the market. Level 2 financial assets and liabilities consist primarily of OTC foreign currency forwards, options and swaps; OTC commodity options; interest rate swaps; and cross-currency swaps.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foreign currency contracts, interest rate swaps, and cross-currency swaps is derived from a discounted cash flow model based on the terms of the contract and the observable market inputs such as interest rate curves and forward rates. Our calculation of the fair value of financial instruments takes into consideration the risk of nonperformance, including counterparty credit risk.</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Level 3 fair value measurements use significant unobservable inputs and include the use of judgment by management about the assumptions market participants would use in pricing the asset or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(asset/(liability)) of our derivative instruments were classified in the fair value hierarchy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As of March 31, 2026</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Quoted Prices in</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2"/>
                <w:szCs w:val="12"/>
                <w:color w:val="auto"/>
              </w:rPr>
            </w:pPr>
          </w:p>
        </w:tc>
        <w:tc>
          <w:tcPr>
            <w:tcW w:w="14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Active Markets</w:t>
            </w:r>
          </w:p>
        </w:tc>
        <w:tc>
          <w:tcPr>
            <w:tcW w:w="2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 Identical</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Fair Value of Net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Assets/(Liabilities)</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Inputs</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ind w:left="1100"/>
              <w:spacing w:after="0"/>
              <w:rPr>
                <w:sz w:val="20"/>
                <w:szCs w:val="20"/>
                <w:color w:val="auto"/>
              </w:rPr>
            </w:pPr>
            <w:r>
              <w:rPr>
                <w:rFonts w:ascii="Arial" w:cs="Arial" w:eastAsia="Arial" w:hAnsi="Arial"/>
                <w:sz w:val="18"/>
                <w:szCs w:val="18"/>
                <w:color w:val="auto"/>
                <w:w w:val="99"/>
              </w:rPr>
              <w:t>(198)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derivatives</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As of December 31, 2025</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Quoted Prices in</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2"/>
                <w:szCs w:val="12"/>
                <w:color w:val="auto"/>
              </w:rPr>
            </w:pPr>
          </w:p>
        </w:tc>
        <w:tc>
          <w:tcPr>
            <w:tcW w:w="14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Active Markets</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for Identical</w:t>
            </w:r>
          </w:p>
        </w:tc>
        <w:tc>
          <w:tcPr>
            <w:tcW w:w="200" w:type="dxa"/>
            <w:vAlign w:val="bottom"/>
          </w:tcPr>
          <w:p>
            <w:pPr>
              <w:spacing w:after="0"/>
              <w:rPr>
                <w:sz w:val="11"/>
                <w:szCs w:val="11"/>
                <w:color w:val="auto"/>
              </w:rPr>
            </w:pPr>
          </w:p>
        </w:tc>
        <w:tc>
          <w:tcPr>
            <w:tcW w:w="16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1"/>
                <w:szCs w:val="11"/>
                <w:color w:val="auto"/>
              </w:rPr>
            </w:pPr>
          </w:p>
        </w:tc>
        <w:tc>
          <w:tcPr>
            <w:tcW w:w="146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Fair Value of Net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Assets/(Liabilities)</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Inputs</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Asset/(Liability)</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ind w:left="1100"/>
              <w:spacing w:after="0"/>
              <w:rPr>
                <w:sz w:val="20"/>
                <w:szCs w:val="20"/>
                <w:color w:val="auto"/>
              </w:rPr>
            </w:pPr>
            <w:r>
              <w:rPr>
                <w:rFonts w:ascii="Arial" w:cs="Arial" w:eastAsia="Arial" w:hAnsi="Arial"/>
                <w:sz w:val="18"/>
                <w:szCs w:val="18"/>
                <w:color w:val="auto"/>
                <w:w w:val="99"/>
              </w:rPr>
              <w:t>(188)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derivatives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4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-548005</wp:posOffset>
            </wp:positionV>
            <wp:extent cx="28257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Notional Amounts of Derivatives and Other Hedging Instruments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gross notional values of our derivative instruments, as well as non-U.S. dollar debt designated as net investment hedging instruments, were: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2"/>
          </w:tcPr>
          <w:p>
            <w:pPr>
              <w:jc w:val="center"/>
              <w:ind w:left="716"/>
              <w:spacing w:after="0"/>
              <w:rPr>
                <w:sz w:val="20"/>
                <w:szCs w:val="20"/>
                <w:color w:val="auto"/>
              </w:rPr>
            </w:pPr>
            <w:r>
              <w:rPr>
                <w:rFonts w:ascii="Arial" w:cs="Arial" w:eastAsia="Arial" w:hAnsi="Arial"/>
                <w:sz w:val="14"/>
                <w:szCs w:val="14"/>
                <w:b w:val="1"/>
                <w:bCs w:val="1"/>
                <w:color w:val="auto"/>
              </w:rPr>
              <w:t>Notional Amount</w:t>
            </w:r>
          </w:p>
        </w:tc>
        <w:tc>
          <w:tcPr>
            <w:tcW w:w="960" w:type="dxa"/>
            <w:vAlign w:val="bottom"/>
            <w:tcBorders>
              <w:bottom w:val="single" w:sz="8" w:color="auto"/>
            </w:tcBorders>
          </w:tcPr>
          <w:p>
            <w:pPr>
              <w:spacing w:after="0"/>
              <w:rPr>
                <w:sz w:val="17"/>
                <w:szCs w:val="17"/>
                <w:color w:val="auto"/>
              </w:rPr>
            </w:pPr>
          </w:p>
        </w:tc>
      </w:tr>
      <w:tr>
        <w:trPr>
          <w:trHeight w:val="196"/>
        </w:trPr>
        <w:tc>
          <w:tcPr>
            <w:tcW w:w="7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As of March 31, 2026</w:t>
            </w: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2025</w:t>
            </w:r>
          </w:p>
        </w:tc>
      </w:tr>
      <w:tr>
        <w:trPr>
          <w:trHeight w:val="196"/>
        </w:trPr>
        <w:tc>
          <w:tcPr>
            <w:tcW w:w="7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2"/>
          </w:tcPr>
          <w:p>
            <w:pPr>
              <w:jc w:val="center"/>
              <w:ind w:left="716"/>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7"/>
                <w:szCs w:val="17"/>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18,220</w:t>
            </w:r>
          </w:p>
        </w:tc>
        <w:tc>
          <w:tcPr>
            <w:tcW w:w="9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19,853</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60" w:type="dxa"/>
            <w:vAlign w:val="bottom"/>
          </w:tcPr>
          <w:p>
            <w:pPr>
              <w:spacing w:after="0"/>
              <w:rPr>
                <w:sz w:val="19"/>
                <w:szCs w:val="19"/>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9,820</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14,463</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3,149</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160" w:type="dxa"/>
            <w:vAlign w:val="bottom"/>
          </w:tcPr>
          <w:p>
            <w:pPr>
              <w:spacing w:after="0"/>
              <w:rPr>
                <w:sz w:val="19"/>
                <w:szCs w:val="19"/>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9,949</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6,912</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dollar debt designated as net investment hedges: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460" w:type="dxa"/>
            <w:vAlign w:val="bottom"/>
          </w:tcPr>
          <w:p>
            <w:pPr>
              <w:ind w:left="220"/>
              <w:spacing w:after="0"/>
              <w:rPr>
                <w:sz w:val="20"/>
                <w:szCs w:val="20"/>
                <w:color w:val="auto"/>
              </w:rPr>
            </w:pPr>
            <w:r>
              <w:rPr>
                <w:rFonts w:ascii="Arial" w:cs="Arial" w:eastAsia="Arial" w:hAnsi="Arial"/>
                <w:sz w:val="18"/>
                <w:szCs w:val="18"/>
                <w:color w:val="auto"/>
              </w:rPr>
              <w:t>Euro notes</w:t>
            </w:r>
          </w:p>
        </w:tc>
        <w:tc>
          <w:tcPr>
            <w:tcW w:w="160" w:type="dxa"/>
            <w:vAlign w:val="bottom"/>
          </w:tcPr>
          <w:p>
            <w:pPr>
              <w:spacing w:after="0"/>
              <w:rPr>
                <w:sz w:val="19"/>
                <w:szCs w:val="19"/>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3,680</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3,741</w:t>
            </w:r>
          </w:p>
        </w:tc>
      </w:tr>
      <w:tr>
        <w:trPr>
          <w:trHeight w:val="229"/>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Canadian dollar notes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467</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derivative instruments designated as cash flow hedges include interest rate swaps and cross-currency swaps. As of March 31, 2026, the aggregate notional value of those derivatives was $2.1 billion.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Cash flow hedge activity, net of taxes, is recorded within accumulated other comprehensive earnings/(losses) and reclassified to earnings in the periods in which the hedged item affects earnings. Refer to Note 10, </w:t>
      </w:r>
      <w:r>
        <w:rPr>
          <w:rFonts w:ascii="Arial" w:cs="Arial" w:eastAsia="Arial" w:hAnsi="Arial"/>
          <w:sz w:val="18"/>
          <w:szCs w:val="18"/>
          <w:i w:val="1"/>
          <w:iCs w:val="1"/>
          <w:color w:val="auto"/>
        </w:rPr>
        <w:t>Accumulated Other Comprehensive Earnings/(Losses)</w:t>
      </w:r>
      <w:r>
        <w:rPr>
          <w:rFonts w:ascii="Arial" w:cs="Arial" w:eastAsia="Arial" w:hAnsi="Arial"/>
          <w:sz w:val="18"/>
          <w:szCs w:val="18"/>
          <w:color w:val="auto"/>
        </w:rPr>
        <w:t xml:space="preserve"> for additional information on current period activity. Based on current market conditions, $4 million of losses, net of taxes, included in accumulated other comprehensive earnings/(losses) from cash flow hedges as of March 31, 2026 are expected to be recognized into earnings during the next 12 months.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2026, our longest dated cash flow hedge was a cross-currency swap that hedges currency exchange risk on certain debt denominated in a different currency than the functional currency of the borrowing entity over the next 10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derivative instruments designated as fair value hedges include interest rate swaps. As of March 31, 2026, the aggregate notional value of those derivatives was $1.6 billion.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Fair value hedge pre-tax gains/(losses) recorded within interest and other expense, net were:</w:t>
      </w:r>
    </w:p>
    <w:p>
      <w:pPr>
        <w:spacing w:after="0" w:line="59"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For the Three Months Ended</w:t>
      </w:r>
    </w:p>
    <w:p>
      <w:pPr>
        <w:spacing w:after="0" w:line="2"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6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2025</w:t>
            </w:r>
          </w:p>
        </w:tc>
      </w:tr>
      <w:tr>
        <w:trPr>
          <w:trHeight w:val="195"/>
        </w:trPr>
        <w:tc>
          <w:tcPr>
            <w:tcW w:w="7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6"/>
                <w:szCs w:val="16"/>
                <w:color w:val="auto"/>
              </w:rPr>
            </w:pPr>
          </w:p>
        </w:tc>
      </w:tr>
      <w:tr>
        <w:trPr>
          <w:trHeight w:val="231"/>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1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Hedged items</w:t>
            </w:r>
          </w:p>
        </w:tc>
        <w:tc>
          <w:tcPr>
            <w:tcW w:w="1280" w:type="dxa"/>
            <w:vAlign w:val="bottom"/>
          </w:tcPr>
          <w:p>
            <w:pPr>
              <w:jc w:val="right"/>
              <w:ind w:right="10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Hedging derivatives</w:t>
            </w:r>
          </w:p>
        </w:tc>
        <w:tc>
          <w:tcPr>
            <w:tcW w:w="1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23"/>
        </w:trPr>
        <w:tc>
          <w:tcPr>
            <w:tcW w:w="7460" w:type="dxa"/>
            <w:vAlign w:val="bottom"/>
          </w:tcPr>
          <w:p>
            <w:pPr>
              <w:ind w:left="140"/>
              <w:spacing w:after="0"/>
              <w:rPr>
                <w:sz w:val="20"/>
                <w:szCs w:val="20"/>
                <w:color w:val="auto"/>
              </w:rPr>
            </w:pPr>
            <w:r>
              <w:rPr>
                <w:rFonts w:ascii="Arial" w:cs="Arial" w:eastAsia="Arial" w:hAnsi="Arial"/>
                <w:sz w:val="18"/>
                <w:szCs w:val="18"/>
                <w:color w:val="auto"/>
              </w:rPr>
              <w:t>Net impact of fair value hedges</w:t>
            </w:r>
          </w:p>
        </w:tc>
        <w:tc>
          <w:tcPr>
            <w:tcW w:w="1280" w:type="dxa"/>
            <w:vAlign w:val="bottom"/>
            <w:tcBorders>
              <w:bottom w:val="single" w:sz="8" w:color="auto"/>
            </w:tcBorders>
          </w:tcPr>
          <w:p>
            <w:pPr>
              <w:jc w:val="right"/>
              <w:ind w:right="10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r>
      <w:tr>
        <w:trPr>
          <w:trHeight w:val="21"/>
        </w:trPr>
        <w:tc>
          <w:tcPr>
            <w:tcW w:w="74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Amounts recorded in our condensed consolidated balance sheets related to hedged items in fair value hedging relationships were: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Carrying Amount of the Hedged Items</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Cumulative Fair Value Hedging Adjustments</w:t>
            </w:r>
          </w:p>
        </w:tc>
        <w:tc>
          <w:tcPr>
            <w:tcW w:w="320" w:type="dxa"/>
            <w:vAlign w:val="bottom"/>
            <w:tcBorders>
              <w:bottom w:val="single" w:sz="8" w:color="auto"/>
            </w:tcBorders>
          </w:tcPr>
          <w:p>
            <w:pPr>
              <w:spacing w:after="0"/>
              <w:rPr>
                <w:sz w:val="17"/>
                <w:szCs w:val="17"/>
                <w:color w:val="auto"/>
              </w:rPr>
            </w:pPr>
          </w:p>
        </w:tc>
      </w:tr>
      <w:tr>
        <w:trPr>
          <w:trHeight w:val="196"/>
        </w:trPr>
        <w:tc>
          <w:tcPr>
            <w:tcW w:w="3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As of March 31, 2026</w:t>
            </w:r>
          </w:p>
        </w:tc>
        <w:tc>
          <w:tcPr>
            <w:tcW w:w="21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As of December 31, 2025</w:t>
            </w:r>
          </w:p>
        </w:tc>
        <w:tc>
          <w:tcPr>
            <w:tcW w:w="17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As of March 31, 2026</w:t>
            </w:r>
          </w:p>
        </w:tc>
        <w:tc>
          <w:tcPr>
            <w:tcW w:w="1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 December 31, 2025</w:t>
            </w:r>
          </w:p>
        </w:tc>
      </w:tr>
      <w:tr>
        <w:trPr>
          <w:trHeight w:val="196"/>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40" w:type="dxa"/>
            <w:vAlign w:val="bottom"/>
            <w:gridSpan w:val="4"/>
          </w:tcPr>
          <w:p>
            <w:pPr>
              <w:jc w:val="right"/>
              <w:ind w:right="1442"/>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1,602</w:t>
            </w:r>
          </w:p>
        </w:tc>
        <w:tc>
          <w:tcPr>
            <w:tcW w:w="144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w:t>
            </w:r>
          </w:p>
        </w:tc>
        <w:tc>
          <w:tcPr>
            <w:tcW w:w="1560" w:type="dxa"/>
            <w:vAlign w:val="bottom"/>
            <w:shd w:val="clear" w:color="auto" w:fill="CCEEFF"/>
          </w:tcPr>
          <w:p>
            <w:pPr>
              <w:jc w:val="right"/>
              <w:ind w:right="12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548640</wp:posOffset>
            </wp:positionV>
            <wp:extent cx="28257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Derivative contracts designated as net investment hedges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derivative instruments designated as net investment hedges include foreign currency contracts and cross-currency swaps. As of March 31, 2026, the aggregate notional value of those derivatives was $10.1 billion.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hedge derivative contract pre-tax impacts on other comprehensive earnings/(losses) and net earnings were:</w:t>
      </w:r>
    </w:p>
    <w:p>
      <w:pPr>
        <w:spacing w:after="0" w:line="142"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For the Three Months Ended</w:t>
      </w:r>
    </w:p>
    <w:p>
      <w:pPr>
        <w:jc w:val="center"/>
        <w:ind w:left="744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2025</w:t>
            </w:r>
          </w:p>
        </w:tc>
      </w:tr>
      <w:tr>
        <w:trPr>
          <w:trHeight w:val="196"/>
        </w:trPr>
        <w:tc>
          <w:tcPr>
            <w:tcW w:w="7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7"/>
                <w:szCs w:val="17"/>
                <w:color w:val="auto"/>
              </w:rPr>
            </w:pPr>
          </w:p>
        </w:tc>
      </w:tr>
      <w:tr>
        <w:trPr>
          <w:trHeight w:val="230"/>
        </w:trPr>
        <w:tc>
          <w:tcPr>
            <w:tcW w:w="746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b w:val="1"/>
                <w:bCs w:val="1"/>
                <w:color w:val="auto"/>
              </w:rPr>
              <w:t xml:space="preserve">Gain/(loss) on NIH contracts </w:t>
            </w:r>
            <w:r>
              <w:rPr>
                <w:rFonts w:ascii="Arial" w:cs="Arial" w:eastAsia="Arial" w:hAnsi="Arial"/>
                <w:sz w:val="23"/>
                <w:szCs w:val="23"/>
                <w:b w:val="1"/>
                <w:bCs w:val="1"/>
                <w:color w:val="auto"/>
                <w:vertAlign w:val="superscript"/>
              </w:rPr>
              <w:t>(1)</w:t>
            </w:r>
          </w:p>
        </w:tc>
        <w:tc>
          <w:tcPr>
            <w:tcW w:w="12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260" w:type="dxa"/>
            <w:vAlign w:val="bottom"/>
          </w:tcPr>
          <w:p>
            <w:pPr>
              <w:jc w:val="right"/>
              <w:ind w:right="105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swap contracts</w:t>
            </w:r>
          </w:p>
        </w:tc>
        <w:tc>
          <w:tcPr>
            <w:tcW w:w="1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7460" w:type="dxa"/>
            <w:vAlign w:val="bottom"/>
          </w:tcPr>
          <w:p>
            <w:pPr>
              <w:ind w:left="2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jc w:val="right"/>
              <w:ind w:right="105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7" w:lineRule="exact"/>
              <w:rPr>
                <w:sz w:val="20"/>
                <w:szCs w:val="20"/>
                <w:color w:val="auto"/>
              </w:rPr>
            </w:pPr>
            <w:r>
              <w:rPr>
                <w:rFonts w:ascii="Arial" w:cs="Arial" w:eastAsia="Arial" w:hAnsi="Arial"/>
                <w:sz w:val="17"/>
                <w:szCs w:val="17"/>
                <w:b w:val="1"/>
                <w:bCs w:val="1"/>
                <w:color w:val="auto"/>
              </w:rPr>
              <w:t xml:space="preserve">Amounts excluded from the assessment of hedge effectiveness </w:t>
            </w:r>
            <w:r>
              <w:rPr>
                <w:rFonts w:ascii="Arial" w:cs="Arial" w:eastAsia="Arial" w:hAnsi="Arial"/>
                <w:sz w:val="22"/>
                <w:szCs w:val="22"/>
                <w:b w:val="1"/>
                <w:bCs w:val="1"/>
                <w:color w:val="auto"/>
                <w:vertAlign w:val="superscript"/>
              </w:rPr>
              <w:t>(2)</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260" w:type="dxa"/>
            <w:vAlign w:val="bottom"/>
          </w:tcPr>
          <w:p>
            <w:pPr>
              <w:jc w:val="right"/>
              <w:ind w:right="105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swap contracts</w:t>
            </w:r>
          </w:p>
        </w:tc>
        <w:tc>
          <w:tcPr>
            <w:tcW w:w="1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7460" w:type="dxa"/>
            <w:vAlign w:val="bottom"/>
          </w:tcPr>
          <w:p>
            <w:pPr>
              <w:ind w:left="2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jc w:val="right"/>
              <w:ind w:right="105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7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hanging="332"/>
        <w:spacing w:after="0" w:line="272"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within the cumulative translation adjustment section of other comprehensive earnings/(losses).</w:t>
      </w:r>
    </w:p>
    <w:p>
      <w:pPr>
        <w:spacing w:after="0" w:line="182" w:lineRule="exact"/>
        <w:rPr>
          <w:rFonts w:ascii="Arial" w:cs="Arial" w:eastAsia="Arial" w:hAnsi="Arial"/>
          <w:sz w:val="14"/>
          <w:szCs w:val="14"/>
          <w:color w:val="auto"/>
        </w:rPr>
      </w:pPr>
    </w:p>
    <w:p>
      <w:pPr>
        <w:ind w:left="340" w:right="20" w:hanging="332"/>
        <w:spacing w:after="0" w:line="284"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assess the effectiveness of NIH relationships based on spot rates and amortize the initial value attributable to the excluded component to earnings over the life of the hedging instrument within interest and other expense,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Non-U.S. dollar debt designated as net investment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related to non-U.S. dollar debt designated as hedges of net investments in international operations, which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recorded within the cumulative translation adjustment section of other comprehensive earnings/(losses), were:</w:t>
      </w:r>
    </w:p>
    <w:p>
      <w:pPr>
        <w:spacing w:after="0" w:line="4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For the Three Months Ended</w:t>
      </w:r>
    </w:p>
    <w:p>
      <w:pPr>
        <w:spacing w:after="0" w:line="2"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6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2025</w:t>
            </w:r>
          </w:p>
        </w:tc>
      </w:tr>
      <w:tr>
        <w:trPr>
          <w:trHeight w:val="195"/>
        </w:trPr>
        <w:tc>
          <w:tcPr>
            <w:tcW w:w="7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6"/>
                <w:szCs w:val="16"/>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Swiss franc notes</w:t>
            </w:r>
          </w:p>
        </w:tc>
        <w:tc>
          <w:tcPr>
            <w:tcW w:w="12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Canadian dollar notes</w:t>
            </w:r>
          </w:p>
        </w:tc>
        <w:tc>
          <w:tcPr>
            <w:tcW w:w="1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60" w:type="dxa"/>
            <w:vAlign w:val="bottom"/>
          </w:tcPr>
          <w:p>
            <w:pPr>
              <w:ind w:left="14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ind w:right="10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74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2708910</wp:posOffset>
            </wp:positionV>
            <wp:extent cx="28257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ind w:right="5300"/>
        <w:spacing w:after="0" w:line="278" w:lineRule="auto"/>
        <w:rPr>
          <w:sz w:val="20"/>
          <w:szCs w:val="20"/>
          <w:color w:val="auto"/>
        </w:rPr>
      </w:pPr>
      <w:r>
        <w:rPr>
          <w:rFonts w:ascii="Arial" w:cs="Arial" w:eastAsia="Arial" w:hAnsi="Arial"/>
          <w:sz w:val="18"/>
          <w:szCs w:val="18"/>
          <w:i w:val="1"/>
          <w:iCs w:val="1"/>
          <w:color w:val="auto"/>
        </w:rPr>
        <w:t xml:space="preserve">Derivatives Not Designated as Accounting Hedges </w:t>
      </w:r>
      <w:r>
        <w:rPr>
          <w:rFonts w:ascii="Arial" w:cs="Arial" w:eastAsia="Arial" w:hAnsi="Arial"/>
          <w:sz w:val="18"/>
          <w:szCs w:val="18"/>
          <w:color w:val="auto"/>
        </w:rPr>
        <w:t>Pre-tax gains/(losses) recorded in net earnings for economic hedges were:</w:t>
      </w:r>
    </w:p>
    <w:p>
      <w:pPr>
        <w:spacing w:after="0" w:line="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For the Three Months Ended</w:t>
      </w:r>
    </w:p>
    <w:p>
      <w:pPr>
        <w:spacing w:after="0" w:line="2"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2025</w:t>
            </w:r>
          </w:p>
        </w:tc>
      </w:tr>
      <w:tr>
        <w:trPr>
          <w:trHeight w:val="195"/>
        </w:trPr>
        <w:tc>
          <w:tcPr>
            <w:tcW w:w="7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6"/>
                <w:szCs w:val="16"/>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746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other expense, net</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Commodity contracts - Cost of sales</w:t>
            </w:r>
          </w:p>
        </w:tc>
        <w:tc>
          <w:tcPr>
            <w:tcW w:w="1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 - Interest and other expense, net</w:t>
            </w:r>
          </w:p>
        </w:tc>
        <w:tc>
          <w:tcPr>
            <w:tcW w:w="1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60" w:type="dxa"/>
            <w:vAlign w:val="bottom"/>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r>
      <w:tr>
        <w:trPr>
          <w:trHeight w:val="21"/>
        </w:trPr>
        <w:tc>
          <w:tcPr>
            <w:tcW w:w="7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Contingent Consideration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Contingent consideration liabilities, which reflect earn-out arrangements from business combinations, are recorded at fair value each period, with changes in fair value reported in earnings. The fair values of our contingent consideration liabilities were $143 million and $149 million as of March 31, 2026 and December 31, 2025, respectively. Contingent consideration liabilities are primarily recorded in other liabilities in the condensed consolidated balance sheets and changes in their fair values are primarily recorded in selling, general and administrative expenses in the condensed consolidated statements of earnings.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estimated fair values of our contingent consideration liabilities were primarily determined using Monte Carlo simulations. Significant assumptions used in assessing the fair value of the liabilities include financial projections for net revenue, gross profit and EBITDA, as well as discount and volatility rates. Fair value measurements of contingent consideration liabilities are classified as Level 3 in the fair value hierarchy because they use significant unobservable inputs.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Contingent consideration liabilities include an earn-out arrangement related to the acquisition of Clif Bar &amp; Company (“Clif Bar”) in 2022. The possible payments under that arrangement range from zero to a maximum total of $2.4 billion, with higher payouts requiring the achievement of targets that generate rates of returns in excess of our base financial projections for the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contingent consideration liability activity:</w:t>
      </w:r>
    </w:p>
    <w:p>
      <w:pPr>
        <w:spacing w:after="0" w:line="30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For the Three Months Ended</w:t>
      </w:r>
    </w:p>
    <w:p>
      <w:pPr>
        <w:spacing w:after="0" w:line="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at beginning of period</w:t>
            </w:r>
          </w:p>
        </w:tc>
        <w:tc>
          <w:tcPr>
            <w:tcW w:w="4720" w:type="dxa"/>
            <w:vAlign w:val="bottom"/>
            <w:gridSpan w:val="2"/>
            <w:shd w:val="clear" w:color="auto" w:fill="CCEEFF"/>
          </w:tcPr>
          <w:p>
            <w:pPr>
              <w:jc w:val="right"/>
              <w:ind w:right="10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3960" w:type="dxa"/>
            <w:vAlign w:val="bottom"/>
          </w:tcPr>
          <w:p>
            <w:pPr>
              <w:ind w:left="140"/>
              <w:spacing w:after="0"/>
              <w:rPr>
                <w:sz w:val="20"/>
                <w:szCs w:val="20"/>
                <w:color w:val="auto"/>
              </w:rPr>
            </w:pPr>
            <w:r>
              <w:rPr>
                <w:rFonts w:ascii="Arial" w:cs="Arial" w:eastAsia="Arial" w:hAnsi="Arial"/>
                <w:sz w:val="18"/>
                <w:szCs w:val="18"/>
                <w:color w:val="auto"/>
              </w:rPr>
              <w:t>Changes in fair value</w:t>
            </w:r>
          </w:p>
        </w:tc>
        <w:tc>
          <w:tcPr>
            <w:tcW w:w="3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34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Liability at end of period</w:t>
            </w:r>
          </w:p>
        </w:tc>
        <w:tc>
          <w:tcPr>
            <w:tcW w:w="3420" w:type="dxa"/>
            <w:vAlign w:val="bottom"/>
          </w:tcPr>
          <w:p>
            <w:pPr>
              <w:spacing w:after="0"/>
              <w:rPr>
                <w:sz w:val="19"/>
                <w:szCs w:val="19"/>
                <w:color w:val="auto"/>
              </w:rPr>
            </w:pPr>
          </w:p>
        </w:tc>
        <w:tc>
          <w:tcPr>
            <w:tcW w:w="1300" w:type="dxa"/>
            <w:vAlign w:val="bottom"/>
            <w:tcBorders>
              <w:bottom w:val="single" w:sz="8" w:color="auto"/>
            </w:tcBorders>
          </w:tcPr>
          <w:p>
            <w:pPr>
              <w:jc w:val="right"/>
              <w:ind w:right="10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420" w:type="dxa"/>
            <w:vAlign w:val="bottom"/>
            <w:vMerge w:val="restart"/>
          </w:tcPr>
          <w:p>
            <w:pPr>
              <w:jc w:val="right"/>
              <w:ind w:right="1570"/>
              <w:spacing w:after="0"/>
              <w:rPr>
                <w:sz w:val="20"/>
                <w:szCs w:val="20"/>
                <w:color w:val="auto"/>
              </w:rPr>
            </w:pPr>
            <w:r>
              <w:rPr>
                <w:rFonts w:ascii="Arial" w:cs="Arial" w:eastAsia="Arial" w:hAnsi="Arial"/>
                <w:sz w:val="18"/>
                <w:szCs w:val="18"/>
                <w:color w:val="auto"/>
              </w:rPr>
              <w:t>16</w:t>
            </w: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7"/>
        </w:trPr>
        <w:tc>
          <w:tcPr>
            <w:tcW w:w="39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9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-548005</wp:posOffset>
            </wp:positionV>
            <wp:extent cx="28257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(Benefit)/Cost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(benefit)/cost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ind w:right="596"/>
              <w:spacing w:after="0"/>
              <w:rPr>
                <w:sz w:val="20"/>
                <w:szCs w:val="20"/>
                <w:color w:val="auto"/>
              </w:rPr>
            </w:pPr>
            <w:r>
              <w:rPr>
                <w:rFonts w:ascii="Arial" w:cs="Arial" w:eastAsia="Arial" w:hAnsi="Arial"/>
                <w:sz w:val="14"/>
                <w:szCs w:val="14"/>
                <w:b w:val="1"/>
                <w:bCs w:val="1"/>
                <w:color w:val="auto"/>
              </w:rPr>
              <w:t>U.S. Plans</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Non-U.S. Plans</w:t>
            </w:r>
          </w:p>
        </w:tc>
        <w:tc>
          <w:tcPr>
            <w:tcW w:w="540" w:type="dxa"/>
            <w:vAlign w:val="bottom"/>
            <w:tcBorders>
              <w:bottom w:val="single" w:sz="8" w:color="auto"/>
            </w:tcBorders>
          </w:tcPr>
          <w:p>
            <w:pPr>
              <w:spacing w:after="0"/>
              <w:rPr>
                <w:sz w:val="17"/>
                <w:szCs w:val="17"/>
                <w:color w:val="auto"/>
              </w:rPr>
            </w:pPr>
          </w:p>
        </w:tc>
      </w:tr>
      <w:tr>
        <w:trPr>
          <w:trHeight w:val="143"/>
        </w:trPr>
        <w:tc>
          <w:tcPr>
            <w:tcW w:w="4440" w:type="dxa"/>
            <w:vAlign w:val="bottom"/>
          </w:tcPr>
          <w:p>
            <w:pPr>
              <w:spacing w:after="0"/>
              <w:rPr>
                <w:sz w:val="12"/>
                <w:szCs w:val="12"/>
                <w:color w:val="auto"/>
              </w:rPr>
            </w:pPr>
          </w:p>
        </w:tc>
        <w:tc>
          <w:tcPr>
            <w:tcW w:w="2900" w:type="dxa"/>
            <w:vAlign w:val="bottom"/>
            <w:gridSpan w:val="4"/>
          </w:tcPr>
          <w:p>
            <w:pPr>
              <w:jc w:val="center"/>
              <w:ind w:left="459"/>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4"/>
          </w:tcPr>
          <w:p>
            <w:pPr>
              <w:jc w:val="center"/>
              <w:ind w:left="439"/>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2"/>
                <w:szCs w:val="12"/>
                <w:color w:val="auto"/>
              </w:rPr>
            </w:pPr>
          </w:p>
        </w:tc>
      </w:tr>
      <w:tr>
        <w:trPr>
          <w:trHeight w:val="189"/>
        </w:trPr>
        <w:tc>
          <w:tcPr>
            <w:tcW w:w="44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596"/>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r>
      <w:tr>
        <w:trPr>
          <w:trHeight w:val="195"/>
        </w:trPr>
        <w:tc>
          <w:tcPr>
            <w:tcW w:w="4440" w:type="dxa"/>
            <w:vAlign w:val="bottom"/>
          </w:tcPr>
          <w:p>
            <w:pPr>
              <w:spacing w:after="0"/>
              <w:rPr>
                <w:sz w:val="16"/>
                <w:szCs w:val="16"/>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r>
      <w:tr>
        <w:trPr>
          <w:trHeight w:val="196"/>
        </w:trPr>
        <w:tc>
          <w:tcPr>
            <w:tcW w:w="4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6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1"/>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19"/>
                <w:szCs w:val="19"/>
                <w:color w:val="auto"/>
              </w:rPr>
            </w:pPr>
          </w:p>
        </w:tc>
        <w:tc>
          <w:tcPr>
            <w:tcW w:w="560" w:type="dxa"/>
            <w:vAlign w:val="bottom"/>
          </w:tcPr>
          <w:p>
            <w:pPr>
              <w:jc w:val="center"/>
              <w:ind w:left="215"/>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Amortization of net loss and prior service cost</w:t>
            </w:r>
          </w:p>
        </w:tc>
        <w:tc>
          <w:tcPr>
            <w:tcW w:w="1200" w:type="dxa"/>
            <w:vAlign w:val="bottom"/>
          </w:tcPr>
          <w:p>
            <w:pPr>
              <w:spacing w:after="0"/>
              <w:rPr>
                <w:sz w:val="19"/>
                <w:szCs w:val="19"/>
                <w:color w:val="auto"/>
              </w:rPr>
            </w:pPr>
          </w:p>
        </w:tc>
        <w:tc>
          <w:tcPr>
            <w:tcW w:w="560" w:type="dxa"/>
            <w:vAlign w:val="bottom"/>
          </w:tcPr>
          <w:p>
            <w:pPr>
              <w:jc w:val="center"/>
              <w:ind w:left="215"/>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(gains)/losses</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ind w:left="120"/>
              <w:spacing w:after="0"/>
              <w:rPr>
                <w:sz w:val="20"/>
                <w:szCs w:val="20"/>
                <w:color w:val="auto"/>
              </w:rPr>
            </w:pPr>
            <w:r>
              <w:rPr>
                <w:rFonts w:ascii="Arial" w:cs="Arial" w:eastAsia="Arial" w:hAnsi="Arial"/>
                <w:sz w:val="18"/>
                <w:szCs w:val="18"/>
                <w:color w:val="auto"/>
              </w:rPr>
              <w:t>Net periodic pension (benefit)/cost</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center"/>
              <w:ind w:left="175"/>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three months ended March 31, 2026, we contributed $2 million and $30 million to our U.S. and non-U.S. pension plans, respectively.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2026, we plan to make no further contributions to our U.S. plans and further contributions of approximately $47 million to our non-U.S. plans for the remainder of 2026. However, our actual contributions may be different due to many factors, including changes in tax and other benefit laws, significant differences between expected and actual pension asset performance or changes in interest rates.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11, 2019, we received a withdrawal liability assessment from the Bakery and Confectionery Union and the Industry International Pension Fund requiring pro-rata monthly payments over 20 years and we recorded a discounted liability of $491 million at that time. In connection with the discounted long-term liability, we recorded accreted interest of $2 million for both the three months ended March 31, 2026 and 2025 within interest and other expense, net in the condensed consolidated statements of earnings. As of March 31, 2026, the remaining discounted withdrawal liability was $289 million, with $16 million recorded in other current liabilities and $273 million recorded in other liabilities in the condensed consolidated balance sheets.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and Postemployment Benefit Plans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Net periodic postretirement benefit was $5 million and $3 million for the three months ended March 31, 2026 and 2025, respectively. Net periodic postemployment cost was $4 million and $5 million for the three months ended March 31,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163830</wp:posOffset>
            </wp:positionV>
            <wp:extent cx="28257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(the "District Court") related to the trading of December 2011 wheat futures contracts that occurred prior to the spin-off of Kraft Foods Group. The complaint alleged that Mondelēz Global:</w:t>
      </w:r>
    </w:p>
    <w:p>
      <w:pPr>
        <w:spacing w:after="0" w:line="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manipulated or attempted to manipulate the wheat markets during the fall of 2011; (2) violated position limit levels for wheat futures; and</w:t>
      </w:r>
    </w:p>
    <w:p>
      <w:pPr>
        <w:spacing w:after="0" w:line="9" w:lineRule="exact"/>
        <w:rPr>
          <w:rFonts w:ascii="Arial" w:cs="Arial" w:eastAsia="Arial" w:hAnsi="Arial"/>
          <w:sz w:val="18"/>
          <w:szCs w:val="18"/>
          <w:color w:val="auto"/>
        </w:rPr>
      </w:pPr>
    </w:p>
    <w:p>
      <w:pPr>
        <w:jc w:val="both"/>
        <w:ind w:firstLine="8"/>
        <w:spacing w:after="0" w:line="252" w:lineRule="auto"/>
        <w:tabs>
          <w:tab w:leader="none" w:pos="303"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engaged in non-competitive trades.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Mondelēz Global in the District Court by investors who copied and expanded upon the CFTC allegations in a series of private claims for monetary damages as well as injunctive, declaratory, and other unspecified relief. In June 2015, these suits were consolidated in the United States District Court for the Northern District of Illinois as case number 15-cv-2937, Harry Ploss et al. v. Kraft Foods Group, Inc. and Mondelēz Global LLC. On January 3, 2020, the District Court granted plaintiffs' request to certify a class. In November 2022, the District Court adjourned the trial date it had previously set for November 30, 2022 and ordered the parties to brief Kraft’s motions to decertify the class and for summary judgment, which has been completed. It is not possible to predict the outcome of these matters; however, based on our Separation and Distribution Agreement with Kraft Foods Group dated as of September 27, 2012, we expect to bear any monetary penalties or other payments in connection with the class action.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As of March 31, 2026 and December 31, 2025, we had no material third-party guarantees recorded on our condensed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168275</wp:posOffset>
            </wp:positionV>
            <wp:extent cx="28257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 Activity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Exercise or</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Remaining</w:t>
            </w:r>
          </w:p>
        </w:tc>
        <w:tc>
          <w:tcPr>
            <w:tcW w:w="3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Grant Price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2"/>
                <w:szCs w:val="12"/>
                <w:color w:val="auto"/>
              </w:rPr>
            </w:pPr>
          </w:p>
        </w:tc>
        <w:tc>
          <w:tcPr>
            <w:tcW w:w="980" w:type="dxa"/>
            <w:vAlign w:val="bottom"/>
          </w:tcPr>
          <w:p>
            <w:pPr>
              <w:jc w:val="center"/>
              <w:ind w:left="99"/>
              <w:spacing w:after="0" w:line="149" w:lineRule="exact"/>
              <w:rPr>
                <w:sz w:val="20"/>
                <w:szCs w:val="20"/>
                <w:color w:val="auto"/>
              </w:rPr>
            </w:pPr>
            <w:r>
              <w:rPr>
                <w:rFonts w:ascii="Arial" w:cs="Arial" w:eastAsia="Arial" w:hAnsi="Arial"/>
                <w:sz w:val="14"/>
                <w:szCs w:val="14"/>
                <w:b w:val="1"/>
                <w:bCs w:val="1"/>
                <w:color w:val="auto"/>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400" w:type="dxa"/>
            <w:vAlign w:val="bottom"/>
          </w:tcPr>
          <w:p>
            <w:pPr>
              <w:jc w:val="right"/>
              <w:ind w:right="295"/>
              <w:spacing w:after="0"/>
              <w:rPr>
                <w:sz w:val="20"/>
                <w:szCs w:val="20"/>
                <w:color w:val="auto"/>
              </w:rPr>
            </w:pPr>
            <w:r>
              <w:rPr>
                <w:rFonts w:ascii="Arial" w:cs="Arial" w:eastAsia="Arial" w:hAnsi="Arial"/>
                <w:sz w:val="14"/>
                <w:szCs w:val="14"/>
                <w:b w:val="1"/>
                <w:bCs w:val="1"/>
                <w:color w:val="auto"/>
              </w:rPr>
              <w:t>to Option</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 Share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w:t>
            </w:r>
          </w:p>
        </w:tc>
        <w:tc>
          <w:tcPr>
            <w:tcW w:w="360" w:type="dxa"/>
            <w:vAlign w:val="bottom"/>
          </w:tcPr>
          <w:p>
            <w:pPr>
              <w:spacing w:after="0"/>
              <w:rPr>
                <w:sz w:val="16"/>
                <w:szCs w:val="16"/>
                <w:color w:val="auto"/>
              </w:rPr>
            </w:pPr>
          </w:p>
        </w:tc>
        <w:tc>
          <w:tcPr>
            <w:tcW w:w="980" w:type="dxa"/>
            <w:vAlign w:val="bottom"/>
          </w:tcPr>
          <w:p>
            <w:pPr>
              <w:jc w:val="center"/>
              <w:ind w:left="119"/>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2026</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15,721,919</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$57.17</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 years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3,163,100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61.47</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Exercised </w:t>
            </w:r>
            <w:r>
              <w:rPr>
                <w:rFonts w:ascii="Arial" w:cs="Arial" w:eastAsia="Arial" w:hAnsi="Arial"/>
                <w:sz w:val="23"/>
                <w:szCs w:val="23"/>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(912,964)</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41.42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(185,349)</w:t>
            </w:r>
          </w:p>
        </w:tc>
        <w:tc>
          <w:tcPr>
            <w:tcW w:w="15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rPr>
              <w:t>60.95</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17,786,706</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58.70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6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hanging="332"/>
        <w:spacing w:after="0" w:line="305"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Cash received from options exercised was $38 million in the three months ended March 31, 2026. We recognized $1 million of excess income tax benefits from stock option exercises in the three months ended March 31, 2026.</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Units ("PSU") and Deferred Stock Units ("DSU")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PSU and DSU activity is reflected below:</w:t>
      </w:r>
    </w:p>
    <w:p>
      <w:pPr>
        <w:spacing w:after="0" w:line="272"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Number</w:t>
      </w:r>
    </w:p>
    <w:p>
      <w:pPr>
        <w:jc w:val="center"/>
        <w:ind w:left="5080"/>
        <w:spacing w:after="0"/>
        <w:rPr>
          <w:sz w:val="20"/>
          <w:szCs w:val="20"/>
          <w:color w:val="auto"/>
        </w:rPr>
      </w:pPr>
      <w:r>
        <w:rPr>
          <w:rFonts w:ascii="Arial" w:cs="Arial" w:eastAsia="Arial" w:hAnsi="Arial"/>
          <w:sz w:val="14"/>
          <w:szCs w:val="14"/>
          <w:b w:val="1"/>
          <w:bCs w:val="1"/>
          <w:color w:val="auto"/>
        </w:rPr>
        <w:t>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jc w:val="center"/>
              <w:ind w:right="428"/>
              <w:spacing w:after="0"/>
              <w:rPr>
                <w:sz w:val="20"/>
                <w:szCs w:val="20"/>
                <w:color w:val="auto"/>
              </w:rPr>
            </w:pPr>
            <w:r>
              <w:rPr>
                <w:rFonts w:ascii="Arial" w:cs="Arial" w:eastAsia="Arial" w:hAnsi="Arial"/>
                <w:sz w:val="14"/>
                <w:szCs w:val="14"/>
                <w:b w:val="1"/>
                <w:bCs w:val="1"/>
                <w:color w:val="auto"/>
              </w:rPr>
              <w:t>Weighted-Average</w:t>
            </w:r>
          </w:p>
        </w:tc>
        <w:tc>
          <w:tcPr>
            <w:tcW w:w="1740" w:type="dxa"/>
            <w:vAlign w:val="bottom"/>
          </w:tcPr>
          <w:p>
            <w:pPr>
              <w:jc w:val="center"/>
              <w:ind w:left="408"/>
              <w:spacing w:after="0"/>
              <w:rPr>
                <w:sz w:val="20"/>
                <w:szCs w:val="20"/>
                <w:color w:val="auto"/>
              </w:rPr>
            </w:pPr>
            <w:r>
              <w:rPr>
                <w:rFonts w:ascii="Arial" w:cs="Arial" w:eastAsia="Arial" w:hAnsi="Arial"/>
                <w:sz w:val="14"/>
                <w:szCs w:val="14"/>
                <w:b w:val="1"/>
                <w:bCs w:val="1"/>
                <w:color w:val="auto"/>
              </w:rPr>
              <w:t>Weighted-Average</w:t>
            </w:r>
          </w:p>
        </w:tc>
      </w:tr>
      <w:tr>
        <w:trPr>
          <w:trHeight w:val="135"/>
        </w:trPr>
        <w:tc>
          <w:tcPr>
            <w:tcW w:w="1760" w:type="dxa"/>
            <w:vAlign w:val="bottom"/>
          </w:tcPr>
          <w:p>
            <w:pPr>
              <w:jc w:val="center"/>
              <w:ind w:right="408"/>
              <w:spacing w:after="0" w:line="135" w:lineRule="exact"/>
              <w:rPr>
                <w:sz w:val="20"/>
                <w:szCs w:val="20"/>
                <w:color w:val="auto"/>
              </w:rPr>
            </w:pPr>
            <w:r>
              <w:rPr>
                <w:rFonts w:ascii="Arial" w:cs="Arial" w:eastAsia="Arial" w:hAnsi="Arial"/>
                <w:sz w:val="14"/>
                <w:szCs w:val="14"/>
                <w:b w:val="1"/>
                <w:bCs w:val="1"/>
                <w:color w:val="auto"/>
              </w:rPr>
              <w:t>Fair Value</w:t>
            </w:r>
          </w:p>
        </w:tc>
        <w:tc>
          <w:tcPr>
            <w:tcW w:w="1740" w:type="dxa"/>
            <w:vAlign w:val="bottom"/>
          </w:tcPr>
          <w:p>
            <w:pPr>
              <w:jc w:val="center"/>
              <w:ind w:left="408"/>
              <w:spacing w:after="0" w:line="135" w:lineRule="exact"/>
              <w:rPr>
                <w:sz w:val="20"/>
                <w:szCs w:val="20"/>
                <w:color w:val="auto"/>
              </w:rPr>
            </w:pPr>
            <w:r>
              <w:rPr>
                <w:rFonts w:ascii="Arial" w:cs="Arial" w:eastAsia="Arial" w:hAnsi="Arial"/>
                <w:sz w:val="14"/>
                <w:szCs w:val="14"/>
                <w:b w:val="1"/>
                <w:bCs w:val="1"/>
                <w:color w:val="auto"/>
              </w:rPr>
              <w:t>Aggregate</w:t>
            </w:r>
          </w:p>
        </w:tc>
      </w:tr>
      <w:tr>
        <w:trPr>
          <w:trHeight w:val="203"/>
        </w:trPr>
        <w:tc>
          <w:tcPr>
            <w:tcW w:w="1760" w:type="dxa"/>
            <w:vAlign w:val="bottom"/>
          </w:tcPr>
          <w:p>
            <w:pPr>
              <w:jc w:val="center"/>
              <w:ind w:right="408"/>
              <w:spacing w:after="0" w:line="203" w:lineRule="exact"/>
              <w:rPr>
                <w:sz w:val="20"/>
                <w:szCs w:val="20"/>
                <w:color w:val="auto"/>
              </w:rPr>
            </w:pPr>
            <w:r>
              <w:rPr>
                <w:rFonts w:ascii="Arial" w:cs="Arial" w:eastAsia="Arial" w:hAnsi="Arial"/>
                <w:sz w:val="14"/>
                <w:szCs w:val="14"/>
                <w:b w:val="1"/>
                <w:bCs w:val="1"/>
                <w:color w:val="auto"/>
                <w:w w:val="97"/>
              </w:rPr>
              <w:t xml:space="preserve">Per Share </w:t>
            </w:r>
            <w:r>
              <w:rPr>
                <w:rFonts w:ascii="Arial" w:cs="Arial" w:eastAsia="Arial" w:hAnsi="Arial"/>
                <w:sz w:val="21"/>
                <w:szCs w:val="21"/>
                <w:b w:val="1"/>
                <w:bCs w:val="1"/>
                <w:color w:val="auto"/>
                <w:w w:val="97"/>
                <w:vertAlign w:val="superscript"/>
              </w:rPr>
              <w:t>(3)</w:t>
            </w:r>
          </w:p>
        </w:tc>
        <w:tc>
          <w:tcPr>
            <w:tcW w:w="1740" w:type="dxa"/>
            <w:vAlign w:val="bottom"/>
          </w:tcPr>
          <w:p>
            <w:pPr>
              <w:jc w:val="center"/>
              <w:ind w:left="428"/>
              <w:spacing w:after="0"/>
              <w:rPr>
                <w:sz w:val="20"/>
                <w:szCs w:val="20"/>
                <w:color w:val="auto"/>
              </w:rPr>
            </w:pPr>
            <w:r>
              <w:rPr>
                <w:rFonts w:ascii="Arial" w:cs="Arial" w:eastAsia="Arial" w:hAnsi="Arial"/>
                <w:sz w:val="14"/>
                <w:szCs w:val="14"/>
                <w:b w:val="1"/>
                <w:bCs w:val="1"/>
                <w:color w:val="auto"/>
              </w:rPr>
              <w:t>Fair Value</w:t>
            </w:r>
          </w:p>
        </w:tc>
      </w:tr>
    </w:tbl>
    <w:p>
      <w:pPr>
        <w:spacing w:after="0" w:line="1" w:lineRule="exact"/>
        <w:rPr>
          <w:sz w:val="20"/>
          <w:szCs w:val="20"/>
          <w:color w:val="auto"/>
        </w:rPr>
      </w:pPr>
    </w:p>
    <w:p>
      <w:pPr>
        <w:sectPr>
          <w:pgSz w:w="11900" w:h="16838" w:orient="portrait"/>
          <w:cols w:equalWidth="0" w:num="2">
            <w:col w:w="6480" w:space="720"/>
            <w:col w:w="404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2026</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5,337,124</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$67.73</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Units granted:</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48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Performance share units </w:t>
            </w:r>
            <w:r>
              <w:rPr>
                <w:rFonts w:ascii="Arial" w:cs="Arial" w:eastAsia="Arial" w:hAnsi="Arial"/>
                <w:sz w:val="23"/>
                <w:szCs w:val="23"/>
                <w:color w:val="auto"/>
                <w:vertAlign w:val="superscript"/>
              </w:rPr>
              <w:t>(1)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1,080,785</w:t>
            </w:r>
          </w:p>
        </w:tc>
        <w:tc>
          <w:tcPr>
            <w:tcW w:w="20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65.43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stock units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1,897,510</w:t>
            </w:r>
          </w:p>
        </w:tc>
        <w:tc>
          <w:tcPr>
            <w:tcW w:w="20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rPr>
              <w:t>59.31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r>
      <w:tr>
        <w:trPr>
          <w:trHeight w:val="223"/>
        </w:trPr>
        <w:tc>
          <w:tcPr>
            <w:tcW w:w="48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units granted </w:t>
            </w:r>
            <w:r>
              <w:rPr>
                <w:rFonts w:ascii="Arial" w:cs="Arial" w:eastAsia="Arial" w:hAnsi="Arial"/>
                <w:sz w:val="23"/>
                <w:szCs w:val="23"/>
                <w:color w:val="auto"/>
                <w:vertAlign w:val="superscript"/>
              </w:rPr>
              <w:t>(1)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2,978,295</w:t>
            </w:r>
          </w:p>
        </w:tc>
        <w:tc>
          <w:tcPr>
            <w:tcW w:w="20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61.53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r>
      <w:tr>
        <w:trPr>
          <w:trHeight w:val="229"/>
        </w:trPr>
        <w:tc>
          <w:tcPr>
            <w:tcW w:w="48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 (2)</w:t>
            </w:r>
          </w:p>
        </w:tc>
        <w:tc>
          <w:tcPr>
            <w:tcW w:w="1960" w:type="dxa"/>
            <w:vAlign w:val="bottom"/>
          </w:tcPr>
          <w:p>
            <w:pPr>
              <w:jc w:val="right"/>
              <w:spacing w:after="0"/>
              <w:rPr>
                <w:sz w:val="20"/>
                <w:szCs w:val="20"/>
                <w:color w:val="auto"/>
              </w:rPr>
            </w:pPr>
            <w:r>
              <w:rPr>
                <w:rFonts w:ascii="Arial" w:cs="Arial" w:eastAsia="Arial" w:hAnsi="Arial"/>
                <w:sz w:val="18"/>
                <w:szCs w:val="18"/>
                <w:color w:val="auto"/>
              </w:rPr>
              <w:t>(1,608,782)</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rPr>
              <w:t>66.75</w:t>
            </w:r>
          </w:p>
        </w:tc>
        <w:tc>
          <w:tcPr>
            <w:tcW w:w="100" w:type="dxa"/>
            <w:vAlign w:val="bottom"/>
          </w:tcPr>
          <w:p>
            <w:pPr>
              <w:spacing w:after="0"/>
              <w:rPr>
                <w:sz w:val="19"/>
                <w:szCs w:val="19"/>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580" w:type="dxa"/>
            <w:vAlign w:val="bottom"/>
          </w:tcPr>
          <w:p>
            <w:pPr>
              <w:ind w:left="60"/>
              <w:spacing w:after="0"/>
              <w:rPr>
                <w:sz w:val="20"/>
                <w:szCs w:val="20"/>
                <w:color w:val="auto"/>
              </w:rPr>
            </w:pPr>
            <w:r>
              <w:rPr>
                <w:rFonts w:ascii="Arial" w:cs="Arial" w:eastAsia="Arial" w:hAnsi="Arial"/>
                <w:sz w:val="18"/>
                <w:szCs w:val="18"/>
                <w:color w:val="auto"/>
                <w:w w:val="97"/>
              </w:rPr>
              <w:t>million</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(87,344)</w:t>
            </w:r>
          </w:p>
        </w:tc>
        <w:tc>
          <w:tcPr>
            <w:tcW w:w="20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66.62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Balance at March 31, 2026</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6,619,293</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rPr>
              <w:t>65.19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incremental PSUs issued over target.</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income tax shortfall upon vesting of PSUs and DSUs was $2 million in the three months ended March 31, 2026.</w:t>
      </w:r>
    </w:p>
    <w:p>
      <w:pPr>
        <w:spacing w:after="0" w:line="1" w:lineRule="exact"/>
        <w:rPr>
          <w:rFonts w:ascii="Arial" w:cs="Arial" w:eastAsia="Arial" w:hAnsi="Arial"/>
          <w:sz w:val="14"/>
          <w:szCs w:val="14"/>
          <w:color w:val="auto"/>
        </w:rPr>
      </w:pPr>
    </w:p>
    <w:p>
      <w:pPr>
        <w:jc w:val="both"/>
        <w:ind w:left="340" w:hanging="332"/>
        <w:spacing w:after="0" w:line="236"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as long as the requisite service has been provided.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Effective January 1, 2025, our Board of Directors replaced our prior share repurchase program by approving a program authorizing the repurchase of up to $9.0 billion of our Common Stock through December 31, 2027. Repurchases under the program are determined by management and are wholly discretionary.</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2026, we did not repurchase any shares. As of March 31, 2026, we have approximately $6.7 billion in remaining share repurchase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160655</wp:posOffset>
            </wp:positionV>
            <wp:extent cx="28257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Earnings/(Losses)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 of $(11) million and $(47) million in the first quarter of 2026 and 2025, respectively.</w:t>
      </w:r>
    </w:p>
    <w:p>
      <w:pPr>
        <w:spacing w:after="0" w:line="87"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For the Three Months Ended</w:t>
      </w:r>
    </w:p>
    <w:p>
      <w:pPr>
        <w:jc w:val="center"/>
        <w:ind w:left="770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2025</w:t>
            </w:r>
          </w:p>
        </w:tc>
      </w:tr>
      <w:tr>
        <w:trPr>
          <w:trHeight w:val="168"/>
        </w:trPr>
        <w:tc>
          <w:tcPr>
            <w:tcW w:w="7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(in millions)</w:t>
            </w:r>
          </w:p>
        </w:tc>
        <w:tc>
          <w:tcPr>
            <w:tcW w:w="1220" w:type="dxa"/>
            <w:vAlign w:val="bottom"/>
          </w:tcPr>
          <w:p>
            <w:pPr>
              <w:spacing w:after="0"/>
              <w:rPr>
                <w:sz w:val="14"/>
                <w:szCs w:val="14"/>
                <w:color w:val="auto"/>
              </w:rPr>
            </w:pPr>
          </w:p>
        </w:tc>
      </w:tr>
      <w:tr>
        <w:trPr>
          <w:trHeight w:val="218"/>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Currency Translation Adjustments: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Balance at beginning of period</w:t>
            </w: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(10,180)</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(11,017)</w:t>
            </w:r>
          </w:p>
        </w:tc>
      </w:tr>
      <w:tr>
        <w:trPr>
          <w:trHeight w:val="210"/>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Currency translation adjustments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15"/>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effect</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earnings/(losses)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15"/>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other comprehensive (earnings)/loss attributable to noncontrolling interests</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Balance at end of period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(10,252)</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(10,488)</w:t>
            </w:r>
          </w:p>
        </w:tc>
      </w:tr>
      <w:tr>
        <w:trPr>
          <w:trHeight w:val="19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Pension and Other Benefit Plans:</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Balance at beginning of period</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r>
      <w:tr>
        <w:trPr>
          <w:trHeight w:val="209"/>
        </w:trPr>
        <w:tc>
          <w:tcPr>
            <w:tcW w:w="7720" w:type="dxa"/>
            <w:vAlign w:val="bottom"/>
          </w:tcPr>
          <w:p>
            <w:pPr>
              <w:ind w:left="140"/>
              <w:spacing w:after="0"/>
              <w:rPr>
                <w:sz w:val="20"/>
                <w:szCs w:val="20"/>
                <w:color w:val="auto"/>
              </w:rPr>
            </w:pPr>
            <w:r>
              <w:rPr>
                <w:rFonts w:ascii="Arial" w:cs="Arial" w:eastAsia="Arial" w:hAnsi="Arial"/>
                <w:sz w:val="16"/>
                <w:szCs w:val="16"/>
                <w:color w:val="auto"/>
              </w:rPr>
              <w:t>Net actuarial gain/(loss) arising during period</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 on net actuarial gain/(loss)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720" w:type="dxa"/>
            <w:vAlign w:val="bottom"/>
          </w:tcPr>
          <w:p>
            <w:pPr>
              <w:ind w:left="140"/>
              <w:spacing w:after="0"/>
              <w:rPr>
                <w:sz w:val="20"/>
                <w:szCs w:val="20"/>
                <w:color w:val="auto"/>
              </w:rPr>
            </w:pPr>
            <w:r>
              <w:rPr>
                <w:rFonts w:ascii="Arial" w:cs="Arial" w:eastAsia="Arial" w:hAnsi="Arial"/>
                <w:sz w:val="16"/>
                <w:szCs w:val="16"/>
                <w:color w:val="auto"/>
              </w:rPr>
              <w:t>Losses/(gains) reclassified into net earnings: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720" w:type="dxa"/>
            <w:vAlign w:val="bottom"/>
            <w:shd w:val="clear" w:color="auto" w:fill="CCEEFF"/>
          </w:tcPr>
          <w:p>
            <w:pPr>
              <w:ind w:left="360"/>
              <w:spacing w:after="0" w:line="217" w:lineRule="exact"/>
              <w:rPr>
                <w:sz w:val="20"/>
                <w:szCs w:val="20"/>
                <w:color w:val="auto"/>
              </w:rPr>
            </w:pPr>
            <w:r>
              <w:rPr>
                <w:rFonts w:ascii="Arial" w:cs="Arial" w:eastAsia="Arial" w:hAnsi="Arial"/>
                <w:sz w:val="16"/>
                <w:szCs w:val="16"/>
                <w:color w:val="auto"/>
              </w:rPr>
              <w:t xml:space="preserve">Amortization of net loss and prior service </w:t>
            </w:r>
            <w:r>
              <w:rPr>
                <w:rFonts w:ascii="Arial" w:cs="Arial" w:eastAsia="Arial" w:hAnsi="Arial"/>
                <w:sz w:val="21"/>
                <w:szCs w:val="21"/>
                <w:color w:val="auto"/>
                <w:vertAlign w:val="superscript"/>
              </w:rPr>
              <w:t>(1)</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772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Settlement losses/(gains) </w:t>
            </w:r>
            <w:r>
              <w:rPr>
                <w:rFonts w:ascii="Arial" w:cs="Arial" w:eastAsia="Arial" w:hAnsi="Arial"/>
                <w:sz w:val="21"/>
                <w:szCs w:val="21"/>
                <w:color w:val="auto"/>
                <w:vertAlign w:val="superscript"/>
              </w:rPr>
              <w:t>(1)</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772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Tax expense/(benefit) on reclassifications </w:t>
            </w:r>
            <w:r>
              <w:rPr>
                <w:rFonts w:ascii="Arial" w:cs="Arial" w:eastAsia="Arial" w:hAnsi="Arial"/>
                <w:sz w:val="21"/>
                <w:szCs w:val="21"/>
                <w:color w:val="auto"/>
                <w:vertAlign w:val="superscript"/>
              </w:rPr>
              <w:t>(3)</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Currency impact</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10"/>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earnings/(losses)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Balance at end of period</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w:t>
            </w:r>
          </w:p>
        </w:tc>
      </w:tr>
      <w:tr>
        <w:trPr>
          <w:trHeight w:val="19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 Cash Flow Hedges:</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Balance at beginning of period</w:t>
            </w: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0"/>
        </w:trPr>
        <w:tc>
          <w:tcPr>
            <w:tcW w:w="7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rate contracts gains/(losses)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720" w:type="dxa"/>
            <w:vAlign w:val="bottom"/>
          </w:tcPr>
          <w:p>
            <w:pPr>
              <w:ind w:left="160"/>
              <w:spacing w:after="0"/>
              <w:rPr>
                <w:sz w:val="20"/>
                <w:szCs w:val="20"/>
                <w:color w:val="auto"/>
              </w:rPr>
            </w:pPr>
            <w:r>
              <w:rPr>
                <w:rFonts w:ascii="Arial" w:cs="Arial" w:eastAsia="Arial" w:hAnsi="Arial"/>
                <w:sz w:val="16"/>
                <w:szCs w:val="16"/>
                <w:color w:val="auto"/>
              </w:rPr>
              <w:t>Cross-currency swap contracts gains/(losses)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7"/>
        </w:trPr>
        <w:tc>
          <w:tcPr>
            <w:tcW w:w="7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derivative gains/(losses)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720" w:type="dxa"/>
            <w:vAlign w:val="bottom"/>
          </w:tcPr>
          <w:p>
            <w:pPr>
              <w:ind w:left="140"/>
              <w:spacing w:after="0"/>
              <w:rPr>
                <w:sz w:val="20"/>
                <w:szCs w:val="20"/>
                <w:color w:val="auto"/>
              </w:rPr>
            </w:pPr>
            <w:r>
              <w:rPr>
                <w:rFonts w:ascii="Arial" w:cs="Arial" w:eastAsia="Arial" w:hAnsi="Arial"/>
                <w:sz w:val="16"/>
                <w:szCs w:val="16"/>
                <w:color w:val="auto"/>
              </w:rPr>
              <w:t>Tax effect on net derivative gain/(loss)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Losses/(gains) reclassified into net earnings: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72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Interest rate contracts </w:t>
            </w:r>
            <w:r>
              <w:rPr>
                <w:rFonts w:ascii="Arial" w:cs="Arial" w:eastAsia="Arial" w:hAnsi="Arial"/>
                <w:sz w:val="21"/>
                <w:szCs w:val="21"/>
                <w:color w:val="auto"/>
                <w:vertAlign w:val="superscript"/>
              </w:rPr>
              <w:t>(2)</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772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Cross-currency swap contracts </w:t>
            </w:r>
            <w:r>
              <w:rPr>
                <w:rFonts w:ascii="Arial" w:cs="Arial" w:eastAsia="Arial" w:hAnsi="Arial"/>
                <w:sz w:val="21"/>
                <w:szCs w:val="21"/>
                <w:color w:val="auto"/>
                <w:vertAlign w:val="superscript"/>
              </w:rPr>
              <w:t>(2)</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772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Tax expense/(benefit) on reclassifications </w:t>
            </w:r>
            <w:r>
              <w:rPr>
                <w:rFonts w:ascii="Arial" w:cs="Arial" w:eastAsia="Arial" w:hAnsi="Arial"/>
                <w:sz w:val="21"/>
                <w:szCs w:val="21"/>
                <w:color w:val="auto"/>
                <w:vertAlign w:val="superscript"/>
              </w:rPr>
              <w:t>(3)</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Currency impact</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earnings/(losses)</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Balance at end of period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19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losses attributable to Mondelēz International:</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Balance at beginning of period</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(11,364)</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(12,471)</w:t>
            </w:r>
          </w:p>
        </w:tc>
      </w:tr>
      <w:tr>
        <w:trPr>
          <w:trHeight w:val="209"/>
        </w:trPr>
        <w:tc>
          <w:tcPr>
            <w:tcW w:w="7720" w:type="dxa"/>
            <w:vAlign w:val="bottom"/>
          </w:tcPr>
          <w:p>
            <w:pPr>
              <w:ind w:left="140"/>
              <w:spacing w:after="0"/>
              <w:rPr>
                <w:sz w:val="20"/>
                <w:szCs w:val="20"/>
                <w:color w:val="auto"/>
              </w:rPr>
            </w:pPr>
            <w:r>
              <w:rPr>
                <w:rFonts w:ascii="Arial" w:cs="Arial" w:eastAsia="Arial" w:hAnsi="Arial"/>
                <w:sz w:val="16"/>
                <w:szCs w:val="16"/>
                <w:color w:val="auto"/>
              </w:rPr>
              <w:t>Total other comprehensive earnings/(losses)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217"/>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other comprehensive (earnings)/loss attributable to noncontrolling interests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earnings/(losses) attributable to Mondelēz International</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w:t>
            </w:r>
          </w:p>
        </w:tc>
      </w:tr>
      <w:tr>
        <w:trPr>
          <w:trHeight w:val="235"/>
        </w:trPr>
        <w:tc>
          <w:tcPr>
            <w:tcW w:w="7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Balance at end of period</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These reclassified losses/(gains) are included in net periodic benefit costs disclosed in Note 7,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186055</wp:posOffset>
            </wp:positionV>
            <wp:extent cx="28257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Restructuring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fourth quarter of 2025, we initiated restructuring actions to reduce our cost structure and streamline our operations. We incurred charges of $48 million in connection with these actions for employee severance and related costs during the three months ended March 31, 2026, which are classified within asset impairment and exit costs. The liability for those restructuring actions undertaken in the first quarter of 2026 and the fourth quarter of 2025 was $62 million as of March 31, 2026 and $23 million as of December 31, 2025 and is included within other current liabilities and other liabilities. Current period cash payments for those restructuring actions were not material.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first quarter of 2026, our effective tax rate was 29.4% as compared to 28.3% in the first quarter of 2025. The lower effective tax rate in the prior year was mainly driven by releases of liabilities for uncertain tax positions due to audit developments in the first quarter of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4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For the Three Months Ended</w:t>
      </w: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17"/>
                <w:szCs w:val="17"/>
                <w:color w:val="auto"/>
              </w:rPr>
            </w:pPr>
          </w:p>
        </w:tc>
        <w:tc>
          <w:tcPr>
            <w:tcW w:w="29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Noncontrolling interest earnings</w:t>
            </w: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Mondelēz International</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for basic EPS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1,283</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7"/>
              </w:rPr>
              <w:t>1,301</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plus: Dilutive effect of outstanding stock awards</w:t>
            </w: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1,305</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Mondelēz International</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4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share attributable to Mondelēz International</w:t>
            </w:r>
          </w:p>
        </w:tc>
        <w:tc>
          <w:tcPr>
            <w:tcW w:w="1100" w:type="dxa"/>
            <w:vAlign w:val="bottom"/>
            <w:tcBorders>
              <w:bottom w:val="single" w:sz="8" w:color="auto"/>
            </w:tcBorders>
          </w:tcPr>
          <w:p>
            <w:pPr>
              <w:jc w:val="right"/>
              <w:ind w:right="896"/>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0.44</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954"/>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exclude antidilutive Mondelēz International share-based payment awards from our calculation of weighted-average shares for diluted EPS. We excluded antidilutive stock options and performance share units of 11.7 million and 6.4 million for the three months ended March 31, 2026 and 2025,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Reporting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manufacture and market primarily snack food products, including chocolate, biscuits and baked snacks, as well as gum &amp; candy, meals and beverages. 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 which are also our reportable segments:</w:t>
      </w:r>
    </w:p>
    <w:p>
      <w:pPr>
        <w:spacing w:after="0" w:line="27" w:lineRule="exact"/>
        <w:rPr>
          <w:sz w:val="20"/>
          <w:szCs w:val="20"/>
          <w:color w:val="auto"/>
        </w:rPr>
      </w:pPr>
    </w:p>
    <w:p>
      <w:pPr>
        <w:ind w:left="320" w:hanging="1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Chief Operating Decision Maker ("CODM") is our Chief Executive Officer. Our CODM uses segment operating income in the annual plan and forecasting process and considers actual versus plan variances in assessing the performance of the segment. The CODM also uses segment operating income as an input to the overall compensation measures for segment management under our incentive compensation plans. Segment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17145</wp:posOffset>
            </wp:positionV>
            <wp:extent cx="282575"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income excludes certain mark-to-market impacts on commodity and foreign currency derivatives (which are primarily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our CODM reviews. Additionally, assets for reportable segments are not disclosed as such information is not regularly reviewed by the Company's CODM.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 significant segment expenses and operating income by reportable segment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center"/>
              <w:ind w:left="355"/>
              <w:spacing w:after="0"/>
              <w:rPr>
                <w:sz w:val="20"/>
                <w:szCs w:val="20"/>
                <w:color w:val="auto"/>
              </w:rPr>
            </w:pPr>
            <w:r>
              <w:rPr>
                <w:rFonts w:ascii="Arial" w:cs="Arial" w:eastAsia="Arial" w:hAnsi="Arial"/>
                <w:sz w:val="14"/>
                <w:szCs w:val="14"/>
                <w:b w:val="1"/>
                <w:bCs w:val="1"/>
                <w:color w:val="auto"/>
              </w:rPr>
              <w:t>Three Months Ended March 31, 2026</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Latin America</w:t>
            </w: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AMEA</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Europe</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North America</w:t>
            </w:r>
          </w:p>
        </w:tc>
        <w:tc>
          <w:tcPr>
            <w:tcW w:w="300" w:type="dxa"/>
            <w:vAlign w:val="bottom"/>
          </w:tcPr>
          <w:p>
            <w:pPr>
              <w:spacing w:after="0"/>
              <w:rPr>
                <w:sz w:val="18"/>
                <w:szCs w:val="18"/>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Segment selling, general and administrative</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600" w:type="dxa"/>
            <w:vAlign w:val="bottom"/>
          </w:tcPr>
          <w:p>
            <w:pPr>
              <w:jc w:val="right"/>
              <w:ind w:right="39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losses from derivatives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divestiture</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gridSpan w:val="6"/>
            <w:vMerge w:val="restart"/>
          </w:tcPr>
          <w:p>
            <w:pPr>
              <w:jc w:val="center"/>
              <w:ind w:left="355"/>
              <w:spacing w:after="0"/>
              <w:rPr>
                <w:sz w:val="20"/>
                <w:szCs w:val="20"/>
                <w:color w:val="auto"/>
              </w:rPr>
            </w:pPr>
            <w:r>
              <w:rPr>
                <w:rFonts w:ascii="Arial" w:cs="Arial" w:eastAsia="Arial" w:hAnsi="Arial"/>
                <w:sz w:val="14"/>
                <w:szCs w:val="14"/>
                <w:b w:val="1"/>
                <w:bCs w:val="1"/>
                <w:color w:val="auto"/>
              </w:rPr>
              <w:t>Three Months Ended March 31, 2025</w:t>
            </w: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vMerge w:val="continue"/>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Latin America</w:t>
            </w: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AMEA</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Europe</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North America</w:t>
            </w:r>
          </w:p>
        </w:tc>
        <w:tc>
          <w:tcPr>
            <w:tcW w:w="300" w:type="dxa"/>
            <w:vAlign w:val="bottom"/>
          </w:tcPr>
          <w:p>
            <w:pPr>
              <w:spacing w:after="0"/>
              <w:rPr>
                <w:sz w:val="18"/>
                <w:szCs w:val="18"/>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181"/>
        </w:trPr>
        <w:tc>
          <w:tcPr>
            <w:tcW w:w="41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Segment selling, general and administrative</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600" w:type="dxa"/>
            <w:vAlign w:val="bottom"/>
          </w:tcPr>
          <w:p>
            <w:pPr>
              <w:jc w:val="right"/>
              <w:ind w:right="39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losses from derivatives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(1) SG&amp;A for all reportable segments includes: Advertising &amp; consumer expenses and overhead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194945</wp:posOffset>
            </wp:positionV>
            <wp:extent cx="28257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expense and capital expenditures by segment, reflecting our current segment structure for all periods presented, were:</w:t>
      </w:r>
    </w:p>
    <w:p>
      <w:pPr>
        <w:spacing w:after="0" w:line="59"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6350</wp:posOffset>
            </wp:positionV>
            <wp:extent cx="24517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13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2025</w:t>
            </w:r>
          </w:p>
        </w:tc>
      </w:tr>
      <w:tr>
        <w:trPr>
          <w:trHeight w:val="209"/>
        </w:trPr>
        <w:tc>
          <w:tcPr>
            <w:tcW w:w="7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8"/>
                <w:szCs w:val="18"/>
                <w:color w:val="auto"/>
              </w:rPr>
            </w:pPr>
          </w:p>
        </w:tc>
      </w:tr>
      <w:tr>
        <w:trPr>
          <w:trHeight w:val="231"/>
        </w:trPr>
        <w:tc>
          <w:tcPr>
            <w:tcW w:w="738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Depreciation expense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Europe</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w:t>
            </w: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130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20" w:hanging="251"/>
        <w:spacing w:after="0" w:line="285" w:lineRule="auto"/>
        <w:tabs>
          <w:tab w:leader="none" w:pos="314"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depreciation expense related to owned property, plant and equipment. Does not include amortization of intangible assets or leased assets. Refer to the condensed consolidated statements of cash flows for total depreciation and amortization expenses.</w:t>
      </w:r>
    </w:p>
    <w:p>
      <w:pPr>
        <w:spacing w:after="0" w:line="200" w:lineRule="exact"/>
        <w:rPr>
          <w:sz w:val="20"/>
          <w:szCs w:val="20"/>
          <w:color w:val="auto"/>
        </w:rPr>
      </w:pPr>
    </w:p>
    <w:p>
      <w:pPr>
        <w:spacing w:after="0" w:line="268"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6350</wp:posOffset>
            </wp:positionV>
            <wp:extent cx="24517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12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2025</w:t>
            </w:r>
          </w:p>
        </w:tc>
      </w:tr>
      <w:tr>
        <w:trPr>
          <w:trHeight w:val="209"/>
        </w:trPr>
        <w:tc>
          <w:tcPr>
            <w:tcW w:w="7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8"/>
                <w:szCs w:val="18"/>
                <w:color w:val="auto"/>
              </w:rPr>
            </w:pPr>
          </w:p>
        </w:tc>
      </w:tr>
      <w:tr>
        <w:trPr>
          <w:trHeight w:val="231"/>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Europe</w:t>
            </w: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7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Corporate</w:t>
            </w: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4406265</wp:posOffset>
            </wp:positionV>
            <wp:extent cx="28257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Net Revenue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reflecting our current segment structure for all periods presented, were: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Three Months Ended March 31, 2026</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Three Months Ended March 31, 2025</w:t>
            </w:r>
            <w:r>
              <w:rPr>
                <w:rFonts w:ascii="Arial" w:cs="Arial" w:eastAsia="Arial" w:hAnsi="Arial"/>
                <w:sz w:val="18"/>
                <w:szCs w:val="18"/>
                <w:b w:val="1"/>
                <w:bCs w:val="1"/>
                <w:color w:val="auto"/>
                <w:vertAlign w:val="superscript"/>
              </w:rPr>
              <w:t>(3)</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3"/>
        </w:trPr>
        <w:tc>
          <w:tcPr>
            <w:tcW w:w="3640" w:type="dxa"/>
            <w:vAlign w:val="bottom"/>
          </w:tcPr>
          <w:p>
            <w:pPr>
              <w:ind w:left="1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340" w:hanging="251"/>
        <w:spacing w:after="0" w:line="271"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During the first quarter of 2026, we realigned some of our products between our biscuits &amp; baked snacks and chocolate categories in the North America segment; as such, we reclassified $8 million of product category net revenues from biscuits &amp; baked snacks to chocolate in the first quarter of 2025 on a basis consistent with the 2026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426720</wp:posOffset>
            </wp:positionV>
            <wp:extent cx="28257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Strategy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core business is making and selling chocolate, biscuits and baked snacks, with additional businesses in adjacent, locally relevant categories including gum &amp; candy, meals and beverages around the world.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continue to observe significant market and geopolitical uncertainty, fluctuating consumer demand, inflationary pressures, supply constraints, trade and regulatory uncertainty and exchange rate volatility. As a result, we experienced higher operating costs, including higher overall raw material, labor and energy costs that have continued to rise. In particular, cocoa prices are lower compared to prior year but are expected to remain elevated compared to historical levels in the near- and medium-term. Refer to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for additional information.</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outlook for future snacks revenue growth remains strong; however, we anticipate ongoing volatility. While we have responded to elevated raw material costs with price increases for certain of our products, the elasticity impacts from those pricing increases have adversely impacted consumer demand, particularly in the United States and Europe. We will continue to proactively manage our business in response to the evolving global economic environment, related uncertainty and business risks while also prioritizing and supporting our employees and customers. We continue to take steps to mitigate impacts to our supply chain, operations, technology and assets.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and Regulatory Uncertainty</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many markets, including the United States, certain products or a portion of our products, including significant inputs, are imported from other jurisdictions. As the current geopolitical environment remains unpredictable, we continue to monitor and evaluate the impact of proposed and enacted tariffs, including proposed and enacted retaliatory tariffs or other trade restrictions. During the first quarter of 2026, the U.S. Supreme Court ruled that the tariffs imposed under the International Emergency Economic Powers Act ("IEEPA") were unlawful. Over the period in which these tariffs were in effect, we paid approximately $20 million of tariffs under the IEEPA. The timing and amount of any refunds of these tariffs remains uncertain at this stage. As such, we have not recorded any anticipated IEEPA tariff refund as of March 31, 2026. Additionally, the U.S. administration has continued to impose new tariffs under other provisions in U.S. trade law and will likely continue to do so in the future. We are evaluating the potential impact of these developments as well as our ability to mitigate the impact, as they are expected to adversely impact our revenue and cost of goods sold. If additional tariff actions are implemented, we would expect those adverse impacts on our business operations and financial performance to be significant. For most products and materials imported to the United States from Mexico and Canada, we comply with the terms of the U.S.-Mexico-Canada Agreement and are therefore not subject to tariffs on most products and materials imported from those jurisdictions. However, the current trade environment continues to evolve rapidly and there can be no assurance that such products and materials will continue to be exempt. The implementation of additional protectionist trade measures, and any further retaliatory actions taken in response, could result in increased costs and pricing pressures, disrupt consumer spending patterns, and impact market stability and consumer confidence, any or all of which could adversely affect our operating results. For additional information, see the risk factors in our Annual Report on Form 10-K for the year ended December 31, 2025, including the risk entitled “</w:t>
      </w:r>
      <w:r>
        <w:rPr>
          <w:rFonts w:ascii="Arial" w:cs="Arial" w:eastAsia="Arial" w:hAnsi="Arial"/>
          <w:sz w:val="18"/>
          <w:szCs w:val="18"/>
          <w:i w:val="1"/>
          <w:iCs w:val="1"/>
          <w:color w:val="auto"/>
        </w:rPr>
        <w:t>We are subject to risks from changes to the trade policies and tariff and import/export regulations by the U.S. and/or other foreign</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485140</wp:posOffset>
            </wp:positionV>
            <wp:extent cx="28257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 in Ukraine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2022, following the Russian military invasion of Ukraine, we stopped production and closed our facilities in Ukraine; since then, we have taken steps to protect the safety of our employees and to restore operations at our two manufacturing facilities, which were significantly damaged in March 2022. We have suspended new capital investments and our advertising spending in Russia, but as a food company with more than 2,500 employees in the country, we have not ceased operations because we believe that we play a role in the continuity of the food supply. We continue to evaluate the situation in Ukraine and Russia and our ability to control our operating activities and businesses on an ongoing basis and comply with applicable international sanctions. We continue to consolidate both our Ukrainian and Russian subsidiaries. During the first quarter of 2026, Ukraine generated 0.4% and Russia generated 3.1% of our consolidated net revenue. We cannot predict if the recent strength in our Russian business will continue in the future.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in Russia are subject to risks, including the temporary or permanent loss of assets due to expropriation or further curtailment of our ability to conduct business operations in Russia. In the event this were to occur, this could lead to the partial or full impairment of our Russian assets or deconsolidation of our Russian operations in future periods, or the termination of and loss of revenue from our business operations, based on actions taken by Russia, other parties or us. For additional information, see the risk factors in our Annual Report on Form 10-K for the year ended December 31, 2025, including the risk entitled “</w:t>
      </w:r>
      <w:r>
        <w:rPr>
          <w:rFonts w:ascii="Arial" w:cs="Arial" w:eastAsia="Arial" w:hAnsi="Arial"/>
          <w:sz w:val="18"/>
          <w:szCs w:val="18"/>
          <w:i w:val="1"/>
          <w:iCs w:val="1"/>
          <w:color w:val="auto"/>
        </w:rPr>
        <w:t>The war in Ukraine has impacted and could continue to impact</w:t>
      </w:r>
      <w:r>
        <w:rPr>
          <w:rFonts w:ascii="Arial" w:cs="Arial" w:eastAsia="Arial" w:hAnsi="Arial"/>
          <w:sz w:val="18"/>
          <w:szCs w:val="18"/>
          <w:color w:val="auto"/>
        </w:rPr>
        <w:t xml:space="preserve"> </w:t>
      </w:r>
      <w:r>
        <w:rPr>
          <w:rFonts w:ascii="Arial" w:cs="Arial" w:eastAsia="Arial" w:hAnsi="Arial"/>
          <w:sz w:val="18"/>
          <w:szCs w:val="18"/>
          <w:i w:val="1"/>
          <w:iCs w:val="1"/>
          <w:color w:val="auto"/>
        </w:rPr>
        <w:t>our business operations, financial performance and results of operations.</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the Middle East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28, 2026, the United States and Israel launched military strikes on Iran and the situation remains highly uncertain. Following the military strikes, we briefly stopped production within our manufacturing facility in Bahrain and that facility is now operating with reduced capacity. As a result of this conflict, recent shipping disruptions in the Middle East and surrounding waterways have created logistical pressures, including impacts to the availability of certain shipping routes, resulting in increased shipping costs and time. While we have taken actions to divert our shipping routes to minimize impacts on our business, we may not be able to fully mitigate the impact of higher shipping rates, longer shipping routes and other adverse impacts related to this conflict in certain AMEA markets. However, to date, these developments have not had a material impact on our business, results of operations or financial condition. We continue to evaluate the impacts of these developments, including evolving geopolitical dynamics, on our business and we cannot predict if they will have a significant impact in the future. During the first quarter of 2026, Middle Eastern countries impacted by the conflict generated approximately 1.0% of our consolidated net revenue.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Extreme Price Growth in Argentina and Other Currency-Related Items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December 2023, the Argentinean peso significantly devalued. The peso's devaluation and potential resulting distortion on our non-GAAP Organic Net Revenue, Organic Net Revenue growth and other constant currency growth rate measures resulted in our decision to exclude the impact of pricing increases in excess of 26% year-over-year ("extreme pricing") in Argentina, from these measures beginning in the first quarter of 2024. The benchmark of 26% represents the minimum annual inflation rate for each year over a 3-year period which would result in a cumulative inflation rate in excess of 100%, the level at which an economy is considered hyperinflationary under U.S. GAAP. Throughout the following MD&amp;A discussion, we exclude the impact of extreme pricing in Argentina from the net pricing impact of Organic Net Revenue and Organic Net Revenue growth and its related impact on our other non-GAAP financial constant currency growth measures. Additionally within this MD&amp;A discussion, "currency-related items" reflect the impacts of extreme pricing and year-over-year currency translation rate changes.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Extreme pricing did not have a material impact on our non-GAAP financial measures for the three months ended March 31,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ERP System Implementation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July 2024, our Board of Directors approved funding of $1.2 billion for a multi -year systems transformation program to upgrade our global ERP and supply chain systems (the “ERP System Implementation”). ERP System Implementation spending comprises both capital expenditures and operating expenses, of which a majority is expected to relate to operating expenses. The operating expenses associated with the ERP System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12700</wp:posOffset>
            </wp:positionV>
            <wp:extent cx="28257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represent incremental transformational costs above the normal ongoing level of spending on information technology to support operations. The ERP System Implementation program is being implemented by region in several phases with spending occurring over the next three years, with expected completion by year-end 2028.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monitor existing and potential future tax reform around the world. Numerous countries have enacted the Organization of Economic Cooperation and Development’s model rules on a global minimum tax, effective for 2024. The existing legislation does not have a material impact on our condensed consolidated financial statements. On January 5, 2026, the OECD Inclusive Framework members approved changes to the model rules, including the introduction of a “side by side” rule which would exempt U.S.-parented companies from certain aspects of the global minimum tax regime. The updated model rules will need to be incorporated into local tax legislation to be effective. We do not expect the new rules to have a material impact on our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use non-GAAP financial measures internally to make operating and strategic decisions, including the preparation of our annual operating plan, evaluation of business performance and as a factor in determining incentive compensation. We believe that non-GAAP financial measures, when used in connection with results reported in accordance with U.S. GAAP, provide additional information to facilitate comparisons of our historical operating results and to enable a more comprehensive understanding of trends in our underlying operating results. We also believe that presenting these measures allows investors to view our performance using the same measures that management and our Board of Directors use in evaluating our business performance and trends. However, non-GAAP financial measures should be considered in addition to, and not as substitutes for, financial information prepared in accordance with U.S. GAAP. In addition, our non-GAAP financial measures may not be the same as or comparable to similar non-GAAP measures presented by other companies. A limitation of these non-GAAP financial measures is they exclude items that have an impact on our U.S. GAAP reported results. The best way this limitation can be addressed is by evaluating our non-GAAP financial measures in combination with our U.S. GAAP reported results. We have provided the reconciliations between the GAAP and non-GAAP financial measures along with a discussion of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also evaluate the operating performance of the company and its international subsidiaries on a constant currency basis. Our non-GAAP measures presented on a constant currency basis exclude the effects of currency translation rate changes and, beginning in the first quarter of 2024, extreme pricing increases in Argentina. For additional information, refer to </w:t>
      </w:r>
      <w:r>
        <w:rPr>
          <w:rFonts w:ascii="Arial" w:cs="Arial" w:eastAsia="Arial" w:hAnsi="Arial"/>
          <w:sz w:val="18"/>
          <w:szCs w:val="18"/>
          <w:i w:val="1"/>
          <w:iCs w:val="1"/>
          <w:color w:val="auto"/>
        </w:rPr>
        <w:t>Extreme Price Growth in Argentin</w:t>
      </w:r>
      <w:r>
        <w:rPr>
          <w:rFonts w:ascii="Arial" w:cs="Arial" w:eastAsia="Arial" w:hAnsi="Arial"/>
          <w:sz w:val="18"/>
          <w:szCs w:val="18"/>
          <w:color w:val="auto"/>
        </w:rPr>
        <w:t xml:space="preserve">a </w:t>
      </w:r>
      <w:r>
        <w:rPr>
          <w:rFonts w:ascii="Arial" w:cs="Arial" w:eastAsia="Arial" w:hAnsi="Arial"/>
          <w:sz w:val="18"/>
          <w:szCs w:val="18"/>
          <w:i w:val="1"/>
          <w:iCs w:val="1"/>
          <w:color w:val="auto"/>
        </w:rPr>
        <w:t>and Other Currency-Related Items</w:t>
      </w:r>
      <w:r>
        <w:rPr>
          <w:rFonts w:ascii="Arial" w:cs="Arial" w:eastAsia="Arial" w:hAnsi="Arial"/>
          <w:sz w:val="18"/>
          <w:szCs w:val="18"/>
          <w:color w:val="auto"/>
        </w:rPr>
        <w:t>. We determine constant currency operating results by dividing or multiplying, as appropriate, the current-period local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333375</wp:posOffset>
            </wp:positionV>
            <wp:extent cx="28257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primary non-GAAP financial measures and corresponding metrics, listed below, reflect how we evaluate our current and prior-year operating results. As new events or circumstances arise, these definitions could change. When our definitions change, we provide the updated definitions and present the related non-GAAP historical results on a comparable basis. When items no longer impact our current or future presentation of non-GAAP operating results, we remove these items from our non-GAAP definitions. For descriptions of the items excluded from our non-GAAP financial measures,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w:t>
      </w:r>
    </w:p>
    <w:p>
      <w:pPr>
        <w:spacing w:after="0" w:line="206" w:lineRule="exact"/>
        <w:rPr>
          <w:sz w:val="20"/>
          <w:szCs w:val="20"/>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“Organic Net Revenue” is defined as net revenues (the most comparable U.S. GAAP financial measure) excluding, when they occur, the impacts of acquisitions, divestitures and currency-related items. We believe that Organic net revenue reflects the underlying growth from the ongoing activities of our business and provides improved comparability of results. Organic Net Revenue growth is presented on a consolidated basis, for each of our segments and for our emerging markets and developed markets, and these underlying measures are also reconciled to the most comparable U.S. GAAP financial measures.</w:t>
      </w:r>
    </w:p>
    <w:p>
      <w:pPr>
        <w:spacing w:after="0" w:line="2" w:lineRule="exact"/>
        <w:rPr>
          <w:rFonts w:ascii="Arial" w:cs="Arial" w:eastAsia="Arial" w:hAnsi="Arial"/>
          <w:sz w:val="18"/>
          <w:szCs w:val="18"/>
          <w:color w:val="auto"/>
        </w:rPr>
      </w:pPr>
    </w:p>
    <w:p>
      <w:pPr>
        <w:jc w:val="both"/>
        <w:ind w:left="980" w:hanging="324"/>
        <w:spacing w:after="0" w:line="250" w:lineRule="auto"/>
        <w:tabs>
          <w:tab w:leader="none" w:pos="975"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emerging markets include the entire Latin America region; the AMEA region, excluding Australia, New Zealand and Japan; and the following countries from the Europe region: Russia, Ukraine, Türkiye,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980" w:right="20" w:hanging="324"/>
        <w:spacing w:after="0" w:line="266" w:lineRule="auto"/>
        <w:tabs>
          <w:tab w:leader="none" w:pos="975"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198"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Operating Income” is defined as operating income (the most comparable U.S. GAAP financial measure) excluding, when they occur, the impacts of: restructuring charges; gains or losses (including non-cash impairment charges) on goodwill and intangible assets; divestiture-related items; acquisition-related items; remeasurement of net monetary position of highly inflationary countries; mark-to-market impacts from commodity and foreign currency derivative contracts economically hedging forecasted transactions; resolution of tax matters; incremental costs due to geopolitical conflicts and operating costs from the ERP System Implementation program. We also present Adjusted Operating Income margin, which is subject to the same adjustments as Adjusted Operating Income. We also evaluate growth in our Adjusted Operating Income on a constant currency basis. We believe these measures provide improved comparability of underlying operating results.</w:t>
      </w:r>
    </w:p>
    <w:p>
      <w:pPr>
        <w:spacing w:after="0" w:line="21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EPS” is defined as diluted EPS attributable to Mondelēz International (the most comparable U.S. GAAP financial measure) from continuing operations excluding, when they occur, the impacts of the items listed in the Adjusted Operating Income definition as well as pension participation changes and gains or losses on equity method investment transactions. We also evaluate growth in our Adjusted EPS on a constant currency basis. We believe Adjusted EPS provides improved comparability of underlying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537210</wp:posOffset>
            </wp:positionV>
            <wp:extent cx="28257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below table and subsequent commentary present income or (expense) items that affected the comparability of our results of operations and provides details of each item. Please refer to the notes to the condensed consolidated financial statements indicated below for additional information. We consider quantitative and qualitative factors in assessing whether to adjust for the impact of items that may be significant or that could affect an understanding of our ongoing financial and business performance and trends. These items are excluded from our non-GAAP earnings measures to better facilitate comparisons of our underlying operating performance across periods. Refer to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 Net Earnings and Earnings per Share Attributable to Mondelēz International </w:t>
      </w:r>
      <w:r>
        <w:rPr>
          <w:rFonts w:ascii="Arial" w:cs="Arial" w:eastAsia="Arial" w:hAnsi="Arial"/>
          <w:sz w:val="18"/>
          <w:szCs w:val="18"/>
          <w:color w:val="auto"/>
        </w:rPr>
        <w:t>table for the after-tax per share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these items and to the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section for definitions of our non-GAAP financial measures.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r>
      <w:tr>
        <w:trPr>
          <w:trHeight w:val="185"/>
        </w:trPr>
        <w:tc>
          <w:tcPr>
            <w:tcW w:w="6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left="782"/>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6"/>
                <w:szCs w:val="16"/>
                <w:color w:val="auto"/>
              </w:rPr>
            </w:pPr>
          </w:p>
        </w:tc>
      </w:tr>
      <w:tr>
        <w:trPr>
          <w:trHeight w:val="195"/>
        </w:trPr>
        <w:tc>
          <w:tcPr>
            <w:tcW w:w="614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See Note</w:t>
            </w:r>
          </w:p>
        </w:tc>
        <w:tc>
          <w:tcPr>
            <w:tcW w:w="380" w:type="dxa"/>
            <w:vAlign w:val="bottom"/>
          </w:tcPr>
          <w:p>
            <w:pPr>
              <w:spacing w:after="0"/>
              <w:rPr>
                <w:sz w:val="16"/>
                <w:szCs w:val="16"/>
                <w:color w:val="auto"/>
              </w:rPr>
            </w:pPr>
          </w:p>
        </w:tc>
        <w:tc>
          <w:tcPr>
            <w:tcW w:w="1380" w:type="dxa"/>
            <w:vAlign w:val="bottom"/>
          </w:tcPr>
          <w:p>
            <w:pPr>
              <w:jc w:val="right"/>
              <w:ind w:right="662"/>
              <w:spacing w:after="0"/>
              <w:rPr>
                <w:sz w:val="20"/>
                <w:szCs w:val="20"/>
                <w:color w:val="auto"/>
              </w:rPr>
            </w:pPr>
            <w:r>
              <w:rPr>
                <w:rFonts w:ascii="Arial" w:cs="Arial" w:eastAsia="Arial" w:hAnsi="Arial"/>
                <w:sz w:val="14"/>
                <w:szCs w:val="14"/>
                <w:b w:val="1"/>
                <w:bCs w:val="1"/>
                <w:color w:val="auto"/>
              </w:rPr>
              <w:t>2026</w:t>
            </w:r>
          </w:p>
        </w:tc>
        <w:tc>
          <w:tcPr>
            <w:tcW w:w="540" w:type="dxa"/>
            <w:vAlign w:val="bottom"/>
          </w:tcPr>
          <w:p>
            <w:pPr>
              <w:spacing w:after="0"/>
              <w:rPr>
                <w:sz w:val="16"/>
                <w:szCs w:val="16"/>
                <w:color w:val="auto"/>
              </w:rPr>
            </w:pPr>
          </w:p>
        </w:tc>
        <w:tc>
          <w:tcPr>
            <w:tcW w:w="1220" w:type="dxa"/>
            <w:vAlign w:val="bottom"/>
          </w:tcPr>
          <w:p>
            <w:pPr>
              <w:jc w:val="right"/>
              <w:ind w:right="620"/>
              <w:spacing w:after="0"/>
              <w:rPr>
                <w:sz w:val="20"/>
                <w:szCs w:val="20"/>
                <w:color w:val="auto"/>
              </w:rPr>
            </w:pPr>
            <w:r>
              <w:rPr>
                <w:rFonts w:ascii="Arial" w:cs="Arial" w:eastAsia="Arial" w:hAnsi="Arial"/>
                <w:sz w:val="14"/>
                <w:szCs w:val="14"/>
                <w:b w:val="1"/>
                <w:bCs w:val="1"/>
                <w:color w:val="auto"/>
              </w:rPr>
              <w:t>2025</w:t>
            </w:r>
          </w:p>
        </w:tc>
      </w:tr>
      <w:tr>
        <w:trPr>
          <w:trHeight w:val="196"/>
        </w:trPr>
        <w:tc>
          <w:tcPr>
            <w:tcW w:w="614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(in millions, except percentages)</w:t>
            </w:r>
          </w:p>
        </w:tc>
      </w:tr>
      <w:tr>
        <w:trPr>
          <w:trHeight w:val="217"/>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Restructuring charges</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Note 11</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61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Mark-to-market losses from derivatives </w:t>
            </w:r>
            <w:r>
              <w:rPr>
                <w:rFonts w:ascii="Arial" w:cs="Arial" w:eastAsia="Arial" w:hAnsi="Arial"/>
                <w:sz w:val="21"/>
                <w:szCs w:val="21"/>
                <w:b w:val="1"/>
                <w:bCs w:val="1"/>
                <w:color w:val="auto"/>
                <w:vertAlign w:val="superscript"/>
              </w:rPr>
              <w:t>(1)</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Note 6</w:t>
            </w:r>
          </w:p>
        </w:tc>
        <w:tc>
          <w:tcPr>
            <w:tcW w:w="38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(274)</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(673)</w:t>
            </w: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Acquisition-related items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Divestiture-related items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Incremental costs due to geopolitical conflicts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ERP System Implementation costs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(49)</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Remeasurement of net monetary position</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Note 1</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Pension participation changes</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Note 7</w:t>
            </w:r>
          </w:p>
        </w:tc>
        <w:tc>
          <w:tcPr>
            <w:tcW w:w="380" w:type="dxa"/>
            <w:vAlign w:val="bottom"/>
          </w:tcPr>
          <w:p>
            <w:pPr>
              <w:spacing w:after="0"/>
              <w:rPr>
                <w:sz w:val="18"/>
                <w:szCs w:val="18"/>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Initial impacts from enacted tax law changes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Loss on equity method investment transactions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impacts recorded in operating income and interest expense and other, net in the condensed consolidated statements of earnings.</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Restructuring charges </w:t>
      </w:r>
      <w:r>
        <w:rPr>
          <w:rFonts w:ascii="Arial" w:cs="Arial" w:eastAsia="Arial" w:hAnsi="Arial"/>
          <w:sz w:val="18"/>
          <w:szCs w:val="18"/>
          <w:color w:val="auto"/>
        </w:rPr>
        <w:t>– Beginning in the fourth quarter of 2025, we initiated new restructuring actions to reduce our cost structure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streamline our operations. The charges associated with those actions primarily relate to severance and other implementation costs. We completed our previous Simplify to Grow Program in 2024. Following the completion of that earlier restructuring program, any adjustments to the liabilities for previously recorded charges, which were immaterial for each period presented, continue to be reflected within this item.</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Mark-to-market impacts from derivatives </w:t>
      </w:r>
      <w:r>
        <w:rPr>
          <w:rFonts w:ascii="Arial" w:cs="Arial" w:eastAsia="Arial" w:hAnsi="Arial"/>
          <w:sz w:val="18"/>
          <w:szCs w:val="18"/>
          <w:color w:val="auto"/>
        </w:rPr>
        <w:t>– We exclude unrealized gains and losses (mark-to-market impacts) from commodity and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derivative contracts economically hedging forecasted transactions from our non-GAAP earnings measures. The mark-to-market impacts of those derivatives are excluded until the related gains or losses are realized. Since we purchase commodity and foreign currency derivative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Acquisition-related items – </w:t>
      </w:r>
      <w:r>
        <w:rPr>
          <w:rFonts w:ascii="Arial" w:cs="Arial" w:eastAsia="Arial" w:hAnsi="Arial"/>
          <w:sz w:val="18"/>
          <w:szCs w:val="18"/>
          <w:color w:val="auto"/>
        </w:rPr>
        <w:t>Includes acquisition-related costs, acquisition integration costs, contingent consideration adjustments,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step-ups and gains from acquisitions. Acquisition-related costs include third-party advisor, investment banking and legal fees. Acquisition integration costs include costs related to the integration of operations from acquisitions. Contingent consideration adjustments include any changes made to contingent compensation liabilities for earn-outs related to acquisitions that do not relate to recurring employee compensation expense. Refer to Note 6, </w:t>
      </w:r>
      <w:r>
        <w:rPr>
          <w:rFonts w:ascii="Arial" w:cs="Arial" w:eastAsia="Arial" w:hAnsi="Arial"/>
          <w:sz w:val="18"/>
          <w:szCs w:val="18"/>
          <w:i w:val="1"/>
          <w:iCs w:val="1"/>
          <w:color w:val="auto"/>
        </w:rPr>
        <w:t>Financial Instruments - Fair Value of Contingent Consideration</w:t>
      </w:r>
      <w:r>
        <w:rPr>
          <w:rFonts w:ascii="Arial" w:cs="Arial" w:eastAsia="Arial" w:hAnsi="Arial"/>
          <w:sz w:val="18"/>
          <w:szCs w:val="18"/>
          <w:color w:val="auto"/>
        </w:rPr>
        <w:t xml:space="preserve"> for additional information. Other acquisition-related items include incremental costs from inventory step-ups associated with acquired companies related to the fair market valuation of the acquired inventory and acquisition gains from the remeasurement of an existing noncontrolling investment to fair value when the company acquires a controlling interest in the investee.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180340</wp:posOffset>
            </wp:positionV>
            <wp:extent cx="282575"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Divestiture-related items </w:t>
      </w:r>
      <w:r>
        <w:rPr>
          <w:rFonts w:ascii="Arial" w:cs="Arial" w:eastAsia="Arial" w:hAnsi="Arial"/>
          <w:sz w:val="18"/>
          <w:szCs w:val="18"/>
          <w:color w:val="auto"/>
        </w:rPr>
        <w:t>– Includes operating results from divestitures, divestiture-related costs and gains or losses on divestitures.</w:t>
      </w:r>
      <w:r>
        <w:rPr>
          <w:rFonts w:ascii="Arial" w:cs="Arial" w:eastAsia="Arial" w:hAnsi="Arial"/>
          <w:sz w:val="18"/>
          <w:szCs w:val="18"/>
          <w:b w:val="1"/>
          <w:bCs w:val="1"/>
          <w:color w:val="auto"/>
        </w:rPr>
        <w:t xml:space="preserve"> </w:t>
      </w:r>
      <w:r>
        <w:rPr>
          <w:rFonts w:ascii="Arial" w:cs="Arial" w:eastAsia="Arial" w:hAnsi="Arial"/>
          <w:sz w:val="18"/>
          <w:szCs w:val="18"/>
          <w:color w:val="auto"/>
        </w:rPr>
        <w:t>Divestitures may include sales of businesses, exits of major product lines upon completion of a sale or licensing agreement, or sales of equity method investments. Divestiture-related costs include costs incurred in relation to the preparation and completion of divestiture transactions (including one-time costs such as severance related to the elimination of stranded costs) as well as costs incurred associated with publicly announced processes to sell businesses.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Incremental costs due to geopolitical conflicts </w:t>
      </w:r>
      <w:r>
        <w:rPr>
          <w:rFonts w:ascii="Arial" w:cs="Arial" w:eastAsia="Arial" w:hAnsi="Arial"/>
          <w:sz w:val="18"/>
          <w:szCs w:val="18"/>
          <w:color w:val="auto"/>
        </w:rPr>
        <w:t>- Reflects impacts related to the ongoing conflicts in the Middle East and Ukraine.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costs related to transportation surcharges, evacuation costs and committed compensation.</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ERP System Implementation costs </w:t>
      </w:r>
      <w:r>
        <w:rPr>
          <w:rFonts w:ascii="Arial" w:cs="Arial" w:eastAsia="Arial" w:hAnsi="Arial"/>
          <w:sz w:val="18"/>
          <w:szCs w:val="18"/>
          <w:color w:val="auto"/>
        </w:rPr>
        <w:t>– In July 2024, our Board of Directors approved funding of $1.2 billion for a multi-year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transformation program to upgrade our global ERP and supply chain systems, which is comprised of both capital expenditures and operating expenses, of which a majority is expected to be operating expenses. The ERP System Implementation program is being implemented by region in several phases with spending continuing over the next three years, with expected completion by year-end 2028. The operating expenses associated with the ERP System Implementation represent incremental transformational costs above the normal ongoing level of spending on information technology to support operations. These expenses include third-party consulting fees, direct labor costs associated with the program, accelerated depreciation of our existing SAP financial systems and various other expenses, all associated with the implementation of our information technology upgrades.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Remeasurement of net monetary position of highly inflationary countries </w:t>
      </w:r>
      <w:r>
        <w:rPr>
          <w:rFonts w:ascii="Arial" w:cs="Arial" w:eastAsia="Arial" w:hAnsi="Arial"/>
          <w:sz w:val="18"/>
          <w:szCs w:val="18"/>
          <w:color w:val="auto"/>
        </w:rPr>
        <w:t>– Our operations in Argentina, Türkiye, Egypt and Nigeria are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accounted for as highly inflationary. We exclude remeasurement gains and losses of the monetary assets and liabilities of our subsidiaries in highly inflationary economies and the realized gains and losses from derivatives that mitigate the foreign currency volatility related to the remeasurement of the respective monetary assets or liabilities from our non-GAAP earnings measures to facilitate comparisons of our underlying operating performance across periods.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Pension participation changes </w:t>
      </w:r>
      <w:r>
        <w:rPr>
          <w:rFonts w:ascii="Arial" w:cs="Arial" w:eastAsia="Arial" w:hAnsi="Arial"/>
          <w:sz w:val="18"/>
          <w:szCs w:val="18"/>
          <w:color w:val="auto"/>
        </w:rPr>
        <w:t>– Consists of the charges incurred, primarily gains or losses from pension curtailments and settlements,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settlement losses from the full or partial buy-out of our pension plans, as well as costs incurred when employee groups are withdrawn from multiemployer pension plans. We exclude these charges from our non-GAAP results because those amounts do not reflect our ongoing pension obligations.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Resolution of tax matters </w:t>
      </w:r>
      <w:r>
        <w:rPr>
          <w:rFonts w:ascii="Arial" w:cs="Arial" w:eastAsia="Arial" w:hAnsi="Arial"/>
          <w:sz w:val="18"/>
          <w:szCs w:val="18"/>
          <w:color w:val="auto"/>
        </w:rPr>
        <w:t>– Consists of the charges and credits related to unusual and significant indirect tax matters. Due to the unique</w:t>
      </w:r>
      <w:r>
        <w:rPr>
          <w:rFonts w:ascii="Arial" w:cs="Arial" w:eastAsia="Arial" w:hAnsi="Arial"/>
          <w:sz w:val="18"/>
          <w:szCs w:val="18"/>
          <w:b w:val="1"/>
          <w:bCs w:val="1"/>
          <w:color w:val="auto"/>
        </w:rPr>
        <w:t xml:space="preserve"> </w:t>
      </w:r>
      <w:r>
        <w:rPr>
          <w:rFonts w:ascii="Arial" w:cs="Arial" w:eastAsia="Arial" w:hAnsi="Arial"/>
          <w:sz w:val="18"/>
          <w:szCs w:val="18"/>
          <w:color w:val="auto"/>
        </w:rPr>
        <w:t>nature of these resolutions, we believe them to be infrequent and therefore exclude them from our non-GAAP earnings measures to better facilitate comparisons of our underlying operating performance across periods.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Initial impacts from enacted tax law changes </w:t>
      </w:r>
      <w:r>
        <w:rPr>
          <w:rFonts w:ascii="Arial" w:cs="Arial" w:eastAsia="Arial" w:hAnsi="Arial"/>
          <w:sz w:val="18"/>
          <w:szCs w:val="18"/>
          <w:color w:val="auto"/>
        </w:rPr>
        <w:t>– Initial impacts from enacted tax law changes include items such as the remeasurement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tax balances and transition taxes from tax reforms. We exclude initial impacts from enacted tax law changes from our non-GAAP financial measures as they do not reflect our ongoing tax obligations under the enacted tax law.</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Gains and losses on equity method investment transactions </w:t>
      </w:r>
      <w:r>
        <w:rPr>
          <w:rFonts w:ascii="Arial" w:cs="Arial" w:eastAsia="Arial" w:hAnsi="Arial"/>
          <w:sz w:val="18"/>
          <w:szCs w:val="18"/>
          <w:color w:val="auto"/>
        </w:rPr>
        <w:t>– We exclude gains and losses from partial or full sales of equity method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as well as impairments or other non-routine transactions related to those investments. In addition, we also exclude from our non-GAAP financial measures any gains or losses realized on economic hedges of sales proceeds from our equity method investment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12700</wp:posOffset>
            </wp:positionV>
            <wp:extent cx="28257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increased 8.2% to $10.1 billion in the first quarter of 2026 as compared to the same period in the prior year.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the first quarter of 2026 was driven by higher net pricing and favorable currency-related items, as several currencies we operate in strengthened relative to the U.S. dollar compared to exchange rates in the prior year, partially offset by unfavorable volume/mix and lapping prior-year net revenue from a divestiture.</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Organic Net Revenue </w:t>
      </w:r>
      <w:r>
        <w:rPr>
          <w:rFonts w:ascii="Arial" w:cs="Arial" w:eastAsia="Arial" w:hAnsi="Arial"/>
          <w:sz w:val="18"/>
          <w:szCs w:val="18"/>
          <w:color w:val="auto"/>
        </w:rPr>
        <w:t>– Organic Net Revenue, a non-GAAP financial measure, increased 3.0% to $9.6 billion in the first quarter of 2026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the same period in the prior year due to higher net pricing, partially offset by unfavorable volume/mix. Organic Net Revenue is reported on a constant currency basis and excludes revenue from acquisitions and divestitures.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the definition of Organic Net Revenue and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for our reconciliation with net revenues.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Diluted EPS </w:t>
      </w:r>
      <w:r>
        <w:rPr>
          <w:rFonts w:ascii="Arial" w:cs="Arial" w:eastAsia="Arial" w:hAnsi="Arial"/>
          <w:sz w:val="18"/>
          <w:szCs w:val="18"/>
          <w:color w:val="auto"/>
        </w:rPr>
        <w:t>– Diluted EPS attributable to Mondelēz International increased 41.9% to $0.44 in the first quarter of 2026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the prior year. The increase was primarily driven by a favorable year-over-year change in mark-to-market impacts from commodity and foreign currency derivatives. This favorable item was partially offset by a decrease in Adjusted EPS, higher restructuring charges and higher costs incurred for the ERP System Implementation program.</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Adjusted EPS </w:t>
      </w:r>
      <w:r>
        <w:rPr>
          <w:rFonts w:ascii="Arial" w:cs="Arial" w:eastAsia="Arial" w:hAnsi="Arial"/>
          <w:sz w:val="18"/>
          <w:szCs w:val="18"/>
          <w:color w:val="auto"/>
        </w:rPr>
        <w:t>– Adjusted EPS, a non-GAAP financial measure, decreased 9.5% to $0.67 in the first quarter of 2026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same period in the prior year. On a constant currency basis, Adjusted EPS decreased 14.9% to $0.63 in the first quarter of 2026 as compared to the same period in the prior year.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the definition of Adjusted EPS and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for our reconciliation with diluted EPS. The decrease in Adjusted EPS was driven by operating declines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partially offset by lower interest and other expense, favorable currency-related items and fewer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168910</wp:posOffset>
            </wp:positionV>
            <wp:extent cx="28257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124"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48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10,080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808</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680</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560</w:t>
            </w:r>
          </w:p>
        </w:tc>
        <w:tc>
          <w:tcPr>
            <w:tcW w:w="4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3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20" w:type="dxa"/>
            <w:vAlign w:val="bottom"/>
          </w:tcPr>
          <w:p>
            <w:pPr>
              <w:spacing w:after="0"/>
              <w:rPr>
                <w:sz w:val="15"/>
                <w:szCs w:val="15"/>
                <w:color w:val="auto"/>
              </w:rPr>
            </w:pPr>
          </w:p>
        </w:tc>
        <w:tc>
          <w:tcPr>
            <w:tcW w:w="1120" w:type="dxa"/>
            <w:vAlign w:val="bottom"/>
            <w:vMerge w:val="restart"/>
          </w:tcPr>
          <w:p>
            <w:pPr>
              <w:jc w:val="right"/>
              <w:ind w:right="16"/>
              <w:spacing w:after="0"/>
              <w:rPr>
                <w:sz w:val="20"/>
                <w:szCs w:val="20"/>
                <w:color w:val="auto"/>
              </w:rPr>
            </w:pPr>
            <w:r>
              <w:rPr>
                <w:rFonts w:ascii="Arial" w:cs="Arial" w:eastAsia="Arial" w:hAnsi="Arial"/>
                <w:sz w:val="18"/>
                <w:szCs w:val="18"/>
                <w:color w:val="auto"/>
              </w:rPr>
              <w:t>0.44</w:t>
            </w:r>
          </w:p>
        </w:tc>
        <w:tc>
          <w:tcPr>
            <w:tcW w:w="4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0.31</w:t>
            </w:r>
          </w:p>
        </w:tc>
        <w:tc>
          <w:tcPr>
            <w:tcW w:w="4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41.9 %</w:t>
            </w:r>
          </w:p>
        </w:tc>
        <w:tc>
          <w:tcPr>
            <w:tcW w:w="0" w:type="dxa"/>
            <w:vAlign w:val="bottom"/>
          </w:tcPr>
          <w:p>
            <w:pPr>
              <w:spacing w:after="0"/>
              <w:rPr>
                <w:sz w:val="1"/>
                <w:szCs w:val="1"/>
                <w:color w:val="auto"/>
              </w:rPr>
            </w:pPr>
          </w:p>
        </w:tc>
      </w:tr>
      <w:tr>
        <w:trPr>
          <w:trHeight w:val="247"/>
        </w:trPr>
        <w:tc>
          <w:tcPr>
            <w:tcW w:w="508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$767 million (8.2%) to $10,080 million in the first quarter of 2026, and Organic Net Revenue</w:t>
      </w:r>
    </w:p>
    <w:p>
      <w:pPr>
        <w:spacing w:after="0" w:line="27" w:lineRule="exact"/>
        <w:rPr>
          <w:sz w:val="20"/>
          <w:szCs w:val="20"/>
          <w:color w:val="auto"/>
        </w:rPr>
      </w:pPr>
    </w:p>
    <w:p>
      <w:pPr>
        <w:jc w:val="both"/>
        <w:ind w:firstLine="8"/>
        <w:spacing w:after="0" w:line="250" w:lineRule="auto"/>
        <w:tabs>
          <w:tab w:leader="none" w:pos="203" w:val="left"/>
        </w:tabs>
        <w:numPr>
          <w:ilvl w:val="0"/>
          <w:numId w:val="15"/>
        </w:numPr>
        <w:rPr>
          <w:rFonts w:ascii="Arial" w:cs="Arial" w:eastAsia="Arial" w:hAnsi="Arial"/>
          <w:sz w:val="11"/>
          <w:szCs w:val="11"/>
          <w:color w:val="auto"/>
        </w:rPr>
      </w:pPr>
      <w:r>
        <w:rPr>
          <w:rFonts w:ascii="Arial" w:cs="Arial" w:eastAsia="Arial" w:hAnsi="Arial"/>
          <w:sz w:val="18"/>
          <w:szCs w:val="18"/>
          <w:color w:val="auto"/>
        </w:rPr>
        <w:t xml:space="preserve">increased $279 million (3.0%) to $9,581 million. Emerging markets net revenues increased 11.4% and emerging markets Organic Net Revenue increased 6.3% </w:t>
      </w:r>
      <w:r>
        <w:rPr>
          <w:rFonts w:ascii="Arial" w:cs="Arial" w:eastAsia="Arial" w:hAnsi="Arial"/>
          <w:sz w:val="10"/>
          <w:szCs w:val="10"/>
          <w:color w:val="auto"/>
        </w:rPr>
        <w:t>(1)</w:t>
      </w:r>
      <w:r>
        <w:rPr>
          <w:rFonts w:ascii="Arial" w:cs="Arial" w:eastAsia="Arial" w:hAnsi="Arial"/>
          <w:sz w:val="18"/>
          <w:szCs w:val="18"/>
          <w:color w:val="auto"/>
        </w:rPr>
        <w:t>. Developed markets net revenues increased 6.1% and developed markets Organic Net Revenue increased 0.8%</w:t>
      </w:r>
    </w:p>
    <w:p>
      <w:pPr>
        <w:ind w:left="240" w:hanging="232"/>
        <w:spacing w:after="0"/>
        <w:tabs>
          <w:tab w:leader="none" w:pos="240" w:val="left"/>
        </w:tabs>
        <w:numPr>
          <w:ilvl w:val="0"/>
          <w:numId w:val="16"/>
        </w:numPr>
        <w:rPr>
          <w:rFonts w:ascii="Arial" w:cs="Arial" w:eastAsia="Arial" w:hAnsi="Arial"/>
          <w:sz w:val="11"/>
          <w:szCs w:val="11"/>
          <w:color w:val="auto"/>
        </w:rPr>
      </w:pPr>
      <w:r>
        <w:rPr>
          <w:rFonts w:ascii="Arial" w:cs="Arial" w:eastAsia="Arial" w:hAnsi="Arial"/>
          <w:sz w:val="18"/>
          <w:szCs w:val="18"/>
          <w:color w:val="auto"/>
        </w:rPr>
        <w:t>The underlying changes in net revenues and Organic Net Revenue are detailed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Emerging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Developed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Mondelēz</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240" w:type="dxa"/>
            <w:vAlign w:val="bottom"/>
            <w:tcBorders>
              <w:bottom w:val="single" w:sz="8" w:color="CCEEFF"/>
            </w:tcBorders>
          </w:tcPr>
          <w:p>
            <w:pPr>
              <w:spacing w:after="0"/>
              <w:rPr>
                <w:sz w:val="21"/>
                <w:szCs w:val="21"/>
                <w:color w:val="auto"/>
              </w:rPr>
            </w:pPr>
          </w:p>
        </w:tc>
        <w:tc>
          <w:tcPr>
            <w:tcW w:w="3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312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9"/>
              </w:rPr>
              <w:t>Three Months Ended March 31, 2026</w:t>
            </w:r>
          </w:p>
        </w:tc>
        <w:tc>
          <w:tcPr>
            <w:tcW w:w="3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4,149</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5,931</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10,080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Currency-related items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3,956</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5,625</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9,581</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312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9"/>
              </w:rPr>
              <w:t>Three Months Ended March 31, 2025</w:t>
            </w:r>
          </w:p>
        </w:tc>
        <w:tc>
          <w:tcPr>
            <w:tcW w:w="3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3,723</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5,590</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9,313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Divestitures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3,723</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5,579</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9,302</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8"/>
              </w:rPr>
              <w:t>% Change</w:t>
            </w:r>
          </w:p>
        </w:tc>
        <w:tc>
          <w:tcPr>
            <w:tcW w:w="5340" w:type="dxa"/>
            <w:vAlign w:val="bottom"/>
            <w:tcBorders>
              <w:bottom w:val="single" w:sz="8" w:color="CCEEFF"/>
            </w:tcBorders>
            <w:gridSpan w:val="2"/>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Divestitures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Currency-related items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Vol/Mix</w:t>
            </w: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Borders>
              <w:top w:val="single" w:sz="8" w:color="CCEEFF"/>
            </w:tcBorders>
            <w:gridSpan w:val="3"/>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0.5 pp</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(1.2)pp</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(0.5)pp</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Pricing</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additional information.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 increase of 8.2% was driven by our underlying Organic Net Revenue growth of 3.0% and favorable currency-related items, partially offset by lapping prior-year net revenue from a divestiture. Organic Net Revenue growth was driven by higher net pricing, partially offset by unfavorable volume/mix. Higher net pricing was due to the benefit of carryover pricing from 2025 as well as the effects of input cost-driven pricing actions taken during 2026. Higher net pricing was reflected in all regions. Unfavorable volume/mix was experienced in Europe, Latin America and North America, driven by volume declines reflecting pricing elasticity impacts in Europe and Latin America, as well as soft biscuits &amp; baked snacks consumption in North America. Currency-related items increased net revenues by $499 million, primarily driven by favorable currency translation rate changes, due to the strength of most currencies relative to the U.S. dollar, including the euro, British pound sterling, Mexican peso, Brazilian real, Russian ruble, Australian dollar and Chinese yuan. These favorable impacts were partially offset by the strength of the U.S. dollar relative to a few currencies, primarily the Argentinean peso, Indian rupee and Turkish lira.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795655</wp:posOffset>
            </wp:positionV>
            <wp:extent cx="28257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$128 million (18.8%) to $808 million in the first quarter of 2026. Adjusted Operating Income</w:t>
      </w:r>
    </w:p>
    <w:p>
      <w:pPr>
        <w:spacing w:after="0" w:line="27"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1"/>
          <w:szCs w:val="11"/>
          <w:color w:val="auto"/>
        </w:rPr>
      </w:pPr>
      <w:r>
        <w:rPr>
          <w:rFonts w:ascii="Arial" w:cs="Arial" w:eastAsia="Arial" w:hAnsi="Arial"/>
          <w:sz w:val="18"/>
          <w:szCs w:val="18"/>
          <w:color w:val="auto"/>
        </w:rPr>
        <w:t xml:space="preserve">decreased $192 million (14.0%) to $1,182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decreased $261 million</w:t>
      </w:r>
    </w:p>
    <w:p>
      <w:pPr>
        <w:spacing w:after="0" w:line="9"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(19.0%) to $1,113 million due to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18.8 %</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Mark-to-market losses from derivatives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Acquisition-related items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Incremental costs due to geopolitical conflicts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r>
      <w:tr>
        <w:trPr>
          <w:trHeight w:val="223"/>
        </w:trPr>
        <w:tc>
          <w:tcPr>
            <w:tcW w:w="5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Currency-related items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52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Operating Income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net pricing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Higher input costs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(439)</w:t>
            </w: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volume/mix</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Higher selling, general and administrative expenses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(104)</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Lower amortization of intangible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auto"/>
            </w:tcBorders>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(261)</w:t>
            </w:r>
          </w:p>
        </w:tc>
        <w:tc>
          <w:tcPr>
            <w:tcW w:w="12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additional information.</w:t>
      </w:r>
    </w:p>
    <w:p>
      <w:pPr>
        <w:spacing w:after="0" w:line="200" w:lineRule="exact"/>
        <w:rPr>
          <w:sz w:val="20"/>
          <w:szCs w:val="20"/>
          <w:color w:val="auto"/>
        </w:rPr>
      </w:pPr>
    </w:p>
    <w:p>
      <w:pPr>
        <w:spacing w:after="0" w:line="2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2026, we realized higher net pricing, which was more than offset by increased input costs and unfavorable volume/mix. Higher net pricing, which included the carryover impact of pricing actions taken in 2025, was reflected across all regions. The increase in input costs was driven by higher raw material costs, partially offset by lower manufacturing costs driven by productivity. While there were declines in cocoa market prices during the first quarter of 2026, those declines did not translate into lower costs due to our existing hedge positions and sales of higher cost inventory that we held at the beginning of the period, Higher raw material costs were also driven by higher packaging, edible oils, nuts, energy, dairy and other ingredient costs, as well as unfavorable year-over-year currency exchange transaction costs on imported materials, partially offset by lower sugar and grain costs. Overall, unfavorable volume/mix was experienced in Europe, Latin America and North America, reflecting pricing elasticity impacts as well as biscuits &amp; baked snacks category softness in North America.</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selling, general and administrative expenses increased $205 million from the first quarter of 2025, which was net of several unfavorable factors noted in the table above, including in part, an unfavorable currency-related impacts to expenses and higher costs incurred for the ERP System Implementation program. Excluding these factors, selling, general and administrative expenses increased $104 million from the first quarter of 2025. The increase was driven primarily by higher advertising and consumer promotion costs and higher other selling, general and administration expenses.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Currency-related items increased operating income by $69 million due to favorable currency translation rate changes, as the impact of extreme pricing in Argentina was not material. Favorable currency translation rate changes were primarily due to the strength of several currencies relative to the U.S. dollar, including the euro, British pound sterling, Russian ruble, Brazilian real, Chinese yuan and Mexican peso, partially offset by the strength of the U.S. dollar relative to several currencies, including the Swiss franc and Indian rupee.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167005</wp:posOffset>
            </wp:positionV>
            <wp:extent cx="28257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income margin increased from 7.3% in the first quarter of 2025 to 8.0% in the first quarter of 2026. The increase in operating income margin was driven primarily by a favorable year-over-year change in mark-to-market impacts from commodity and foreign currency derivatives, partially offset by lower Adjusted Operating Income margin, higher restructuring charges and higher costs incurred for the ERP System Implementation program. Adjusted Operating Income margin decreased from 14.8% for the first quarter of 2025 to 11.7% for the first quarter of 2026. The decrease was driven primarily by higher raw material costs, unfavorable product mix, higher advertising and consumer promotion costs and general and administrative expenses, partially offset by higher pricing and lower manufacturing costs driven by productivity.</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In the first quarter of 2026, our effective tax rate was 29.4% as compared to 28.3% in the first quarter of 2025. The lower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 in the prior year was mainly driven by releases of liabilities for uncertain tax positions due to audit developments in the first quarter of 2025.</w:t>
      </w:r>
    </w:p>
    <w:p>
      <w:pPr>
        <w:spacing w:after="0" w:line="19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$ 560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$158 million (39.3%) in the first quarter of 2026. Diluted EPS attributable to Mondelēz International was $0.44 in the first quarter of 2026, up $0.13 (41.9%) from the first quarter of 2025.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$0.67 in the first quarter of 2026, down $0.07 (9.5%) from the first quarter of 2025.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$0.63 in the first quarter of 2026, down $0.11 (14.9%) from the first quarter of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5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95"/>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b w:val="1"/>
                <w:bCs w:val="1"/>
                <w:color w:val="auto"/>
                <w:w w:val="96"/>
              </w:rPr>
              <w:t>0.44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0.13</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41.9 %</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9"/>
                <w:szCs w:val="19"/>
                <w:color w:val="auto"/>
              </w:rPr>
            </w:pPr>
          </w:p>
        </w:tc>
        <w:tc>
          <w:tcPr>
            <w:tcW w:w="1180" w:type="dxa"/>
            <w:vAlign w:val="bottom"/>
          </w:tcPr>
          <w:p>
            <w:pPr>
              <w:jc w:val="center"/>
              <w:ind w:left="595"/>
              <w:spacing w:after="0"/>
              <w:rPr>
                <w:sz w:val="20"/>
                <w:szCs w:val="20"/>
                <w:color w:val="auto"/>
              </w:rPr>
            </w:pPr>
            <w:r>
              <w:rPr>
                <w:rFonts w:ascii="Arial" w:cs="Arial" w:eastAsia="Arial" w:hAnsi="Arial"/>
                <w:sz w:val="18"/>
                <w:szCs w:val="18"/>
                <w:color w:val="auto"/>
                <w:w w:val="96"/>
              </w:rPr>
              <w:t>0.03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Mark-to-market losses from derivatives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595"/>
              <w:spacing w:after="0"/>
              <w:rPr>
                <w:sz w:val="20"/>
                <w:szCs w:val="20"/>
                <w:color w:val="auto"/>
              </w:rPr>
            </w:pPr>
            <w:r>
              <w:rPr>
                <w:rFonts w:ascii="Arial" w:cs="Arial" w:eastAsia="Arial" w:hAnsi="Arial"/>
                <w:sz w:val="18"/>
                <w:szCs w:val="18"/>
                <w:color w:val="auto"/>
                <w:w w:val="96"/>
              </w:rPr>
              <w:t>0.17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95"/>
              <w:spacing w:after="0"/>
              <w:rPr>
                <w:sz w:val="20"/>
                <w:szCs w:val="20"/>
                <w:color w:val="auto"/>
              </w:rPr>
            </w:pPr>
            <w:r>
              <w:rPr>
                <w:rFonts w:ascii="Arial" w:cs="Arial" w:eastAsia="Arial" w:hAnsi="Arial"/>
                <w:sz w:val="18"/>
                <w:szCs w:val="18"/>
                <w:color w:val="auto"/>
                <w:w w:val="96"/>
              </w:rPr>
              <w:t>0.03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r>
      <w:tr>
        <w:trPr>
          <w:trHeight w:val="223"/>
        </w:trPr>
        <w:tc>
          <w:tcPr>
            <w:tcW w:w="5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center"/>
              <w:ind w:left="595"/>
              <w:spacing w:after="0"/>
              <w:rPr>
                <w:sz w:val="20"/>
                <w:szCs w:val="20"/>
                <w:color w:val="auto"/>
              </w:rPr>
            </w:pPr>
            <w:r>
              <w:rPr>
                <w:rFonts w:ascii="Arial" w:cs="Arial" w:eastAsia="Arial" w:hAnsi="Arial"/>
                <w:sz w:val="18"/>
                <w:szCs w:val="18"/>
                <w:b w:val="1"/>
                <w:bCs w:val="1"/>
                <w:color w:val="auto"/>
                <w:w w:val="96"/>
              </w:rPr>
              <w:t>0.67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r>
      <w:tr>
        <w:trPr>
          <w:trHeight w:val="229"/>
        </w:trPr>
        <w:tc>
          <w:tcPr>
            <w:tcW w:w="5940" w:type="dxa"/>
            <w:vAlign w:val="bottom"/>
          </w:tcPr>
          <w:p>
            <w:pPr>
              <w:ind w:left="220"/>
              <w:spacing w:after="0"/>
              <w:rPr>
                <w:sz w:val="20"/>
                <w:szCs w:val="20"/>
                <w:color w:val="auto"/>
              </w:rPr>
            </w:pPr>
            <w:r>
              <w:rPr>
                <w:rFonts w:ascii="Arial" w:cs="Arial" w:eastAsia="Arial" w:hAnsi="Arial"/>
                <w:sz w:val="18"/>
                <w:szCs w:val="18"/>
                <w:color w:val="auto"/>
              </w:rPr>
              <w:t>Currency-related items</w:t>
            </w:r>
          </w:p>
        </w:tc>
        <w:tc>
          <w:tcPr>
            <w:tcW w:w="120" w:type="dxa"/>
            <w:vAlign w:val="bottom"/>
          </w:tcPr>
          <w:p>
            <w:pPr>
              <w:spacing w:after="0"/>
              <w:rPr>
                <w:sz w:val="19"/>
                <w:szCs w:val="19"/>
                <w:color w:val="auto"/>
              </w:rPr>
            </w:pPr>
          </w:p>
        </w:tc>
        <w:tc>
          <w:tcPr>
            <w:tcW w:w="1180" w:type="dxa"/>
            <w:vAlign w:val="bottom"/>
          </w:tcPr>
          <w:p>
            <w:pPr>
              <w:jc w:val="center"/>
              <w:ind w:left="575"/>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b w:val="1"/>
                <w:bCs w:val="1"/>
                <w:color w:val="auto"/>
                <w:w w:val="96"/>
              </w:rPr>
              <w:t>0.63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621"/>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EPS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operations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(0.14)</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Change in interest and other expense, net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income taxes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 in shares outstanding</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r>
      <w:tr>
        <w:trPr>
          <w:trHeight w:val="248"/>
        </w:trPr>
        <w:tc>
          <w:tcPr>
            <w:tcW w:w="59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EPS (constant currency) </w:t>
            </w:r>
            <w:r>
              <w:rPr>
                <w:rFonts w:ascii="Arial" w:cs="Arial" w:eastAsia="Arial" w:hAnsi="Arial"/>
                <w:sz w:val="23"/>
                <w:szCs w:val="23"/>
                <w:b w:val="1"/>
                <w:bCs w:val="1"/>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(0.11)</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328" w:lineRule="exact"/>
        <w:rPr>
          <w:sz w:val="20"/>
          <w:szCs w:val="20"/>
          <w:color w:val="auto"/>
        </w:rPr>
      </w:pPr>
    </w:p>
    <w:p>
      <w:pPr>
        <w:ind w:left="340" w:hanging="332"/>
        <w:spacing w:after="0" w:line="261"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additional information. The tax expense/(benefit) of each of the pre-tax items excluded from our U.S. GAAP results was computed based on the facts and tax assumptions associated with each item, and such impacts have also been excluded from Adjusted EPS.</w:t>
      </w:r>
    </w:p>
    <w:p>
      <w:pPr>
        <w:spacing w:after="0" w:line="1" w:lineRule="exact"/>
        <w:rPr>
          <w:rFonts w:ascii="Arial" w:cs="Arial" w:eastAsia="Arial" w:hAnsi="Arial"/>
          <w:sz w:val="14"/>
          <w:szCs w:val="14"/>
          <w:color w:val="auto"/>
        </w:rPr>
      </w:pPr>
    </w:p>
    <w:p>
      <w:pPr>
        <w:ind w:left="660" w:right="20" w:hanging="328"/>
        <w:spacing w:after="0" w:line="261" w:lineRule="auto"/>
        <w:tabs>
          <w:tab w:leader="none" w:pos="656" w:val="left"/>
        </w:tabs>
        <w:numPr>
          <w:ilvl w:val="1"/>
          <w:numId w:val="18"/>
        </w:numPr>
        <w:rPr>
          <w:rFonts w:ascii="Arial" w:cs="Arial" w:eastAsia="Arial" w:hAnsi="Arial"/>
          <w:sz w:val="14"/>
          <w:szCs w:val="14"/>
          <w:color w:val="auto"/>
        </w:rPr>
      </w:pPr>
      <w:r>
        <w:rPr>
          <w:rFonts w:ascii="Arial" w:cs="Arial" w:eastAsia="Arial" w:hAnsi="Arial"/>
          <w:sz w:val="14"/>
          <w:szCs w:val="14"/>
          <w:color w:val="auto"/>
        </w:rPr>
        <w:t>For the three months ended March 31, 2026, taxes for the: restructuring charges were $(9) million, mark-to-market losses from derivatives were $(59) million and ERP System Implementation program were $(13) million.</w:t>
      </w:r>
    </w:p>
    <w:p>
      <w:pPr>
        <w:ind w:left="660" w:hanging="328"/>
        <w:spacing w:after="0" w:line="284" w:lineRule="auto"/>
        <w:tabs>
          <w:tab w:leader="none" w:pos="656" w:val="left"/>
        </w:tabs>
        <w:numPr>
          <w:ilvl w:val="1"/>
          <w:numId w:val="18"/>
        </w:numPr>
        <w:rPr>
          <w:rFonts w:ascii="Arial" w:cs="Arial" w:eastAsia="Arial" w:hAnsi="Arial"/>
          <w:sz w:val="14"/>
          <w:szCs w:val="14"/>
          <w:color w:val="auto"/>
        </w:rPr>
      </w:pPr>
      <w:r>
        <w:rPr>
          <w:rFonts w:ascii="Arial" w:cs="Arial" w:eastAsia="Arial" w:hAnsi="Arial"/>
          <w:sz w:val="14"/>
          <w:szCs w:val="14"/>
          <w:color w:val="auto"/>
        </w:rPr>
        <w:t>For the three months ended March 31, 2025, taxes for the: mark-to-market losses from derivatives were $(136) million and ERP System Implementation program were $(8)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929640</wp:posOffset>
            </wp:positionV>
            <wp:extent cx="28257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 which are also our reportable segments:</w:t>
      </w:r>
    </w:p>
    <w:p>
      <w:pPr>
        <w:spacing w:after="0" w:line="2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 Refer to Note 14,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reconciliation of segment net revenues and earnings to consolidated financial statement totals were:</w:t>
      </w:r>
    </w:p>
    <w:p>
      <w:pPr>
        <w:spacing w:after="0" w:line="14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For the Three Months Ended</w:t>
      </w:r>
    </w:p>
    <w:p>
      <w:pPr>
        <w:jc w:val="center"/>
        <w:ind w:left="736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2025</w:t>
            </w:r>
          </w:p>
        </w:tc>
      </w:tr>
      <w:tr>
        <w:trPr>
          <w:trHeight w:val="196"/>
        </w:trPr>
        <w:tc>
          <w:tcPr>
            <w:tcW w:w="7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7"/>
                <w:szCs w:val="17"/>
                <w:color w:val="auto"/>
              </w:rPr>
            </w:pPr>
          </w:p>
        </w:tc>
      </w:tr>
      <w:tr>
        <w:trPr>
          <w:trHeight w:val="231"/>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1,203</w:t>
            </w: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Europe</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3,550</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r>
      <w:tr>
        <w:trPr>
          <w:trHeight w:val="196"/>
        </w:trPr>
        <w:tc>
          <w:tcPr>
            <w:tcW w:w="7380" w:type="dxa"/>
            <w:vAlign w:val="bottom"/>
          </w:tcPr>
          <w:p>
            <w:pPr>
              <w:ind w:left="20"/>
              <w:spacing w:after="0" w:line="196" w:lineRule="exact"/>
              <w:rPr>
                <w:sz w:val="20"/>
                <w:szCs w:val="20"/>
                <w:color w:val="auto"/>
              </w:rPr>
            </w:pPr>
            <w:r>
              <w:rPr>
                <w:rFonts w:ascii="Arial" w:cs="Arial" w:eastAsia="Arial" w:hAnsi="Arial"/>
                <w:sz w:val="18"/>
                <w:szCs w:val="18"/>
                <w:color w:val="auto"/>
              </w:rPr>
              <w:t>Net revenues</w:t>
            </w:r>
          </w:p>
        </w:tc>
        <w:tc>
          <w:tcPr>
            <w:tcW w:w="1180" w:type="dxa"/>
            <w:vAlign w:val="bottom"/>
            <w:tcBorders>
              <w:bottom w:val="single" w:sz="8" w:color="auto"/>
            </w:tcBorders>
          </w:tcPr>
          <w:p>
            <w:pPr>
              <w:jc w:val="right"/>
              <w:ind w:right="974"/>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10,080</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9,313</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738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Segment operating income:</w:t>
            </w:r>
          </w:p>
        </w:tc>
        <w:tc>
          <w:tcPr>
            <w:tcW w:w="1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7380" w:type="dxa"/>
            <w:vAlign w:val="bottom"/>
          </w:tcPr>
          <w:p>
            <w:pPr>
              <w:ind w:left="360"/>
              <w:spacing w:after="0"/>
              <w:rPr>
                <w:sz w:val="20"/>
                <w:szCs w:val="20"/>
                <w:color w:val="auto"/>
              </w:rPr>
            </w:pPr>
            <w:r>
              <w:rPr>
                <w:rFonts w:ascii="Arial" w:cs="Arial" w:eastAsia="Arial" w:hAnsi="Arial"/>
                <w:sz w:val="18"/>
                <w:szCs w:val="18"/>
                <w:color w:val="auto"/>
              </w:rPr>
              <w:t>Latin America</w:t>
            </w: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AMEA</w:t>
            </w: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7380" w:type="dxa"/>
            <w:vAlign w:val="bottom"/>
          </w:tcPr>
          <w:p>
            <w:pPr>
              <w:ind w:left="360"/>
              <w:spacing w:after="0"/>
              <w:rPr>
                <w:sz w:val="20"/>
                <w:szCs w:val="20"/>
                <w:color w:val="auto"/>
              </w:rPr>
            </w:pPr>
            <w:r>
              <w:rPr>
                <w:rFonts w:ascii="Arial" w:cs="Arial" w:eastAsia="Arial" w:hAnsi="Arial"/>
                <w:sz w:val="18"/>
                <w:szCs w:val="18"/>
                <w:color w:val="auto"/>
              </w:rPr>
              <w:t>Europe</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30"/>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Mark-to-market losses from derivatives</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corporate expenses</w:t>
            </w: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divestiture</w:t>
            </w:r>
          </w:p>
        </w:tc>
        <w:tc>
          <w:tcPr>
            <w:tcW w:w="1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8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0"/>
        </w:trPr>
        <w:tc>
          <w:tcPr>
            <w:tcW w:w="7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548640</wp:posOffset>
            </wp:positionV>
            <wp:extent cx="28257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40"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7"/>
                <w:szCs w:val="17"/>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1,348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7.2 %</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revenues increased $145 million (12.1%), due to higher net pricing (8.1 pp) and a favorable impact of currency-related items (7.0 pp), partially offset by unfavorable volume/mix (3.0 pp). Higher net pricing was driven by input cost-driven pricing actions and reflected across all categories, primarily in Argentina, Brazil and Mexico. Currency-related items were favorable primarily due to currency translation rate changes, reflecting the strength of most currencies relative to the U.S. dollar, including the Mexican peso, Brazilian real and Colombian peso. These favorable impacts were partially offset by the strength of the U.S. dollar relative to a few currencies, primarily the Argentinean peso. Unfavorable volume/mix reflected volume declines due to pricing elasticity impacts across most markets, primarily in Argentina and Mexico. Overall, unfavorable volume/mix was driven by declines in all categories except gum.</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 operating income increased $10 million (7.2%), primarily due to higher pricing, lower manufacturing costs driven by productivity and favorable currency translation rate changes. These favorable items were partially offset by higher raw materials, unfavorable volume/mix, higher other selling, general and administrative expenses and higher costs incurred for the ERP System Implementation program.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52"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spacing w:after="0" w:line="2"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7"/>
                <w:szCs w:val="17"/>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5"/>
        </w:trPr>
        <w:tc>
          <w:tcPr>
            <w:tcW w:w="50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2,304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increased $288 million (14.3%), due to favorable volume/mix (5.8 pp), higher net pricing (5.5 pp) and favorable currency translation rate changes (3.0 pp). Favorable volume/mix reflected volume growth in all categories except beverages. Higher net pricing, driven by input cost-driven pricing actions, was reflected in all categories except candy. Favorable currency translation impacts were due to the strength of most currencies in the region relative to the U.S. dollar, including the Australian dollar, Chinese yuan, South African rand and the Malaysian ringgit, partially offset by the strength of a few currencies relative to the U.S. dollar, primarily the Indian rupee.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decreased $17 million (5.0%), primarily due to higher raw material costs, higher advertising and consumer promotion costs and incremental costs due to geopolitical conflicts. These unfavorable items were partially offset by higher net pricing, lower manufacturing costs driven by productivity, favorable volume/mix impact, favorable currency translation rate changes and lower acquisition-related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321310</wp:posOffset>
            </wp:positionV>
            <wp:extent cx="28257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40"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7"/>
                <w:szCs w:val="17"/>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3,871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(36.4)%</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revenues increased $321 million (9.0%), due to favorable currency translation rate changes (9.6 pp) and higher net pricing (2.6 pp), partially offset by unfavorable volume/mix (3.2pp). Favorable currency translation rate changes reflected the strength of most currencies relative to the U.S. dollar, primarily the euro, British pound sterling, Russian ruble, Polish zloty, Swedish krona and Norwegian krone, partially offset by the strength of the U.S. dollar relative to a few currencies, primarily the Turkish lira. Higher net pricing, driven by input cost-driven pricing actions, was reflected primarily in chocolate, biscuits &amp; baked snacks, gum and candy. Unfavorable volume/mix reflected volume declines due to pricing elasticity impacts and was driven by declines in chocolate, candy and beverages, partially offset by gains in meals, biscuits &amp; baked snacks and gum.</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decreased $168 million (36.4%), primarily due to higher raw material costs, higher restructuring charges, unfavorable volume/mix and higher advertising and consumer promotion and other selling, general and administrative expenses. These unfavorable items were partially offset by higher net pricing, favorable currency translation rate changes and by lower manufacturing costs driven by productivity.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52"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spacing w:after="0" w:line="2"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7"/>
                <w:szCs w:val="17"/>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5"/>
        </w:trPr>
        <w:tc>
          <w:tcPr>
            <w:tcW w:w="50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2,557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485</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(20.8)%</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increased $13 million (0.5%), due to higher net pricing (0.9 pp) and favorable currency translation rate changes (0.4 pp), partially offset by unfavorable volume/mix (0.4 pp) and lapping prior-year net revenue from a divestiture (0.4 pp). Higher net pricing, driven by input cost-driven pricing actions, was reflected in all categories except candy. Favorable currency translation rate changes were due to the strength of the Canadian dollar relative to the U.S. dollar. Unfavorable volume/mix was primarily driven by declines in biscuits &amp; baked snacks due to soft consumption in the U.S.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$101 million (20.8%), primarily due to higher raw material costs, unfavorable volume/mix, higher advertising and consumer promotions and other selling, general and administrative expenses, higher costs incurred for the ERP System Implementation program, unfavorable acquisition-related items reflecting a lower year-over-year benefit from contingent consideration adjustments related to Clif Bar. These unfavorable items were partially offset by lower manufacturing costs due to productivity and higher net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168275</wp:posOffset>
            </wp:positionV>
            <wp:extent cx="28257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cash from operations, our revolving credit facilities, short-term borrowings and long-term debt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Overall, we do not expect negative effects to our funding sources that would have a material effect on our liquidity, and we continue to monitor our global operations including the impact of developments in Ukraine and the Middle East.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non-operating items.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Long-term cash requirements primarily relate to funding long-term debt repayments (refer to Note 5,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deferred taxes (refer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for the year ended December 31, 2025), long-term benefit plan obligations (refer to Note 7,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in Item 1 herein and Note 10</w:t>
      </w:r>
      <w:r>
        <w:rPr>
          <w:rFonts w:ascii="Arial" w:cs="Arial" w:eastAsia="Arial" w:hAnsi="Arial"/>
          <w:sz w:val="18"/>
          <w:szCs w:val="18"/>
          <w:i w:val="1"/>
          <w:iCs w:val="1"/>
          <w:color w:val="auto"/>
        </w:rPr>
        <w:t>, Benefit Plans,</w:t>
      </w:r>
      <w:r>
        <w:rPr>
          <w:rFonts w:ascii="Arial" w:cs="Arial" w:eastAsia="Arial" w:hAnsi="Arial"/>
          <w:sz w:val="18"/>
          <w:szCs w:val="18"/>
          <w:color w:val="auto"/>
        </w:rPr>
        <w:t xml:space="preserve"> in our Annual report on Form 10-K for the year ended December 31, 2025) and commodity-related purchase commitments and derivative contracts (refer to Note 6,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generally fund short- and long-term cash requirements with cash from operating activities as well as cash proceeds from short- and long-term debt financing (refer to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We generally do not use equity to fund our ongoing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by/(used in):</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Operating activities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Investing activities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Three Months Ended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wp:posOffset>
            </wp:positionV>
            <wp:extent cx="18942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1" w:lineRule="exact"/>
        <w:rPr>
          <w:sz w:val="20"/>
          <w:szCs w:val="20"/>
          <w:color w:val="auto"/>
        </w:rPr>
      </w:pPr>
    </w:p>
    <w:p>
      <w:pPr>
        <w:ind w:left="540"/>
        <w:spacing w:after="0"/>
        <w:tabs>
          <w:tab w:leader="none" w:pos="234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19050</wp:posOffset>
            </wp:positionV>
            <wp:extent cx="18942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23495</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5" w:lineRule="exact"/>
        <w:rPr>
          <w:sz w:val="20"/>
          <w:szCs w:val="20"/>
          <w:color w:val="auto"/>
        </w:rPr>
      </w:pPr>
    </w:p>
    <w:p>
      <w:pPr>
        <w:spacing w:after="0"/>
        <w:tabs>
          <w:tab w:leader="none" w:pos="1020" w:val="left"/>
          <w:tab w:leader="none" w:pos="152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467</w:t>
        <w:tab/>
        <w:t>$</w:t>
      </w:r>
      <w:r>
        <w:rPr>
          <w:sz w:val="20"/>
          <w:szCs w:val="20"/>
          <w:color w:val="auto"/>
        </w:rPr>
        <w:tab/>
      </w:r>
      <w:r>
        <w:rPr>
          <w:rFonts w:ascii="Arial" w:cs="Arial" w:eastAsia="Arial" w:hAnsi="Arial"/>
          <w:sz w:val="17"/>
          <w:szCs w:val="17"/>
          <w:color w:val="auto"/>
        </w:rPr>
        <w:t>1,092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17780</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520" w:hanging="1546"/>
        <w:spacing w:after="0"/>
        <w:tabs>
          <w:tab w:leader="none" w:pos="2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(251)</w:t>
      </w:r>
    </w:p>
    <w:p>
      <w:pPr>
        <w:spacing w:after="0" w:line="61" w:lineRule="exact"/>
        <w:rPr>
          <w:sz w:val="20"/>
          <w:szCs w:val="20"/>
          <w:color w:val="auto"/>
        </w:rPr>
      </w:pPr>
    </w:p>
    <w:p>
      <w:pPr>
        <w:ind w:left="2520" w:hanging="1546"/>
        <w:spacing w:after="0"/>
        <w:tabs>
          <w:tab w:leader="none" w:pos="2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(704)</w:t>
      </w:r>
    </w:p>
    <w:p>
      <w:pPr>
        <w:spacing w:after="0" w:line="200" w:lineRule="exact"/>
        <w:rPr>
          <w:sz w:val="20"/>
          <w:szCs w:val="20"/>
          <w:color w:val="auto"/>
        </w:rPr>
      </w:pPr>
    </w:p>
    <w:p>
      <w:pPr>
        <w:sectPr>
          <w:pgSz w:w="11900" w:h="16838" w:orient="portrait"/>
          <w:cols w:equalWidth="0" w:num="2">
            <w:col w:w="7560" w:space="720"/>
            <w:col w:w="2960"/>
          </w:cols>
          <w:pgMar w:left="320" w:top="364" w:right="3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reduction in net cash provided by operating activities was primarily due to lower cash-basis net earnings, combined with unfavorable year-over-year working capital movements.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net cash used in investing activities was primarily driven by net payments for derivative settlements in the current year versus net proceeds in the prior year, and higher capital expenditures in the current year. We continue to make capital expenditures primarily to modernize manufacturing facilities, implement new product manufacturing and support productivity initiatives. We expect 2026 capital expenditures to be up to $ 1.4 billion, including capital expenditures in connection with funding our strategic priorities. We expect to continue to fund these expenditures with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170815</wp:posOffset>
            </wp:positionV>
            <wp:extent cx="28257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reduction in cash used in financing activities was primarily due to lower share repurchases in the current year, partially offset by higher debt repayments, lower proceeds from debt issuances and higher dividends paid in the first three months of 2026 compared to the same prior 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of $644 million in the first three months of 2026 and $623 million in the first three months of 2025. The first quarter 2026 dividend of $0.50 per share, declared on February 12, 2026 for shareholders of record as of March 31, 2026, was paid on April 14, 2026.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discussed in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As of March 31, 2026 and December 31, 2025, we had no material third-party guarantees recorded on our condensed consolidated balance sheets. Guarantees do not have, and we do not expect them to have, a material effect on our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our short-term working capital or other financing needs.</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its December 2025 meeting, the Board of Directors approved a new $4 billion long-term financing authorization that replaced the prior long-term financing authorization of $4 billion. As of March 31, 2026, $4 billion of the long-term financing authorization remained available. On April 10, 2026, we issued three Swiss franc-denominated notes with an aggregate principal amount of Fr.850 (USD $1,074</w:t>
      </w:r>
      <w:r>
        <w:rPr>
          <w:rFonts w:ascii="Times New Roman" w:cs="Times New Roman" w:eastAsia="Times New Roman" w:hAnsi="Times New Roman"/>
          <w:sz w:val="19"/>
          <w:szCs w:val="19"/>
          <w:color w:val="auto"/>
        </w:rPr>
        <w:t>)</w:t>
      </w:r>
      <w:r>
        <w:rPr>
          <w:rFonts w:ascii="Arial" w:cs="Arial" w:eastAsia="Arial" w:hAnsi="Arial"/>
          <w:sz w:val="18"/>
          <w:szCs w:val="18"/>
          <w:color w:val="auto"/>
        </w:rPr>
        <w:t>, which reduced our long-term financing authorization by a corresponding amount.</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total debt was $21.0 billion as of March 31, 2026 and $21.2 billion as of December 31, 2025. Our debt-to-capitalization ratio was 0.45 at March 31, 2026 and 0.45 at December 31, 2025. At March 31, 2026, the weighted-average term of our outstanding long-term debt was 7.1 years. Our average daily commercial paper borrowings outstanding were $3.4 billion in the first three months of 2026 and $1.7 billion in the first three months of 2025.</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76.2% (or $7.7 billion) of the $10.1 billion of consolidated net revenue for the three months ended March 31, 2026. The operations held by MIHN represented approximately 97.7% (or $25.2 billion) of the $25.8 billion of consolidated net assets as of March 31, 2026.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additional information on our debt and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While there were declines in cocoa market prices during the first quarter of 2026, those declines did not translate into lower costs due to our existing hedge positions and sales of higher cost inventory that we held at the beginning of the period. Other drivers of the increase in our aggregate commodity costs during the first three months of 2026 included higher packaging, edible oils, nuts, energy, dairy and other ingredient costs, as well as unfavorable year-over-year currency exchange transaction costs on imported materials, partially offset by lower sugar and grain costs. While the costs of our principal raw materials fluctuate, generally we believe there will continue to be an adequate supply of the raw materials we use and that they will broadly remain available.</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number of external factors such as the current macroeconomic environment, including global inflation, effects of geopolitical uncertainty, climate, weather and other conditions affecting plant health and crop yield, commodity, transportation and labor market conditions, exchange rate volatility and the effects of local and global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8890</wp:posOffset>
            </wp:positionV>
            <wp:extent cx="28257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including trade policies, governmental agricultural or other programs affect the availability and cost of raw materials and agricultural materials used in our products. In particular, the supply of cocoa is exposed to many of these factors, including climate change, weather and other events affecting plant health and crop yield, local regulations in cocoa-producing countries and global regulations such as the EU Deforestation Regulation (which requires companies to ensure that the products they place on the EU market or export from it are not associated with deforestation). These factors could impact the supply of cocoa, which could potentially limit our ability to produce our products and significantly impact our profitability.</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first three months of 2026, price volatility and the higher aggregate cost environment increased due to international supply chain and labor market disruptions and generally higher commodity, transportation and labor costs. We expect these conditions to continue to impact our aggregate commodity costs. In particular, cocoa costs are lower compared to prior year but are expected to remain elevated compared to historical levels in the near- and medium-term due to these factors. It is possible that we may not be able to increase prices sufficiently to fully cover the incremental costs of cocoa prices in this environment and/or our hedging strategies may not protect us from increases in cocoa costs, which could result in a significant adverse impact on our profitability.</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Our commodity procurement practices are intended to mitigate price volatility and provide visibility to future costs, but also may potentially limit our ability to benefit from possible future price decreases. Additionally, our costs for major raw materials will not necessarily reflect market price fluctuations because of our forward purchasing and hedging practices. For example, our hedging positions resulted in our current period costs not fully reflecting the decline in cocoa market prices during the first quarter of 2026. Due to competitive or market conditions, planned trade or promotional incentives, fluctuations in currency exchange rates or other factors, our pricing actions may also lag commodity cost changes temporarily.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and estimates are described in Note 1 to our consolidated financial statements and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respectively, in our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year ended December 31, 2025. Also refer to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this report.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(the "Exchange Act").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"remain," “potential,” “commitment,” “outlook,” “continue” or any other similar words.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and are amplified by ongoing macroeconomic volatility and uncertainty, including current and potential trade and tariff actions affecting the countries where we operate. Important factors that could cause our actual results or performance to differ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13970</wp:posOffset>
            </wp:positionV>
            <wp:extent cx="28257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materially from those contained in or implied by our forward-looking statements include, but are not limited to, the following:</w:t>
      </w:r>
    </w:p>
    <w:p>
      <w:pPr>
        <w:spacing w:after="0" w:line="27" w:lineRule="exact"/>
        <w:rPr>
          <w:sz w:val="20"/>
          <w:szCs w:val="20"/>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weakness and/or volatility in macroeconomic conditions in our markets, including as a result of inflation (and related monetary policy actions by governments in response to inflation) and the instability of certain financial institutions;</w:t>
      </w: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from operating globally including geopolitical, trade, tariff and regulatory uncertainties affecting developed and emerging markets;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of cocoa and other commodity input costs, our ability to effectively hedge such costs and the availability of commodities;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and our response to channel shifts and pricing and other competitive pressures;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actions and customer and consumer responses to such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promotion and protection of our reputation and brand image;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weakness in consumer spending and/or changes in consumer preferences and demand and our ability to predict, identify, interpret and meet these changes;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and effects on us of legal and tax proceedings and government investigations;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information technology and third party service providers;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disruptions to our business, such as malware incidents, cyberattacks or other security breaches, and supply, commodity, labor and transportation constraints;</w:t>
      </w:r>
    </w:p>
    <w:p>
      <w:pPr>
        <w:jc w:val="both"/>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identify, complete, manage and realize the full extent of the benefits, cost savings, efficiencies and/or synergies presented by strategic acquisitions and other transactions as well as other strategic initiatives, such as our ERP System Implementation program;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investments and our ownership interests in those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restructuring actions and other transformation initiatives not yielding the anticipated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assumptions on which restructuring actions or other transformation initiatives are based;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climate change on our supply chain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global or regional health pandemics or epidemics;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consolidation of retail customers and competition with retailer and other economy brands;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relationships with customers, suppliers or distributors;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of our workforce and shifts in labor availability or 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legal, regulatory, tax and benefit laws and related changes, claims or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or actual product quality issues or product recalls;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maintain effective internal control over financial reporting or disclosure controls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matters including changes in tax laws and rates, disagreements with taxing authorities and imposition of new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currency exchange rates, controls and restrictions;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of and access to capital or other markets, interest rates, the effectiveness of our cash management programs and our liquidity;</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changes in valuation factors that may adversely affect our impairment testing of goodwill and intangible assets; and</w:t>
      </w:r>
    </w:p>
    <w:p>
      <w:pPr>
        <w:spacing w:after="0" w:line="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risks and uncertainties, as they may be amended from time to time, set forth in our filings with the U.S. Securities and Exchange Commission, including our Annual Report on Form 10-K for the year ended December 31, 2025 and subsequent Quarterly Reports on Form 10-Q.</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13970</wp:posOffset>
            </wp:positionV>
            <wp:extent cx="28257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principally utilize derivative instruments to reduce significant, unanticipated earnings fluctuations that may arise from volatility in currency exchange rates, commodity prices and interest rates. Additionally, we periodically use interest rate swaps and forward interest rate contracts to achieve a desired proportion of variable versus fixed rate debt based on current and projected market conditions. For additional information on our derivative activity and the types of derivative instruments we use to hedge our currency exchange, commodity price and interest rate exposures, see Note 6,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and for additional information on our debt activity, see Note 5,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additional information on our strategies, policies and practices on an ongoing basis, refer to our Annual Report on Form 10-K for the year ended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March 31, 2026. Based on this evaluation, the CEO and CFO concluded that our disclosure controls and procedures were effective as of March 31, 2026.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2026. There were no material changes in our internal control over financial reporting during the quarter ended March 31, 2026,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163195</wp:posOffset>
            </wp:positionV>
            <wp:extent cx="28257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Information regarding legal proceedings is available in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March 31, 2026 was: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gridSpan w:val="2"/>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9"/>
              </w:rPr>
              <w:t xml:space="preserve">Purchased </w:t>
            </w:r>
            <w:r>
              <w:rPr>
                <w:rFonts w:ascii="Arial" w:cs="Arial" w:eastAsia="Arial" w:hAnsi="Arial"/>
                <w:sz w:val="18"/>
                <w:szCs w:val="18"/>
                <w:b w:val="1"/>
                <w:bCs w:val="1"/>
                <w:color w:val="auto"/>
                <w:w w:val="99"/>
                <w:vertAlign w:val="superscript"/>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line="162" w:lineRule="exact"/>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8"/>
                <w:szCs w:val="18"/>
                <w:b w:val="1"/>
                <w:bCs w:val="1"/>
                <w:color w:val="auto"/>
                <w:w w:val="98"/>
                <w:vertAlign w:val="superscript"/>
              </w:rPr>
              <w:t>(1)</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9"/>
                <w:szCs w:val="9"/>
                <w:b w:val="1"/>
                <w:bCs w:val="1"/>
                <w:color w:val="auto"/>
              </w:rPr>
              <w:t>(2) (3)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ind w:right="37"/>
              <w:spacing w:after="0" w:line="162" w:lineRule="exact"/>
              <w:rPr>
                <w:sz w:val="20"/>
                <w:szCs w:val="20"/>
                <w:color w:val="auto"/>
              </w:rPr>
            </w:pPr>
            <w:r>
              <w:rPr>
                <w:rFonts w:ascii="Arial" w:cs="Arial" w:eastAsia="Arial" w:hAnsi="Arial"/>
                <w:sz w:val="14"/>
                <w:szCs w:val="14"/>
                <w:b w:val="1"/>
                <w:bCs w:val="1"/>
                <w:color w:val="auto"/>
                <w:w w:val="96"/>
              </w:rPr>
              <w:t xml:space="preserve">Plans or Programs </w:t>
            </w:r>
            <w:r>
              <w:rPr>
                <w:rFonts w:ascii="Arial" w:cs="Arial" w:eastAsia="Arial" w:hAnsi="Arial"/>
                <w:sz w:val="18"/>
                <w:szCs w:val="18"/>
                <w:b w:val="1"/>
                <w:bCs w:val="1"/>
                <w:color w:val="auto"/>
                <w:w w:val="96"/>
                <w:vertAlign w:val="superscript"/>
              </w:rPr>
              <w:t>(2) (4)</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1-31, 2026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February 1-28, 2026</w:t>
            </w:r>
          </w:p>
        </w:tc>
        <w:tc>
          <w:tcPr>
            <w:tcW w:w="1520" w:type="dxa"/>
            <w:vAlign w:val="bottom"/>
          </w:tcPr>
          <w:p>
            <w:pPr>
              <w:jc w:val="right"/>
              <w:spacing w:after="0"/>
              <w:rPr>
                <w:sz w:val="20"/>
                <w:szCs w:val="20"/>
                <w:color w:val="auto"/>
              </w:rPr>
            </w:pPr>
            <w:r>
              <w:rPr>
                <w:rFonts w:ascii="Arial" w:cs="Arial" w:eastAsia="Arial" w:hAnsi="Arial"/>
                <w:sz w:val="18"/>
                <w:szCs w:val="18"/>
                <w:color w:val="auto"/>
              </w:rPr>
              <w:t>215,174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61.44</w:t>
            </w:r>
          </w:p>
        </w:tc>
        <w:tc>
          <w:tcPr>
            <w:tcW w:w="120" w:type="dxa"/>
            <w:vAlign w:val="bottom"/>
          </w:tcPr>
          <w:p>
            <w:pPr>
              <w:spacing w:after="0"/>
              <w:rPr>
                <w:sz w:val="19"/>
                <w:szCs w:val="19"/>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1-31,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For the Quarter Ended March 31, 2026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60.42</w:t>
            </w:r>
          </w:p>
        </w:tc>
        <w:tc>
          <w:tcPr>
            <w:tcW w:w="120" w:type="dxa"/>
            <w:vAlign w:val="bottom"/>
          </w:tcPr>
          <w:p>
            <w:pPr>
              <w:spacing w:after="0"/>
              <w:rPr>
                <w:sz w:val="19"/>
                <w:szCs w:val="19"/>
                <w:color w:val="auto"/>
              </w:rPr>
            </w:pPr>
          </w:p>
        </w:tc>
        <w:tc>
          <w:tcPr>
            <w:tcW w:w="17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both"/>
        <w:ind w:left="340" w:hanging="332"/>
        <w:spacing w:after="0" w:line="26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7,421 shares, 215,174 shares and 233,989 shares for the months of January, February and March 2026, respectively.</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Effective January 1, 2025, our Board of Directors authorized a program for the repurchase of up to $9.0 billion of our Common Stock through December 31, 2027, excluding excise taxes. During the three months ended March 31, 2026, we did not repurchase any shares. As of March 31, 2026, we had approximately $6.7 billion of share repurchase authorization remaining. See related information in Note 9, </w:t>
      </w:r>
      <w:r>
        <w:rPr>
          <w:rFonts w:ascii="Arial" w:cs="Arial" w:eastAsia="Arial" w:hAnsi="Arial"/>
          <w:sz w:val="14"/>
          <w:szCs w:val="14"/>
          <w:i w:val="1"/>
          <w:iCs w:val="1"/>
          <w:color w:val="auto"/>
        </w:rPr>
        <w:t>Shareholders' Equity</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Any excise tax incurred on share repurchases is recognized as part of the cost basis of the shares acquired.</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Dollar values stated in millions.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Insider Trading Arrangements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March 31, 2026, no such plans or other arrangements were adopted or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13970</wp:posOffset>
            </wp:positionV>
            <wp:extent cx="28257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0" w:type="dxa"/>
            <w:vAlign w:val="bottom"/>
            <w:gridSpan w:val="9"/>
            <w:vMerge w:val="restart"/>
          </w:tcPr>
          <w:p>
            <w:pPr>
              <w:ind w:left="176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43"/>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0" w:type="dxa"/>
            <w:vAlign w:val="bottom"/>
            <w:gridSpan w:val="9"/>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60" w:type="dxa"/>
            <w:vAlign w:val="bottom"/>
            <w:tcBorders>
              <w:top w:val="single" w:sz="8" w:color="auto"/>
            </w:tcBorders>
            <w:gridSpan w:val="14"/>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364</w:t>
              </w:r>
              <w:r>
                <w:rPr>
                  <w:rFonts w:ascii="MS PGothic" w:cs="MS PGothic" w:eastAsia="MS PGothic" w:hAnsi="MS PGothic"/>
                  <w:sz w:val="18"/>
                  <w:szCs w:val="18"/>
                  <w:color w:val="0000FF"/>
                </w:rPr>
                <w:t>‑</w:t>
              </w:r>
              <w:r>
                <w:rPr>
                  <w:rFonts w:ascii="Arial" w:cs="Arial" w:eastAsia="Arial" w:hAnsi="Arial"/>
                  <w:sz w:val="18"/>
                  <w:szCs w:val="18"/>
                  <w:color w:val="0000FF"/>
                </w:rPr>
                <w:t>Day  Revolving  Credit  Agreement,  dated  as  of  February  18,  2026,  by  and  among  Mondelēz</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International, Inc., the lenders named therein, and JPMorgan Chase Bank, N.A., as Administrative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4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9"/>
              </w:rPr>
            </w:pPr>
            <w:hyperlink r:id="rId109">
              <w:r>
                <w:rPr>
                  <w:rFonts w:ascii="Arial" w:cs="Arial" w:eastAsia="Arial" w:hAnsi="Arial"/>
                  <w:sz w:val="18"/>
                  <w:szCs w:val="18"/>
                  <w:color w:val="0000FF"/>
                  <w:w w:val="99"/>
                </w:rPr>
                <w:t>(incorporated by reference to Exhibit 10.1 to the Registrants Current Report on Form 8-K filed with the SEC</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gridSpan w:val="13"/>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on February 18, 2026)</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gridSpan w:val="14"/>
          </w:tcPr>
          <w:p>
            <w:pPr>
              <w:spacing w:after="0"/>
              <w:rPr>
                <w:sz w:val="20"/>
                <w:szCs w:val="20"/>
                <w:color w:val="auto"/>
              </w:rPr>
            </w:pPr>
            <w:r>
              <w:rPr>
                <w:rFonts w:ascii="Arial" w:cs="Arial" w:eastAsia="Arial" w:hAnsi="Arial"/>
                <w:sz w:val="18"/>
                <w:szCs w:val="18"/>
                <w:color w:val="0000FF"/>
              </w:rPr>
              <w:t>2026 Form of Mondelēz International, Inc. 2024 Performance Incentive Plan Non-Qualified Global Stock</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Options Agreement</w:t>
            </w:r>
            <w:r>
              <w:rPr>
                <w:rFonts w:ascii="Arial" w:cs="Arial" w:eastAsia="Arial" w:hAnsi="Arial"/>
                <w:sz w:val="18"/>
                <w:szCs w:val="18"/>
                <w:color w:val="000000"/>
              </w:rPr>
              <w:t>.+</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14"/>
          </w:tcPr>
          <w:p>
            <w:pPr>
              <w:spacing w:after="0"/>
              <w:rPr>
                <w:sz w:val="20"/>
                <w:szCs w:val="20"/>
                <w:color w:val="auto"/>
              </w:rPr>
            </w:pPr>
            <w:r>
              <w:rPr>
                <w:rFonts w:ascii="Arial" w:cs="Arial" w:eastAsia="Arial" w:hAnsi="Arial"/>
                <w:sz w:val="18"/>
                <w:szCs w:val="18"/>
                <w:color w:val="0000FF"/>
              </w:rPr>
              <w:t>2026 Form of Mondelēz International, Inc. 2024 Performance Incentive Plan Global Long-Term Incentive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Grant Agreement.</w:t>
            </w:r>
            <w:r>
              <w:rPr>
                <w:rFonts w:ascii="Arial" w:cs="Arial" w:eastAsia="Arial" w:hAnsi="Arial"/>
                <w:sz w:val="18"/>
                <w:szCs w:val="18"/>
                <w:color w:val="000000"/>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14"/>
          </w:tcPr>
          <w:p>
            <w:pPr>
              <w:spacing w:after="0"/>
              <w:rPr>
                <w:sz w:val="20"/>
                <w:szCs w:val="20"/>
                <w:color w:val="auto"/>
              </w:rPr>
            </w:pPr>
            <w:r>
              <w:rPr>
                <w:rFonts w:ascii="Arial" w:cs="Arial" w:eastAsia="Arial" w:hAnsi="Arial"/>
                <w:sz w:val="18"/>
                <w:szCs w:val="18"/>
                <w:color w:val="0000FF"/>
              </w:rPr>
              <w:t>2026 Form of Mondelēz International, Inc. 2024 Performance Incentive Plan Global Deferred Stock Unit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rPr>
              <w:t>Agreement</w:t>
            </w:r>
            <w:r>
              <w:rPr>
                <w:rFonts w:ascii="Arial" w:cs="Arial" w:eastAsia="Arial" w:hAnsi="Arial"/>
                <w:sz w:val="18"/>
                <w:szCs w:val="18"/>
                <w:color w:val="000000"/>
              </w:rPr>
              <w:t>.+</w:t>
            </w: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14"/>
          </w:tcPr>
          <w:p>
            <w:pPr>
              <w:spacing w:after="0"/>
              <w:rPr>
                <w:sz w:val="20"/>
                <w:szCs w:val="20"/>
                <w:color w:val="auto"/>
              </w:rPr>
            </w:pPr>
            <w:r>
              <w:rPr>
                <w:rFonts w:ascii="Arial" w:cs="Arial" w:eastAsia="Arial" w:hAnsi="Arial"/>
                <w:sz w:val="18"/>
                <w:szCs w:val="18"/>
                <w:color w:val="0000FF"/>
              </w:rPr>
              <w:t>Certification of Chief Executive Officer pursuant to Rule 13a-14(a)/15d-14(a) of the Securities Exchange</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Act of 1934, as amended.</w:t>
            </w:r>
          </w:p>
        </w:tc>
        <w:tc>
          <w:tcPr>
            <w:tcW w:w="65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14"/>
          </w:tcPr>
          <w:p>
            <w:pPr>
              <w:spacing w:after="0"/>
              <w:rPr>
                <w:sz w:val="20"/>
                <w:szCs w:val="20"/>
                <w:color w:val="auto"/>
              </w:rPr>
            </w:pPr>
            <w:r>
              <w:rPr>
                <w:rFonts w:ascii="Arial" w:cs="Arial" w:eastAsia="Arial" w:hAnsi="Arial"/>
                <w:sz w:val="18"/>
                <w:szCs w:val="18"/>
                <w:color w:val="0000FF"/>
              </w:rPr>
              <w:t>Certification of Chief Financial Officer pursuant to Rule 13a-14(a)/15d-14(a) of the Securities Exchange Act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of 1934, as amended.</w:t>
            </w: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60" w:type="dxa"/>
            <w:vAlign w:val="bottom"/>
            <w:gridSpan w:val="14"/>
          </w:tcPr>
          <w:p>
            <w:pPr>
              <w:spacing w:after="0"/>
              <w:rPr>
                <w:sz w:val="20"/>
                <w:szCs w:val="20"/>
                <w:color w:val="auto"/>
              </w:rPr>
            </w:pPr>
            <w:r>
              <w:rPr>
                <w:rFonts w:ascii="Arial" w:cs="Arial" w:eastAsia="Arial" w:hAnsi="Arial"/>
                <w:sz w:val="18"/>
                <w:szCs w:val="18"/>
                <w:color w:val="0000FF"/>
              </w:rPr>
              <w:t>Certifications of Chief Executive Officer and Chief Financial Officer pursuant to 18 U.S.C. 1350, as adopted</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9"/>
              </w:rPr>
              <w:t>pursuant to Section 906 of the Sarbanes-Oxley Act of 2002.</w:t>
            </w:r>
          </w:p>
        </w:tc>
        <w:tc>
          <w:tcPr>
            <w:tcW w:w="386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1160" w:right="439" w:hanging="1134"/>
        <w:spacing w:after="0" w:line="21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Quarterly Report on Form 10-Q for the quarter ended March 31, 2026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(vi) Notes to Condensed Consolidated Financial Statements and (vii) Part II, Item 5.</w:t>
      </w:r>
    </w:p>
    <w:p>
      <w:pPr>
        <w:spacing w:after="0" w:line="6" w:lineRule="exact"/>
        <w:rPr>
          <w:sz w:val="20"/>
          <w:szCs w:val="20"/>
          <w:color w:val="auto"/>
        </w:rPr>
      </w:pPr>
    </w:p>
    <w:p>
      <w:pPr>
        <w:ind w:left="1160" w:right="439" w:hanging="1134"/>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March 31, 2026, formatted in Inline XBRL (included as Exhibit 101).</w:t>
      </w:r>
    </w:p>
    <w:p>
      <w:pPr>
        <w:spacing w:after="0" w:line="274" w:lineRule="exact"/>
        <w:rPr>
          <w:rFonts w:ascii="Arial" w:cs="Arial" w:eastAsia="Arial" w:hAnsi="Arial"/>
          <w:sz w:val="18"/>
          <w:szCs w:val="18"/>
          <w:color w:val="auto"/>
        </w:rPr>
      </w:pPr>
    </w:p>
    <w:p>
      <w:pPr>
        <w:ind w:left="1360" w:hanging="150"/>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471805</wp:posOffset>
            </wp:positionV>
            <wp:extent cx="28257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571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Operating Officer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Chief Financial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28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257810</wp:posOffset>
            </wp:positionV>
            <wp:extent cx="28257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364" w:right="3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MONDELĒZ INTERNATIONAL,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2024 PERFORMANCE INCENTIVE PLAN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NON-QUALIFIED GLOBAL STOCK OPTION AGREEMENT</w:t>
      </w:r>
    </w:p>
    <w:p>
      <w:pPr>
        <w:spacing w:after="0" w:line="233" w:lineRule="exact"/>
        <w:rPr>
          <w:sz w:val="20"/>
          <w:szCs w:val="20"/>
          <w:color w:val="auto"/>
        </w:rPr>
      </w:pPr>
    </w:p>
    <w:p>
      <w:pPr>
        <w:ind w:firstLine="198"/>
        <w:spacing w:after="0" w:line="249" w:lineRule="auto"/>
        <w:rPr>
          <w:sz w:val="20"/>
          <w:szCs w:val="20"/>
          <w:color w:val="auto"/>
        </w:rPr>
      </w:pPr>
      <w:r>
        <w:rPr>
          <w:rFonts w:ascii="Times New Roman" w:cs="Times New Roman" w:eastAsia="Times New Roman" w:hAnsi="Times New Roman"/>
          <w:sz w:val="20"/>
          <w:szCs w:val="20"/>
          <w:color w:val="auto"/>
        </w:rPr>
        <w:t>MONDELĒZ INTERNATIONAL, INC., a Virginia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hereby grants to the employee (the “</w:t>
      </w:r>
      <w:r>
        <w:rPr>
          <w:rFonts w:ascii="Times New Roman" w:cs="Times New Roman" w:eastAsia="Times New Roman" w:hAnsi="Times New Roman"/>
          <w:sz w:val="20"/>
          <w:szCs w:val="20"/>
          <w:u w:val="single" w:color="auto"/>
          <w:color w:val="auto"/>
        </w:rPr>
        <w:t>Optionee</w:t>
      </w:r>
      <w:r>
        <w:rPr>
          <w:rFonts w:ascii="Times New Roman" w:cs="Times New Roman" w:eastAsia="Times New Roman" w:hAnsi="Times New Roman"/>
          <w:sz w:val="20"/>
          <w:szCs w:val="20"/>
          <w:color w:val="auto"/>
        </w:rPr>
        <w:t>”) identified in the award statement provided to the Optionee (the “</w:t>
      </w:r>
      <w:r>
        <w:rPr>
          <w:rFonts w:ascii="Times New Roman" w:cs="Times New Roman" w:eastAsia="Times New Roman" w:hAnsi="Times New Roman"/>
          <w:sz w:val="20"/>
          <w:szCs w:val="20"/>
          <w:u w:val="single" w:color="auto"/>
          <w:color w:val="auto"/>
        </w:rPr>
        <w:t>Award Statement</w:t>
      </w:r>
      <w:r>
        <w:rPr>
          <w:rFonts w:ascii="Times New Roman" w:cs="Times New Roman" w:eastAsia="Times New Roman" w:hAnsi="Times New Roman"/>
          <w:sz w:val="20"/>
          <w:szCs w:val="20"/>
          <w:color w:val="auto"/>
        </w:rPr>
        <w:t>”) under the Mondelēz International, Inc. 2024 Performance Incentive Plan, as may be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non-qualified stock options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The Option entitles the Optionee to exercise options for up to the aggregate number of shares set forth in the Award Statement (the “</w:t>
      </w:r>
      <w:r>
        <w:rPr>
          <w:rFonts w:ascii="Times New Roman" w:cs="Times New Roman" w:eastAsia="Times New Roman" w:hAnsi="Times New Roman"/>
          <w:sz w:val="20"/>
          <w:szCs w:val="20"/>
          <w:u w:val="single" w:color="auto"/>
          <w:color w:val="auto"/>
        </w:rPr>
        <w:t>Option Shares</w:t>
      </w:r>
      <w:r>
        <w:rPr>
          <w:rFonts w:ascii="Times New Roman" w:cs="Times New Roman" w:eastAsia="Times New Roman" w:hAnsi="Times New Roman"/>
          <w:sz w:val="20"/>
          <w:szCs w:val="20"/>
          <w:color w:val="auto"/>
        </w:rPr>
        <w:t>”) of the Company’s Common Stock, at the price per share set forth in the Award Statement (the “</w:t>
      </w:r>
      <w:r>
        <w:rPr>
          <w:rFonts w:ascii="Times New Roman" w:cs="Times New Roman" w:eastAsia="Times New Roman" w:hAnsi="Times New Roman"/>
          <w:sz w:val="20"/>
          <w:szCs w:val="20"/>
          <w:u w:val="single" w:color="auto"/>
          <w:color w:val="auto"/>
        </w:rPr>
        <w:t>Grant Price</w:t>
      </w:r>
      <w:r>
        <w:rPr>
          <w:rFonts w:ascii="Times New Roman" w:cs="Times New Roman" w:eastAsia="Times New Roman" w:hAnsi="Times New Roman"/>
          <w:sz w:val="20"/>
          <w:szCs w:val="20"/>
          <w:color w:val="auto"/>
        </w:rPr>
        <w:t>”). Capitalized terms not otherwise defined in this Non-Qualified Global Stock Option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have the same meaning as defined under the Plan. All references to action of or approval by the Committee shall be deemed to include action of or approval by any other person(s) to whom the Committee has delegated authority to 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Option is subject to the following terms and conditions (including the country-specific terms set forth in Appendix A to this Agreement):</w:t>
      </w:r>
    </w:p>
    <w:p>
      <w:pPr>
        <w:spacing w:after="0" w:line="223" w:lineRule="exact"/>
        <w:rPr>
          <w:sz w:val="20"/>
          <w:szCs w:val="20"/>
          <w:color w:val="auto"/>
        </w:rPr>
      </w:pPr>
    </w:p>
    <w:p>
      <w:pPr>
        <w:jc w:val="both"/>
        <w:ind w:right="420"/>
        <w:spacing w:after="0" w:line="255" w:lineRule="auto"/>
        <w:rPr>
          <w:sz w:val="20"/>
          <w:szCs w:val="20"/>
          <w:color w:val="auto"/>
        </w:rPr>
      </w:pPr>
      <w:r>
        <w:rPr>
          <w:rFonts w:ascii="Times New Roman" w:cs="Times New Roman" w:eastAsia="Times New Roman" w:hAnsi="Times New Roman"/>
          <w:sz w:val="20"/>
          <w:szCs w:val="20"/>
          <w:b w:val="1"/>
          <w:bCs w:val="1"/>
          <w:color w:val="auto"/>
        </w:rPr>
        <w:t>The Optionee must either execute and deliver an acceptance of the terms set forth in this Agreement or electronically accept the terms set forth in this Agreement, in the manner and within a period specified by the Committee. The Committee may, in its sole discretion, cancel the Option if the Optionee fails to accept this Agreement and related documents within the specified period or using the procedures for acceptance established by the Committee.</w:t>
      </w:r>
    </w:p>
    <w:p>
      <w:pPr>
        <w:spacing w:after="0" w:line="188" w:lineRule="exact"/>
        <w:rPr>
          <w:sz w:val="20"/>
          <w:szCs w:val="20"/>
          <w:color w:val="auto"/>
        </w:rPr>
      </w:pPr>
    </w:p>
    <w:p>
      <w:pPr>
        <w:ind w:right="60" w:firstLine="413"/>
        <w:spacing w:after="0" w:line="269"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Except as expressly provided in this Agreement, this Option may not be exercised before the vesting requirements (“</w:t>
      </w: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Requirements</w:t>
      </w:r>
      <w:r>
        <w:rPr>
          <w:rFonts w:ascii="Times New Roman" w:cs="Times New Roman" w:eastAsia="Times New Roman" w:hAnsi="Times New Roman"/>
          <w:sz w:val="20"/>
          <w:szCs w:val="20"/>
          <w:color w:val="auto"/>
        </w:rPr>
        <w:t>”) set forth in the schedule to the Award Statement (the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have been satisfied.</w:t>
      </w:r>
    </w:p>
    <w:p>
      <w:pPr>
        <w:spacing w:after="0" w:line="159" w:lineRule="exact"/>
        <w:rPr>
          <w:rFonts w:ascii="Times New Roman" w:cs="Times New Roman" w:eastAsia="Times New Roman" w:hAnsi="Times New Roman"/>
          <w:sz w:val="20"/>
          <w:szCs w:val="20"/>
          <w:color w:val="auto"/>
        </w:rPr>
      </w:pPr>
    </w:p>
    <w:p>
      <w:pPr>
        <w:jc w:val="both"/>
        <w:ind w:right="260" w:firstLine="413"/>
        <w:spacing w:after="0" w:line="281" w:lineRule="auto"/>
        <w:tabs>
          <w:tab w:leader="none" w:pos="648"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Upon Termination of Employment</w:t>
      </w:r>
      <w:r>
        <w:rPr>
          <w:rFonts w:ascii="Times New Roman" w:cs="Times New Roman" w:eastAsia="Times New Roman" w:hAnsi="Times New Roman"/>
          <w:sz w:val="19"/>
          <w:szCs w:val="19"/>
          <w:color w:val="auto"/>
        </w:rPr>
        <w:t>. Unless determined otherwise by the Committee or except as expressly provided in this Agreement, if the Optionee terminates employment with the Mondelēz Group before satisfying the Vesting Requirements, this Option will not be exercisable. If the Optionee terminates employment with the Mondelez Group before satisfying the Vesting Requirements due to:</w:t>
      </w:r>
    </w:p>
    <w:p>
      <w:pPr>
        <w:spacing w:after="0" w:line="150" w:lineRule="exact"/>
        <w:rPr>
          <w:rFonts w:ascii="Times New Roman" w:cs="Times New Roman" w:eastAsia="Times New Roman" w:hAnsi="Times New Roman"/>
          <w:sz w:val="19"/>
          <w:szCs w:val="19"/>
          <w:color w:val="auto"/>
        </w:rPr>
      </w:pPr>
    </w:p>
    <w:p>
      <w:pPr>
        <w:ind w:right="260" w:firstLine="656"/>
        <w:spacing w:after="0" w:line="283" w:lineRule="auto"/>
        <w:tabs>
          <w:tab w:leader="none" w:pos="1115"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Optionee’s death or Disability (as defined below in paragraph 15), then this Option will become immediately exercisable for 100% of the Option Shares identified in the Award Statement; or</w:t>
      </w:r>
    </w:p>
    <w:p>
      <w:pPr>
        <w:spacing w:after="0" w:line="146" w:lineRule="exact"/>
        <w:rPr>
          <w:rFonts w:ascii="Times New Roman" w:cs="Times New Roman" w:eastAsia="Times New Roman" w:hAnsi="Times New Roman"/>
          <w:sz w:val="20"/>
          <w:szCs w:val="20"/>
          <w:color w:val="auto"/>
        </w:rPr>
      </w:pPr>
    </w:p>
    <w:p>
      <w:pPr>
        <w:ind w:right="60" w:firstLine="656"/>
        <w:spacing w:after="0" w:line="250" w:lineRule="auto"/>
        <w:tabs>
          <w:tab w:leader="none" w:pos="112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Optionee’s Retirement (as defined below in paragraph 15) occurring at least 180 days after the date of grant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of the Option, or as otherwise determined by the Committee, and provided the Option is not otherwise accounted for, or included in, the Optionee’s severance or retirement arrangement with the Mondelēz Group and the Optionee timely executes a general release and waiver of claims in a form and manner determined by the Company in its sole discretion, then this Option will continue to vest and become exercisable as identified on the Schedule as if the Optionee’s employment had not terminated.</w:t>
      </w:r>
    </w:p>
    <w:p>
      <w:pPr>
        <w:spacing w:after="0" w:line="192" w:lineRule="exact"/>
        <w:rPr>
          <w:rFonts w:ascii="Times New Roman" w:cs="Times New Roman" w:eastAsia="Times New Roman" w:hAnsi="Times New Roman"/>
          <w:sz w:val="20"/>
          <w:szCs w:val="20"/>
          <w:color w:val="auto"/>
        </w:rPr>
      </w:pPr>
    </w:p>
    <w:p>
      <w:pPr>
        <w:ind w:right="80" w:firstLine="413"/>
        <w:spacing w:after="0" w:line="254"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Exercisability Upon Termination of Employment from the Mondelēz Group</w:t>
      </w:r>
      <w:r>
        <w:rPr>
          <w:rFonts w:ascii="Times New Roman" w:cs="Times New Roman" w:eastAsia="Times New Roman" w:hAnsi="Times New Roman"/>
          <w:sz w:val="20"/>
          <w:szCs w:val="20"/>
          <w:color w:val="auto"/>
        </w:rPr>
        <w:t>. During the period commencing on the first date that the Vesting Requirements are satisfied (or, such earlier date determined in accordance with paragraph 2) until the close of the market on the expiration date set forth in the Schedule (“</w:t>
      </w: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(or if the market is closed on such date, the close of the market on the last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360" w:right="339" w:bottom="1440" w:gutter="0" w:footer="0" w:header="0"/>
        </w:sectPr>
      </w:pPr>
    </w:p>
    <w:bookmarkStart w:id="48" w:name="page49"/>
    <w:bookmarkEnd w:id="48"/>
    <w:p>
      <w:pPr>
        <w:ind w:right="320"/>
        <w:spacing w:after="0" w:line="269" w:lineRule="auto"/>
        <w:rPr>
          <w:sz w:val="20"/>
          <w:szCs w:val="20"/>
          <w:color w:val="auto"/>
        </w:rPr>
      </w:pPr>
      <w:r>
        <w:rPr>
          <w:rFonts w:ascii="Times New Roman" w:cs="Times New Roman" w:eastAsia="Times New Roman" w:hAnsi="Times New Roman"/>
          <w:sz w:val="20"/>
          <w:szCs w:val="20"/>
          <w:color w:val="auto"/>
        </w:rPr>
        <w:t>date the market is open prior to the Expiration Date), this Option may be exercised in whole or in part with respect to such Option Shares, subject to the following provisions:</w:t>
      </w:r>
    </w:p>
    <w:p>
      <w:pPr>
        <w:spacing w:after="0" w:line="173" w:lineRule="exact"/>
        <w:rPr>
          <w:sz w:val="20"/>
          <w:szCs w:val="20"/>
          <w:color w:val="auto"/>
        </w:rPr>
      </w:pPr>
    </w:p>
    <w:p>
      <w:pPr>
        <w:ind w:right="580" w:firstLine="656"/>
        <w:spacing w:after="0" w:line="269" w:lineRule="auto"/>
        <w:tabs>
          <w:tab w:leader="none" w:pos="106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Optionee’s employment terminates by reason of Retirement, death or Disability, such Option may be exercised on or prior to the Expiration Date;</w:t>
      </w:r>
    </w:p>
    <w:p>
      <w:pPr>
        <w:spacing w:after="0" w:line="159" w:lineRule="exact"/>
        <w:rPr>
          <w:rFonts w:ascii="Times New Roman" w:cs="Times New Roman" w:eastAsia="Times New Roman" w:hAnsi="Times New Roman"/>
          <w:sz w:val="20"/>
          <w:szCs w:val="20"/>
          <w:color w:val="auto"/>
        </w:rPr>
      </w:pPr>
    </w:p>
    <w:p>
      <w:pPr>
        <w:ind w:right="80" w:firstLine="656"/>
        <w:spacing w:after="0" w:line="261" w:lineRule="auto"/>
        <w:tabs>
          <w:tab w:leader="none" w:pos="107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employment is terminated by the Optionee (other than by Retirement, death or Disability), such Option may be exercised until the close of the market 90 days from the effective date of termination (the “</w:t>
      </w:r>
      <w:r>
        <w:rPr>
          <w:rFonts w:ascii="Times New Roman" w:cs="Times New Roman" w:eastAsia="Times New Roman" w:hAnsi="Times New Roman"/>
          <w:sz w:val="20"/>
          <w:szCs w:val="20"/>
          <w:u w:val="single" w:color="auto"/>
          <w:color w:val="auto"/>
        </w:rPr>
        <w:t>90-Day Period</w:t>
      </w:r>
      <w:r>
        <w:rPr>
          <w:rFonts w:ascii="Times New Roman" w:cs="Times New Roman" w:eastAsia="Times New Roman" w:hAnsi="Times New Roman"/>
          <w:sz w:val="20"/>
          <w:szCs w:val="20"/>
          <w:color w:val="auto"/>
        </w:rPr>
        <w:t>”) (or if the market is closed on such date, the close of the market on the last date the market is open prior to the expiration of the 90-Day Period);</w:t>
      </w:r>
    </w:p>
    <w:p>
      <w:pPr>
        <w:spacing w:after="0" w:line="167" w:lineRule="exact"/>
        <w:rPr>
          <w:rFonts w:ascii="Times New Roman" w:cs="Times New Roman" w:eastAsia="Times New Roman" w:hAnsi="Times New Roman"/>
          <w:sz w:val="20"/>
          <w:szCs w:val="20"/>
          <w:color w:val="auto"/>
        </w:rPr>
      </w:pPr>
    </w:p>
    <w:p>
      <w:pPr>
        <w:ind w:right="120" w:firstLine="656"/>
        <w:spacing w:after="0" w:line="251" w:lineRule="auto"/>
        <w:tabs>
          <w:tab w:leader="none" w:pos="106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other than by death, Disability or Retirement, the Optionee’s employment is terminated by the Mondelēz Group without Cause for any reason (even if such termination constitutes unfair dismissal under the employment laws of the country where the Optionee resides or if the Optionee’s termination is later determined to be invalid and/or their employment is reinstated) or in the event of any other termination of employment caused directly or indirectly by the Mondelēz Group, such Option may be exercised until the close of the market 12 months from the effective date of termination (the “</w:t>
      </w:r>
      <w:r>
        <w:rPr>
          <w:rFonts w:ascii="Times New Roman" w:cs="Times New Roman" w:eastAsia="Times New Roman" w:hAnsi="Times New Roman"/>
          <w:sz w:val="20"/>
          <w:szCs w:val="20"/>
          <w:u w:val="single" w:color="auto"/>
          <w:color w:val="auto"/>
        </w:rPr>
        <w:t>12-Month Period</w:t>
      </w:r>
      <w:r>
        <w:rPr>
          <w:rFonts w:ascii="Times New Roman" w:cs="Times New Roman" w:eastAsia="Times New Roman" w:hAnsi="Times New Roman"/>
          <w:sz w:val="20"/>
          <w:szCs w:val="20"/>
          <w:color w:val="auto"/>
        </w:rPr>
        <w:t>”) (or if the market is closed on such date, the close of the market on the last date the market is open prior to the expiration of the 12-Month Period); and</w:t>
      </w:r>
    </w:p>
    <w:p>
      <w:pPr>
        <w:spacing w:after="0" w:line="17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Optionee’s employment is involuntarily suspended or terminated by the Mondelēz Group for Cause, the Option shall be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forfeited.</w:t>
      </w:r>
    </w:p>
    <w:p>
      <w:pPr>
        <w:spacing w:after="0" w:line="200"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20"/>
          <w:szCs w:val="20"/>
          <w:color w:val="auto"/>
        </w:rPr>
        <w:t>No provision of this paragraph 3 shall permit the exercise of any Option after the Expiration Date. For purposes of this Agreement, the Optionee’s employment shall be deemed to be terminated when he or she is no longer actively employed by the Mondelēz Group (regardless of the reason for such termination and whether or not later found to be invalid or in breach of employment laws in the jurisdiction where the Optionee is employed or the terms of the Optionee’s employment agreement, if any). The Optionee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Optionee is no longer actively employed for purposes of the Option. Unless otherwise determined by the Committee, leaves of absence shall not constitute a termination of employment for purposes of this Agreement. Notwithstanding the foregoing provisions and unless otherwise determined by the Company, this Option may only be exercised on a day that the Nasdaq Global Select Market (the “</w:t>
      </w:r>
      <w:r>
        <w:rPr>
          <w:rFonts w:ascii="Times New Roman" w:cs="Times New Roman" w:eastAsia="Times New Roman" w:hAnsi="Times New Roman"/>
          <w:sz w:val="20"/>
          <w:szCs w:val="20"/>
          <w:u w:val="single" w:color="auto"/>
          <w:color w:val="auto"/>
        </w:rPr>
        <w:t>Exchange</w:t>
      </w:r>
      <w:r>
        <w:rPr>
          <w:rFonts w:ascii="Times New Roman" w:cs="Times New Roman" w:eastAsia="Times New Roman" w:hAnsi="Times New Roman"/>
          <w:sz w:val="20"/>
          <w:szCs w:val="20"/>
          <w:color w:val="auto"/>
        </w:rPr>
        <w:t>”) is open. Accordingly, if the Expiration Date (or the expiration of the 90-Day Period and/or the 12-Month Period) is a day the Exchange is closed, the Expiration Date (or the expiration of the 90-Day Period and/or the 12-Month Period) shall be the immediately preceding day on which the Exchange is open.</w:t>
      </w:r>
    </w:p>
    <w:p>
      <w:pPr>
        <w:spacing w:after="0" w:line="184" w:lineRule="exact"/>
        <w:rPr>
          <w:sz w:val="20"/>
          <w:szCs w:val="20"/>
          <w:color w:val="auto"/>
        </w:rPr>
      </w:pPr>
    </w:p>
    <w:p>
      <w:pPr>
        <w:ind w:right="160" w:firstLine="413"/>
        <w:spacing w:after="0" w:line="254"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 and Withholding Taxes</w:t>
      </w:r>
      <w:r>
        <w:rPr>
          <w:rFonts w:ascii="Times New Roman" w:cs="Times New Roman" w:eastAsia="Times New Roman" w:hAnsi="Times New Roman"/>
          <w:sz w:val="20"/>
          <w:szCs w:val="20"/>
          <w:color w:val="auto"/>
        </w:rPr>
        <w:t>. This Option may be exercised only in accordance with the procedures and limitations (including the country-specific terms set forth in Appendix A to this Agreement) set forth in this paragraph 4, the Company’s Equity Grants Guide, as amended from time to time, or such other similar-type communication provided by the Company. Payment of the aggregate Grant Price shall be by any of the following, or a combination thereof:</w:t>
      </w:r>
    </w:p>
    <w:p>
      <w:pPr>
        <w:spacing w:after="0" w:line="17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by cash, check or cash equivalent;</w:t>
      </w:r>
    </w:p>
    <w:p>
      <w:pPr>
        <w:spacing w:after="0" w:line="229" w:lineRule="exact"/>
        <w:rPr>
          <w:rFonts w:ascii="Times New Roman" w:cs="Times New Roman" w:eastAsia="Times New Roman" w:hAnsi="Times New Roman"/>
          <w:sz w:val="20"/>
          <w:szCs w:val="20"/>
          <w:color w:val="auto"/>
        </w:rPr>
      </w:pPr>
    </w:p>
    <w:p>
      <w:pPr>
        <w:ind w:left="1300" w:right="600" w:hanging="644"/>
        <w:spacing w:after="0" w:line="269" w:lineRule="auto"/>
        <w:tabs>
          <w:tab w:leader="none" w:pos="1288"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consideration received by the Company from a cashless exercise through a licensed securities broker acceptable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49" w:name="page50"/>
    <w:bookmarkEnd w:id="49"/>
    <w:p>
      <w:pPr>
        <w:ind w:left="1300" w:right="420" w:hanging="644"/>
        <w:spacing w:after="0" w:line="269" w:lineRule="auto"/>
        <w:tabs>
          <w:tab w:leader="none" w:pos="129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Optionee is a U.S. taxpayer or if permitted by the Committee, by surrender of shares of Common Stock previously owned by the Optionee which meet the conditions established by the Committee; or</w:t>
      </w:r>
    </w:p>
    <w:p>
      <w:pPr>
        <w:spacing w:after="0" w:line="172" w:lineRule="exact"/>
        <w:rPr>
          <w:rFonts w:ascii="Times New Roman" w:cs="Times New Roman" w:eastAsia="Times New Roman" w:hAnsi="Times New Roman"/>
          <w:sz w:val="20"/>
          <w:szCs w:val="20"/>
          <w:color w:val="auto"/>
        </w:rPr>
      </w:pPr>
    </w:p>
    <w:p>
      <w:pPr>
        <w:ind w:left="1220" w:hanging="645"/>
        <w:spacing w:after="0"/>
        <w:tabs>
          <w:tab w:leader="none" w:pos="12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methods approved by the Committee and permitted by applicable laws.</w:t>
      </w:r>
    </w:p>
    <w:p>
      <w:pPr>
        <w:spacing w:after="0" w:line="21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The Optionee acknowledges that, regardless of any action taken by the Company or, if different, the Optionee’s employer (the</w:t>
      </w:r>
    </w:p>
    <w:p>
      <w:pPr>
        <w:spacing w:after="0" w:line="2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the ultimate liability for all income tax, social insurance, payroll tax, fringe benefits tax, payment on account or other tax-related items related to the Optionee’s participation in the Plan and legally applicable to the Optionee or deemed by the Company or the Employer, in their discretion, to be an appropriate charge to the Optionee even if legally applicable to the Company or the Employer (“</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is and remains the Optionee’s responsibility and may exceed the amount, if any, actually withheld by the Company or the Employer. The Optionee further acknowledges that the Company and/or the Employer (a) make no representations or undertakings regarding the treatment of any Tax-Related Items in connection with any aspect of the Option, including the grant, vesting or exercise of the Option, the subsequent sale of Option Shares acquired pursuant to such exercise and the receipt of any dividends; and (b) do not commit to and are under no obligation to structure the terms of the grant or any aspect of the Option to reduce or eliminate the Optionee’s liability for Tax-Related Items or achieve any particular tax result. Further, if the Optionee becomes subject to any Tax-Related Items in more than one jurisdiction, the Optionee acknowledges that the Company and/or the Employer (or former employer, as applicable) may be required to withhold or account for (including report) Tax-Related Items in more than one jurisdiction.</w:t>
      </w:r>
    </w:p>
    <w:p>
      <w:pPr>
        <w:spacing w:after="0" w:line="190" w:lineRule="exact"/>
        <w:rPr>
          <w:sz w:val="20"/>
          <w:szCs w:val="20"/>
          <w:color w:val="auto"/>
        </w:rPr>
      </w:pPr>
    </w:p>
    <w:p>
      <w:pPr>
        <w:ind w:firstLine="194"/>
        <w:spacing w:after="0" w:line="250" w:lineRule="auto"/>
        <w:rPr>
          <w:sz w:val="20"/>
          <w:szCs w:val="20"/>
          <w:color w:val="auto"/>
        </w:rPr>
      </w:pPr>
      <w:r>
        <w:rPr>
          <w:rFonts w:ascii="Times New Roman" w:cs="Times New Roman" w:eastAsia="Times New Roman" w:hAnsi="Times New Roman"/>
          <w:sz w:val="20"/>
          <w:szCs w:val="20"/>
          <w:color w:val="auto"/>
        </w:rPr>
        <w:t>The Optionee acknowledges and agrees that the Company may refuse to issue or deliver shares of Common Stock upon exercise of the Option if Optionee fails to comply with their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spacing w:after="0" w:line="193" w:lineRule="exact"/>
        <w:rPr>
          <w:sz w:val="20"/>
          <w:szCs w:val="20"/>
          <w:color w:val="auto"/>
        </w:rPr>
      </w:pPr>
    </w:p>
    <w:p>
      <w:pPr>
        <w:ind w:right="100" w:firstLine="198"/>
        <w:spacing w:after="0" w:line="246" w:lineRule="auto"/>
        <w:rPr>
          <w:sz w:val="20"/>
          <w:szCs w:val="20"/>
          <w:color w:val="auto"/>
        </w:rPr>
      </w:pPr>
      <w:r>
        <w:rPr>
          <w:rFonts w:ascii="Times New Roman" w:cs="Times New Roman" w:eastAsia="Times New Roman" w:hAnsi="Times New Roman"/>
          <w:sz w:val="20"/>
          <w:szCs w:val="20"/>
          <w:color w:val="auto"/>
        </w:rPr>
        <w:t>In this regard, the Optionee authorizes the Company and/or the Employer, in their sole discretion and without any notice or further authorization by the Optionee, to satisfy any applicable withholding obligations with regard to all Tax-Related Items legally due by the Optionee (or otherwise due from the Optionee as set forth above in this paragraph 4) and any hypothetical taxes from the Optionee’s wages or other cash compensation paid by the Company and/or the Employer or from proceeds of the sale of Option Shares. Alternatively, or in addition, the Company may instruct the broker it has selected for this purpose (on the Optionee’s behalf and at the Optionee’s direction pursuant to this authorization without further consent) to sell the Option Shares that the Optionee acquires to meet the Tax-Related Items withholding obligation and any hypothetical taxes. In addition, unless otherwise determined by the Committee, Tax-Related Items or hypothetical taxes may be paid by withholding from Option Shares subject to the exercised Option, provided, however, that withholding in Option Shares shall be subject to approval by the Committee to the extent deemed necessary or advisable by counsel to the Company at the time of any relevant tax withholding event. Finally, the Optionee agrees to pay to the Company or the Employer any amount of Tax-Related Items and hypothetical taxes that the Company or the Employer may be required to withhold as a result of the Optionee’s participation in the Plan or the Optionee’s exercise of the Option that cannot be satisfied by the means previously described.</w:t>
      </w:r>
    </w:p>
    <w:p>
      <w:pPr>
        <w:spacing w:after="0" w:line="195"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The Company may withhold or account for Tax-Related Items and any hypothetical taxes by considering statutory withholding rates or other applicable withholding rates, including minimum rates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50" w:name="page51"/>
    <w:bookmarkEnd w:id="50"/>
    <w:p>
      <w:pPr>
        <w:spacing w:after="0" w:line="249" w:lineRule="auto"/>
        <w:rPr>
          <w:sz w:val="20"/>
          <w:szCs w:val="20"/>
          <w:color w:val="auto"/>
        </w:rPr>
      </w:pPr>
      <w:r>
        <w:rPr>
          <w:rFonts w:ascii="Times New Roman" w:cs="Times New Roman" w:eastAsia="Times New Roman" w:hAnsi="Times New Roman"/>
          <w:sz w:val="20"/>
          <w:szCs w:val="20"/>
          <w:color w:val="auto"/>
        </w:rPr>
        <w:t>maximum rates applicable in the Optionee’s jurisdiction(s), in which case the Optionee may receive a refund of any over-withheld amount in cash and will have no entitlement to the equivalent shares of Common Stock or, if not refunded, the Optionee may be able to seek a refund from the applicable tax authorities. In the event of under-withholding, the Optionee may be required to pay any additional Tax-Related Items directly to the applicable tax authority or to the Company and/or the Employer. If the obligation for Tax-Related Items is satisfied by withholding in shares of Common Stock, for tax purposes, the Optionee is deemed to have been issued the full number of Option Shares, notwithstanding that a number of the Option Shares are held back solely for the purpose of paying the Tax-Related Items and/or hypothetical taxes due as a result of any aspect of the Optionee’s participation in the Plan.</w:t>
      </w:r>
    </w:p>
    <w:p>
      <w:pPr>
        <w:spacing w:after="0" w:line="179" w:lineRule="exact"/>
        <w:rPr>
          <w:sz w:val="20"/>
          <w:szCs w:val="20"/>
          <w:color w:val="auto"/>
        </w:rPr>
      </w:pPr>
    </w:p>
    <w:p>
      <w:pPr>
        <w:ind w:right="200" w:firstLine="413"/>
        <w:spacing w:after="0" w:line="261"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Cash-Out of Option</w:t>
      </w:r>
      <w:r>
        <w:rPr>
          <w:rFonts w:ascii="Times New Roman" w:cs="Times New Roman" w:eastAsia="Times New Roman" w:hAnsi="Times New Roman"/>
          <w:sz w:val="20"/>
          <w:szCs w:val="20"/>
          <w:color w:val="auto"/>
        </w:rPr>
        <w:t>. The Committee may elect to cash out all or a portion of the Option to be exercised pursuant to any method of exercise by paying the Optionee an amount in cash or Common Stock, or both, equal to the Fair Market Value of the shares of Common Stock on the exercise date less the Grant Price for such shares.</w:t>
      </w:r>
    </w:p>
    <w:p>
      <w:pPr>
        <w:spacing w:after="0" w:line="167" w:lineRule="exact"/>
        <w:rPr>
          <w:rFonts w:ascii="Times New Roman" w:cs="Times New Roman" w:eastAsia="Times New Roman" w:hAnsi="Times New Roman"/>
          <w:sz w:val="20"/>
          <w:szCs w:val="20"/>
          <w:color w:val="auto"/>
        </w:rPr>
      </w:pPr>
    </w:p>
    <w:p>
      <w:pPr>
        <w:ind w:left="660" w:hanging="247"/>
        <w:spacing w:after="0"/>
        <w:tabs>
          <w:tab w:leader="none" w:pos="6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and Covenants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right="40" w:firstLine="656"/>
        <w:spacing w:after="0" w:line="254" w:lineRule="auto"/>
        <w:tabs>
          <w:tab w:leader="none" w:pos="128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such other conditions as may be established by the Company or the Committee, in consideration for making a Grant under the terms of the Plan, the Optionee agrees and covenants as follows for a period of twelve (12) months following the date of the Optionee’s termination of employment from the Mondelēz Group:</w:t>
      </w:r>
    </w:p>
    <w:p>
      <w:pPr>
        <w:spacing w:after="0" w:line="187" w:lineRule="exact"/>
        <w:rPr>
          <w:rFonts w:ascii="Times New Roman" w:cs="Times New Roman" w:eastAsia="Times New Roman" w:hAnsi="Times New Roman"/>
          <w:sz w:val="20"/>
          <w:szCs w:val="20"/>
          <w:color w:val="auto"/>
        </w:rPr>
      </w:pPr>
    </w:p>
    <w:p>
      <w:pPr>
        <w:ind w:left="1300" w:right="40" w:hanging="320"/>
        <w:spacing w:after="0" w:line="246" w:lineRule="auto"/>
        <w:tabs>
          <w:tab w:leader="none" w:pos="1300" w:val="left"/>
        </w:tabs>
        <w:numPr>
          <w:ilvl w:val="2"/>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Optionee, without the express written permission of the Company’s chief human resources officer, will not engage in any conduct in which the Optionee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Optionee has reason to know has been under development by the Mondelēz Group during the Optionee’s employment with the Mondelēz Group). The Optionee will not engage in any activity that may require or inevitably require the Optionee’s use or disclosure of the Mondelēz Group’s confidential information, proprietary information and/or trade secrets;</w:t>
      </w:r>
    </w:p>
    <w:p>
      <w:pPr>
        <w:spacing w:after="0" w:line="195" w:lineRule="exact"/>
        <w:rPr>
          <w:rFonts w:ascii="Times New Roman" w:cs="Times New Roman" w:eastAsia="Times New Roman" w:hAnsi="Times New Roman"/>
          <w:sz w:val="20"/>
          <w:szCs w:val="20"/>
          <w:color w:val="auto"/>
        </w:rPr>
      </w:pPr>
    </w:p>
    <w:p>
      <w:pPr>
        <w:ind w:left="1300" w:right="300" w:hanging="320"/>
        <w:spacing w:after="0" w:line="254" w:lineRule="auto"/>
        <w:tabs>
          <w:tab w:leader="none" w:pos="1300" w:val="left"/>
        </w:tabs>
        <w:numPr>
          <w:ilvl w:val="2"/>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investment in its employees and to ensure the long-term success of the business, the Optionee, without the express written permission of the Company’s chief human resources officer, will not directly or indirectly solicit, hire, recruit, attempt to hire or recruit, or induce the termination of employment of any employee of the Mondelēz Group; and</w:t>
      </w:r>
    </w:p>
    <w:p>
      <w:pPr>
        <w:spacing w:after="0" w:line="173" w:lineRule="exact"/>
        <w:rPr>
          <w:rFonts w:ascii="Times New Roman" w:cs="Times New Roman" w:eastAsia="Times New Roman" w:hAnsi="Times New Roman"/>
          <w:sz w:val="20"/>
          <w:szCs w:val="20"/>
          <w:color w:val="auto"/>
        </w:rPr>
      </w:pPr>
    </w:p>
    <w:p>
      <w:pPr>
        <w:ind w:left="1300" w:hanging="320"/>
        <w:spacing w:after="0" w:line="254" w:lineRule="auto"/>
        <w:tabs>
          <w:tab w:leader="none" w:pos="1300" w:val="left"/>
        </w:tabs>
        <w:numPr>
          <w:ilvl w:val="2"/>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investment in its development of goodwill and customers and to ensure the long-term success of the business, the Optionee will not directly or indirectly solicit (including, but not limited to, e-mail, regular mail, express mail, telephone, fax, instant message, SMS text messaging and social media) or attempt to directly or indirectly solicit, contact or meet with the current or prospective customers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60"/>
          </w:cols>
          <w:pgMar w:left="320" w:top="1413" w:right="419" w:bottom="1440" w:gutter="0" w:footer="0" w:header="0"/>
        </w:sectPr>
      </w:pPr>
    </w:p>
    <w:bookmarkStart w:id="51" w:name="page52"/>
    <w:bookmarkEnd w:id="51"/>
    <w:p>
      <w:pPr>
        <w:ind w:left="1300" w:right="180"/>
        <w:spacing w:after="0" w:line="269" w:lineRule="auto"/>
        <w:rPr>
          <w:sz w:val="20"/>
          <w:szCs w:val="20"/>
          <w:color w:val="auto"/>
        </w:rPr>
      </w:pPr>
      <w:r>
        <w:rPr>
          <w:rFonts w:ascii="Times New Roman" w:cs="Times New Roman" w:eastAsia="Times New Roman" w:hAnsi="Times New Roman"/>
          <w:sz w:val="20"/>
          <w:szCs w:val="20"/>
          <w:color w:val="auto"/>
        </w:rPr>
        <w:t>the Mondelēz Group for the purpose of offering or accepting goods or services similar to or competitive with those offered by the Mondelēz Group.</w:t>
      </w:r>
    </w:p>
    <w:p>
      <w:pPr>
        <w:spacing w:after="0" w:line="173"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The provisions contained herein in paragraph 6 are not in lieu of, but are in addition to, the Optionee’s confidentiality obligations to the Mondelēz Group.</w:t>
      </w:r>
    </w:p>
    <w:p>
      <w:pPr>
        <w:spacing w:after="0" w:line="186" w:lineRule="exact"/>
        <w:rPr>
          <w:sz w:val="20"/>
          <w:szCs w:val="20"/>
          <w:color w:val="auto"/>
        </w:rPr>
      </w:pPr>
    </w:p>
    <w:p>
      <w:pPr>
        <w:ind w:right="40" w:firstLine="656"/>
        <w:spacing w:after="0" w:line="261" w:lineRule="auto"/>
        <w:tabs>
          <w:tab w:leader="none" w:pos="112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Optionee is under a continuing obligation (which the Optionee acknowledges by accepting any Grant under the Plan) to not use or disclose the Mondelēz Group’s trade secrets or Confidential Information known to the Optionee until any particular trade secret or Confidential Information becomes generally known (through no fault of the Optionee), whereupon the restriction on use and disclosure shall cease as to that item. For purposes of this agreement,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includes, but is not limited to, certain sales, marketing, strategy, financial, product, personnel, manufacturing, technical and other proprietary information and material which are the property of the Mondelēz Group. The Optionee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The Optionee understands and agrees that Confidential Information developed by the Optionee in the course of the Optionee’s employment by the Employer shall be subject to the terms and conditions of this Agreement as if the Employer furnished the same Confidential Information to the Optionee in the first instance.</w:t>
      </w:r>
    </w:p>
    <w:p>
      <w:pPr>
        <w:spacing w:after="0" w:line="216" w:lineRule="exact"/>
        <w:rPr>
          <w:rFonts w:ascii="Times New Roman" w:cs="Times New Roman" w:eastAsia="Times New Roman" w:hAnsi="Times New Roman"/>
          <w:sz w:val="19"/>
          <w:szCs w:val="19"/>
          <w:color w:val="auto"/>
        </w:rPr>
      </w:pPr>
    </w:p>
    <w:p>
      <w:pPr>
        <w:ind w:right="160" w:firstLine="656"/>
        <w:spacing w:after="0" w:line="269" w:lineRule="auto"/>
        <w:tabs>
          <w:tab w:leader="none" w:pos="106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acceptance of any Grant (including the Option) under the Plan, the Optionee acknowledges and agrees that if the Optionee breaches any of the covenants set forth in paragraph 6:</w:t>
      </w:r>
    </w:p>
    <w:p>
      <w:pPr>
        <w:spacing w:after="0" w:line="18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unvested Grants (including any unvested portion of the Option) shall be immediately forfeited;</w:t>
      </w:r>
    </w:p>
    <w:p>
      <w:pPr>
        <w:spacing w:after="0" w:line="229" w:lineRule="exact"/>
        <w:rPr>
          <w:rFonts w:ascii="Times New Roman" w:cs="Times New Roman" w:eastAsia="Times New Roman" w:hAnsi="Times New Roman"/>
          <w:sz w:val="20"/>
          <w:szCs w:val="20"/>
          <w:color w:val="auto"/>
        </w:rPr>
      </w:pPr>
    </w:p>
    <w:p>
      <w:pPr>
        <w:jc w:val="both"/>
        <w:ind w:left="1300" w:right="80" w:hanging="320"/>
        <w:spacing w:after="0" w:line="274" w:lineRule="auto"/>
        <w:tabs>
          <w:tab w:leader="none" w:pos="1300"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cancel, rescind, suspend, withhold or otherwise limit or restrict any unexpired, vested, unpaid or deferred Grants (including the vested but unexercised portion of the Option) at any time if the Optionee is not in compliance with all terms and conditions set forth in the Plan and this Agreement including, but not limited to, paragraph 6;</w:t>
      </w:r>
    </w:p>
    <w:p>
      <w:pPr>
        <w:spacing w:after="0" w:line="169" w:lineRule="exact"/>
        <w:rPr>
          <w:rFonts w:ascii="Times New Roman" w:cs="Times New Roman" w:eastAsia="Times New Roman" w:hAnsi="Times New Roman"/>
          <w:sz w:val="19"/>
          <w:szCs w:val="19"/>
          <w:color w:val="auto"/>
        </w:rPr>
      </w:pPr>
    </w:p>
    <w:p>
      <w:pPr>
        <w:ind w:left="1300" w:right="20" w:hanging="320"/>
        <w:spacing w:after="0" w:line="246" w:lineRule="auto"/>
        <w:tabs>
          <w:tab w:leader="none" w:pos="13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shall repay to the Mondelēz Group the net proceeds of any exercise or Plan benefit that occurs at any time after the earlier of the following two dates: (i) the date twelve (12) months immediately preceding any such violation; or (ii) the date six (6) months prior to the Optionee’s termination of employment with the Mondelēz Group. The Optionee shall repay to the Mondelēz Group the net proceeds in such a manner and on such terms and conditions as may be required by the Mondelēz Group, and the Mondelēz Group shall be entitled to set-off against the amount of any such net proceeds any amount owed to the Optionee by the Mondelēz Group, in a way that is intended to avoid the application of penalties under Section 409A of the Code, if applicable, or other applicable law. For purposes of this paragraph, net proceeds shall mean the difference between the Fair Market Value of the shares of Common Stock and the Grant Price less any Tax-Related Items; and</w:t>
      </w:r>
    </w:p>
    <w:p>
      <w:pPr>
        <w:spacing w:after="0" w:line="200" w:lineRule="exact"/>
        <w:rPr>
          <w:rFonts w:ascii="Times New Roman" w:cs="Times New Roman" w:eastAsia="Times New Roman" w:hAnsi="Times New Roman"/>
          <w:sz w:val="20"/>
          <w:szCs w:val="20"/>
          <w:color w:val="auto"/>
        </w:rPr>
      </w:pPr>
    </w:p>
    <w:p>
      <w:pPr>
        <w:ind w:left="1300" w:hanging="320"/>
        <w:spacing w:after="0" w:line="254" w:lineRule="auto"/>
        <w:tabs>
          <w:tab w:leader="none" w:pos="130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13" w:right="379" w:bottom="1440" w:gutter="0" w:footer="0" w:header="0"/>
        </w:sectPr>
      </w:pPr>
    </w:p>
    <w:bookmarkStart w:id="52" w:name="page53"/>
    <w:bookmarkEnd w:id="52"/>
    <w:p>
      <w:pPr>
        <w:ind w:left="1300" w:right="120"/>
        <w:spacing w:after="0" w:line="261" w:lineRule="auto"/>
        <w:rPr>
          <w:sz w:val="20"/>
          <w:szCs w:val="20"/>
          <w:color w:val="auto"/>
        </w:rPr>
      </w:pPr>
      <w:r>
        <w:rPr>
          <w:rFonts w:ascii="Times New Roman" w:cs="Times New Roman" w:eastAsia="Times New Roman" w:hAnsi="Times New Roman"/>
          <w:sz w:val="20"/>
          <w:szCs w:val="20"/>
          <w:color w:val="auto"/>
        </w:rPr>
        <w:t>remedy, and without the necessity of posting any bond or other security as the Optionee acknowledges that such breach would cause the Mondelēz Group to suffer irreparable harm. The aforementioned equitable relief shall be in addition to, not in lieu of, legal remedies, monetary damages or other available forms of relief.</w:t>
      </w:r>
    </w:p>
    <w:p>
      <w:pPr>
        <w:spacing w:after="0" w:line="168" w:lineRule="exact"/>
        <w:rPr>
          <w:sz w:val="20"/>
          <w:szCs w:val="20"/>
          <w:color w:val="auto"/>
        </w:rPr>
      </w:pPr>
    </w:p>
    <w:p>
      <w:pPr>
        <w:ind w:right="20" w:firstLine="656"/>
        <w:spacing w:after="0" w:line="254" w:lineRule="auto"/>
        <w:tabs>
          <w:tab w:leader="none" w:pos="112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contained in this paragraph 6 shall for any reason, whether by application of existing law or law which may develop after the Optionee’s acceptance of a Grant under the Plan be determined by a court of competent jurisdiction to be overly broad as to scope of activity, duration or territory, the Optionee agrees to join the Mondelēz Group in requesting such court to construe such provision by limiting or reducing it so as to be enforceable to the extent compatible with then applicable law.</w:t>
      </w:r>
    </w:p>
    <w:p>
      <w:pPr>
        <w:spacing w:after="0" w:line="173" w:lineRule="exact"/>
        <w:rPr>
          <w:rFonts w:ascii="Times New Roman" w:cs="Times New Roman" w:eastAsia="Times New Roman" w:hAnsi="Times New Roman"/>
          <w:sz w:val="20"/>
          <w:szCs w:val="20"/>
          <w:color w:val="auto"/>
        </w:rPr>
      </w:pPr>
    </w:p>
    <w:p>
      <w:pPr>
        <w:ind w:right="100" w:firstLine="656"/>
        <w:spacing w:after="0" w:line="248" w:lineRule="auto"/>
        <w:tabs>
          <w:tab w:leader="none" w:pos="1115"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no section of this Agreement is intended to or shall limit, prevent, impede or interfere with the Optionee’s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Optionee does not need prior authorization from the Mondelēz Group to make any such reports or disclosures and is not required to notify the Mondelēz Group that the Optionee has made such reports or disclosures.</w:t>
      </w:r>
    </w:p>
    <w:p>
      <w:pPr>
        <w:spacing w:after="0" w:line="210" w:lineRule="exact"/>
        <w:rPr>
          <w:rFonts w:ascii="Times New Roman" w:cs="Times New Roman" w:eastAsia="Times New Roman" w:hAnsi="Times New Roman"/>
          <w:sz w:val="20"/>
          <w:szCs w:val="20"/>
          <w:color w:val="auto"/>
        </w:rPr>
      </w:pPr>
    </w:p>
    <w:p>
      <w:pPr>
        <w:ind w:firstLine="656"/>
        <w:spacing w:after="0" w:line="247" w:lineRule="auto"/>
        <w:tabs>
          <w:tab w:leader="none" w:pos="1089"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is hereby advised in writing to consult with an attorney before entering into the covenants outlined in this paragraph 6. The Optionee acknowledges that prior to acceptance of this Agreement, the Optionee has been advised by the Company of the Optionee’s right to seek independent advice from an attorney of the Optionee’s own selection regarding this Agreement, including the restraints imposed upon him or her pursuant to this paragraph 6. The Optionee acknowledges that they have entered into this Agreement knowingly and voluntarily and with full knowledge and understanding of the provisions of this Agreement after being given the opportunity to consult with counsel. The Optionee further represents that in entering into this Agreement, the Optionee is not relying on any statements or representations made by any of the Company’s directors, officers, employees or agents which are not expressly set forth herein, and that the Optionee is relying only upon their own judgment and any advice provided by the Optionee’s attorney. The Optionee acknowledges he or she has been provided at minimum 14 calendar days to review the provisions contained herein but may voluntarily waive this period and sign prior to the 14 calendar day period lapsing.</w:t>
      </w:r>
    </w:p>
    <w:p>
      <w:pPr>
        <w:spacing w:after="0" w:line="225" w:lineRule="exact"/>
        <w:rPr>
          <w:rFonts w:ascii="Times New Roman" w:cs="Times New Roman" w:eastAsia="Times New Roman" w:hAnsi="Times New Roman"/>
          <w:sz w:val="20"/>
          <w:szCs w:val="20"/>
          <w:color w:val="auto"/>
        </w:rPr>
      </w:pPr>
    </w:p>
    <w:p>
      <w:pPr>
        <w:ind w:right="440" w:firstLine="656"/>
        <w:spacing w:after="0" w:line="254" w:lineRule="auto"/>
        <w:tabs>
          <w:tab w:leader="none" w:pos="112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paragraph 6, the Company and any member of the Mondelēz Group shall be deemed to be third-party beneficiaries with the right to seek enforcement of any of the provisions of this paragraph 6. Further, for purposes of this paragraph 6, references to acting directly or indirectly include acting jointly with or through another person.</w:t>
      </w:r>
    </w:p>
    <w:p>
      <w:pPr>
        <w:spacing w:after="0" w:line="187" w:lineRule="exact"/>
        <w:rPr>
          <w:rFonts w:ascii="Times New Roman" w:cs="Times New Roman" w:eastAsia="Times New Roman" w:hAnsi="Times New Roman"/>
          <w:sz w:val="20"/>
          <w:szCs w:val="20"/>
          <w:color w:val="auto"/>
        </w:rPr>
      </w:pPr>
    </w:p>
    <w:p>
      <w:pPr>
        <w:ind w:firstLine="8"/>
        <w:spacing w:after="0" w:line="250" w:lineRule="auto"/>
        <w:tabs>
          <w:tab w:leader="none" w:pos="32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 Policy/Forfeiture</w:t>
      </w:r>
      <w:r>
        <w:rPr>
          <w:rFonts w:ascii="Times New Roman" w:cs="Times New Roman" w:eastAsia="Times New Roman" w:hAnsi="Times New Roman"/>
          <w:sz w:val="20"/>
          <w:szCs w:val="20"/>
          <w:color w:val="auto"/>
        </w:rPr>
        <w:t>. The Optionee understands and agrees that in the Committee’s sole discretion, the Company may cancel all or part of the Option or require repayment by the Optionee to the Company of all or part of any cash payment or shares of Common Stock acquired at exercise pursuant to any recovery, recoupment, clawback and/or other forfeiture policy maintained by the Company, including the Company’s Dodd-Frank Clawback Policy, the Company’s Compensation Recoupment Policy, and a violation of paragraph 6 above, from time to time. In addition, any payments or benefits the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13" w:right="359" w:bottom="1440" w:gutter="0" w:footer="0" w:header="0"/>
        </w:sectPr>
      </w:pPr>
    </w:p>
    <w:bookmarkStart w:id="53" w:name="page54"/>
    <w:bookmarkEnd w:id="53"/>
    <w:p>
      <w:pPr>
        <w:spacing w:after="0" w:line="247" w:lineRule="auto"/>
        <w:rPr>
          <w:sz w:val="20"/>
          <w:szCs w:val="20"/>
          <w:color w:val="auto"/>
        </w:rPr>
      </w:pPr>
      <w:r>
        <w:rPr>
          <w:rFonts w:ascii="Times New Roman" w:cs="Times New Roman" w:eastAsia="Times New Roman" w:hAnsi="Times New Roman"/>
          <w:sz w:val="20"/>
          <w:szCs w:val="20"/>
          <w:color w:val="auto"/>
        </w:rPr>
        <w:t>may receive hereunder shall be subject to repayment or forfeiture as may be required to comply with the requirements under the U.S.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the Exchange Act, rules promulgated by the Commission, any other applicable law or any securities exchange on which the Common Stock is listed or traded, as may be in effect from time to time. In connection with the enforcement of such clawback policies, the Optionee hereby expressly acknowledges and agrees that the Company shall have the right to reduce, cancel, or withhold against outstanding, unvested, vested, or future cash or equity-based compensation owed or due to the Optionee, to the maximum extent permitted under applicable law. No such recovery will be an event giving rise to a right to resign for Good Reason or be deemed a “constructive termination” (or any similar term) as such terms are used in any agreement between the Optionee and the Company or under any severance plans applicable to the Optionee.</w:t>
      </w:r>
    </w:p>
    <w:p>
      <w:pPr>
        <w:spacing w:after="0" w:line="226" w:lineRule="exact"/>
        <w:rPr>
          <w:sz w:val="20"/>
          <w:szCs w:val="20"/>
          <w:color w:val="auto"/>
        </w:rPr>
      </w:pPr>
    </w:p>
    <w:p>
      <w:pPr>
        <w:ind w:right="60" w:firstLine="8"/>
        <w:spacing w:after="0" w:line="254" w:lineRule="auto"/>
        <w:tabs>
          <w:tab w:leader="none" w:pos="32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Restrictions</w:t>
      </w:r>
      <w:r>
        <w:rPr>
          <w:rFonts w:ascii="Times New Roman" w:cs="Times New Roman" w:eastAsia="Times New Roman" w:hAnsi="Times New Roman"/>
          <w:sz w:val="20"/>
          <w:szCs w:val="20"/>
          <w:color w:val="auto"/>
        </w:rPr>
        <w:t>. Unless otherwise required by law and subject to paragraph 3 of this Agreement, this Option is not transferable or assignable by the Optionee in any manner other than by will or the laws of descent and distribution applicable to the Optionee and, subject to paragraph 3 of this Agreement, is exercisable during the Optionee’s lifetime only by the Optionee.</w:t>
      </w:r>
    </w:p>
    <w:p>
      <w:pPr>
        <w:spacing w:after="0" w:line="187" w:lineRule="exact"/>
        <w:rPr>
          <w:rFonts w:ascii="Times New Roman" w:cs="Times New Roman" w:eastAsia="Times New Roman" w:hAnsi="Times New Roman"/>
          <w:sz w:val="20"/>
          <w:szCs w:val="20"/>
          <w:color w:val="auto"/>
        </w:rPr>
      </w:pPr>
    </w:p>
    <w:p>
      <w:pPr>
        <w:ind w:right="120" w:firstLine="8"/>
        <w:spacing w:after="0" w:line="262" w:lineRule="auto"/>
        <w:tabs>
          <w:tab w:leader="none" w:pos="37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w:t>
      </w:r>
      <w:r>
        <w:rPr>
          <w:rFonts w:ascii="Times New Roman" w:cs="Times New Roman" w:eastAsia="Times New Roman" w:hAnsi="Times New Roman"/>
          <w:sz w:val="19"/>
          <w:szCs w:val="19"/>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Grant Date, the Board or the Committee shall make adjustments to the terms and provisions of this Grant (including, without limiting the generality of the foregoing, terms and provisions relating to the Grant Price and the number and kind of shares subject to this Option) as it deems appropriate including, but not limited to, the substitution of equity interests in other entities involved in such transactions, to provide for cash payments in lieu of the Option, and to determine whether continued employment with any entity resulting from such transaction or event will or will not be treated as a continued employment with the Mondelēz Group, in each case, subject to any Board or Committee action specifically addressing any such adjustments, cash payments or continued employment treatment.</w:t>
      </w:r>
    </w:p>
    <w:p>
      <w:pPr>
        <w:spacing w:after="0" w:line="170" w:lineRule="exact"/>
        <w:rPr>
          <w:rFonts w:ascii="Times New Roman" w:cs="Times New Roman" w:eastAsia="Times New Roman" w:hAnsi="Times New Roman"/>
          <w:sz w:val="19"/>
          <w:szCs w:val="19"/>
          <w:color w:val="auto"/>
        </w:rPr>
      </w:pPr>
    </w:p>
    <w:p>
      <w:pPr>
        <w:ind w:firstLine="8"/>
        <w:spacing w:after="0" w:line="253" w:lineRule="auto"/>
        <w:tabs>
          <w:tab w:leader="none" w:pos="31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Whenever the word “Optionee” is used herein under circumstances such that the provision should logically be construed to apply to the executors, the administrators, or the person or persons to whom this Option may be transferred pursuant to this Agreement, it shall be deemed to include such person or persons.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78" w:lineRule="exact"/>
        <w:rPr>
          <w:rFonts w:ascii="Times New Roman" w:cs="Times New Roman" w:eastAsia="Times New Roman" w:hAnsi="Times New Roman"/>
          <w:sz w:val="20"/>
          <w:szCs w:val="20"/>
          <w:color w:val="auto"/>
        </w:rPr>
      </w:pPr>
    </w:p>
    <w:p>
      <w:pPr>
        <w:ind w:right="40" w:firstLine="8"/>
        <w:spacing w:after="0" w:line="246" w:lineRule="auto"/>
        <w:tabs>
          <w:tab w:leader="none" w:pos="30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Governing Law</w:t>
      </w:r>
      <w:r>
        <w:rPr>
          <w:rFonts w:ascii="Times New Roman" w:cs="Times New Roman" w:eastAsia="Times New Roman" w:hAnsi="Times New Roman"/>
          <w:sz w:val="20"/>
          <w:szCs w:val="20"/>
          <w:color w:val="auto"/>
        </w:rPr>
        <w:t>. The Award Statement, the Plan and this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as provided in the Award Statement, the Plan or this Agreement or by means of a writing signed by the Company and the Optionee.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Optionee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7</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54" w:name="page55"/>
    <w:bookmarkEnd w:id="54"/>
    <w:p>
      <w:pPr>
        <w:ind w:right="180" w:firstLine="8"/>
        <w:spacing w:after="0" w:line="251" w:lineRule="auto"/>
        <w:tabs>
          <w:tab w:leader="none" w:pos="31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Confers No Rights to Continued Employment - Nature of the Grant</w:t>
      </w:r>
      <w:r>
        <w:rPr>
          <w:rFonts w:ascii="Times New Roman" w:cs="Times New Roman" w:eastAsia="Times New Roman" w:hAnsi="Times New Roman"/>
          <w:sz w:val="20"/>
          <w:szCs w:val="20"/>
          <w:color w:val="auto"/>
        </w:rPr>
        <w:t>. Nothing contained in the Plan or this Agreement (including the country-specific terms set forth in Appendix A to this Agreement) shall give the Optionee the right to be retained in the employment of any member of the Mondelēz Group, affect the right of the Employer to terminate the Optionee’s employment, or be interpreted as forming or amending an employment or service contract with any member of the Mondelēz Group. The adoption and maintenance of the Plan shall not constitute an inducement to, or condition of, the employment of the Optionee. Further, the Optionee acknowledges, understands and agrees that:</w:t>
      </w:r>
    </w:p>
    <w:p>
      <w:pPr>
        <w:spacing w:after="0" w:line="176" w:lineRule="exact"/>
        <w:rPr>
          <w:rFonts w:ascii="Times New Roman" w:cs="Times New Roman" w:eastAsia="Times New Roman" w:hAnsi="Times New Roman"/>
          <w:sz w:val="20"/>
          <w:szCs w:val="20"/>
          <w:color w:val="auto"/>
        </w:rPr>
      </w:pPr>
    </w:p>
    <w:p>
      <w:pPr>
        <w:ind w:right="60" w:firstLine="737"/>
        <w:spacing w:after="0" w:line="269" w:lineRule="auto"/>
        <w:tabs>
          <w:tab w:leader="none" w:pos="128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2" w:lineRule="exact"/>
        <w:rPr>
          <w:rFonts w:ascii="Times New Roman" w:cs="Times New Roman" w:eastAsia="Times New Roman" w:hAnsi="Times New Roman"/>
          <w:sz w:val="20"/>
          <w:szCs w:val="20"/>
          <w:color w:val="auto"/>
        </w:rPr>
      </w:pPr>
    </w:p>
    <w:p>
      <w:pPr>
        <w:ind w:right="160" w:firstLine="737"/>
        <w:spacing w:after="0" w:line="269" w:lineRule="auto"/>
        <w:tabs>
          <w:tab w:leader="none" w:pos="128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59" w:lineRule="exact"/>
        <w:rPr>
          <w:rFonts w:ascii="Times New Roman" w:cs="Times New Roman" w:eastAsia="Times New Roman" w:hAnsi="Times New Roman"/>
          <w:sz w:val="20"/>
          <w:szCs w:val="20"/>
          <w:color w:val="auto"/>
        </w:rPr>
      </w:pPr>
    </w:p>
    <w:p>
      <w:pPr>
        <w:ind w:left="1300" w:hanging="563"/>
        <w:spacing w:after="0"/>
        <w:tabs>
          <w:tab w:leader="none" w:pos="13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option or other Grants, if any, will be at the sole discretion of the Committee;</w:t>
      </w:r>
    </w:p>
    <w:p>
      <w:pPr>
        <w:spacing w:after="0" w:line="229" w:lineRule="exact"/>
        <w:rPr>
          <w:rFonts w:ascii="Times New Roman" w:cs="Times New Roman" w:eastAsia="Times New Roman" w:hAnsi="Times New Roman"/>
          <w:sz w:val="20"/>
          <w:szCs w:val="20"/>
          <w:color w:val="auto"/>
        </w:rPr>
      </w:pPr>
    </w:p>
    <w:p>
      <w:pPr>
        <w:ind w:left="1300" w:hanging="563"/>
        <w:spacing w:after="0"/>
        <w:tabs>
          <w:tab w:leader="none" w:pos="13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is voluntarily participating in the Plan;</w:t>
      </w:r>
    </w:p>
    <w:p>
      <w:pPr>
        <w:spacing w:after="0" w:line="215" w:lineRule="exact"/>
        <w:rPr>
          <w:rFonts w:ascii="Times New Roman" w:cs="Times New Roman" w:eastAsia="Times New Roman" w:hAnsi="Times New Roman"/>
          <w:sz w:val="20"/>
          <w:szCs w:val="20"/>
          <w:color w:val="auto"/>
        </w:rPr>
      </w:pPr>
    </w:p>
    <w:p>
      <w:pPr>
        <w:ind w:right="260" w:firstLine="737"/>
        <w:spacing w:after="0" w:line="269" w:lineRule="auto"/>
        <w:tabs>
          <w:tab w:leader="none" w:pos="128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and the Option Shares subject to the Option, and the income and value of same, are not intended to replace any pension rights or compensation;</w:t>
      </w:r>
    </w:p>
    <w:p>
      <w:pPr>
        <w:spacing w:after="0" w:line="172" w:lineRule="exact"/>
        <w:rPr>
          <w:rFonts w:ascii="Times New Roman" w:cs="Times New Roman" w:eastAsia="Times New Roman" w:hAnsi="Times New Roman"/>
          <w:sz w:val="20"/>
          <w:szCs w:val="20"/>
          <w:color w:val="auto"/>
        </w:rPr>
      </w:pPr>
    </w:p>
    <w:p>
      <w:pPr>
        <w:ind w:firstLine="737"/>
        <w:spacing w:after="0" w:line="274" w:lineRule="auto"/>
        <w:tabs>
          <w:tab w:leader="none" w:pos="1291"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 and the Option Shares subject to the Option, and the income and value of same, are not part of normal or expected compensation or salary for purposes of calculating any severance, resignation, termination, redundancy, dismissal, end-of-service payments, holiday pay, bonuses, long-service awards, leave-related payment, pension, retirement or welfare benefits or similar mandatory payments;</w:t>
      </w:r>
    </w:p>
    <w:p>
      <w:pPr>
        <w:spacing w:after="0" w:line="169" w:lineRule="exact"/>
        <w:rPr>
          <w:rFonts w:ascii="Times New Roman" w:cs="Times New Roman" w:eastAsia="Times New Roman" w:hAnsi="Times New Roman"/>
          <w:sz w:val="19"/>
          <w:szCs w:val="19"/>
          <w:color w:val="auto"/>
        </w:rPr>
      </w:pPr>
    </w:p>
    <w:p>
      <w:pPr>
        <w:ind w:left="1300" w:hanging="563"/>
        <w:spacing w:after="0"/>
        <w:tabs>
          <w:tab w:leader="none" w:pos="13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of Common Stock is unknown, indeterminable and cannot be predicted;</w:t>
      </w:r>
    </w:p>
    <w:p>
      <w:pPr>
        <w:spacing w:after="0" w:line="215" w:lineRule="exact"/>
        <w:rPr>
          <w:rFonts w:ascii="Times New Roman" w:cs="Times New Roman" w:eastAsia="Times New Roman" w:hAnsi="Times New Roman"/>
          <w:sz w:val="20"/>
          <w:szCs w:val="20"/>
          <w:color w:val="auto"/>
        </w:rPr>
      </w:pPr>
    </w:p>
    <w:p>
      <w:pPr>
        <w:ind w:left="1300" w:hanging="563"/>
        <w:spacing w:after="0"/>
        <w:tabs>
          <w:tab w:leader="none" w:pos="13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underlying shares of Common Stock do not increase in value, the Option will have no value;</w:t>
      </w:r>
    </w:p>
    <w:p>
      <w:pPr>
        <w:spacing w:after="0" w:line="215" w:lineRule="exact"/>
        <w:rPr>
          <w:rFonts w:ascii="Times New Roman" w:cs="Times New Roman" w:eastAsia="Times New Roman" w:hAnsi="Times New Roman"/>
          <w:sz w:val="20"/>
          <w:szCs w:val="20"/>
          <w:color w:val="auto"/>
        </w:rPr>
      </w:pPr>
    </w:p>
    <w:p>
      <w:pPr>
        <w:ind w:right="520" w:firstLine="737"/>
        <w:spacing w:after="0" w:line="283" w:lineRule="auto"/>
        <w:tabs>
          <w:tab w:leader="none" w:pos="129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Optionee exercises the Option and obtains shares of Common Stock, the value of those shares of Common Stock acquired upon exercise may increase or decrease in value, even below the Grant Price;</w:t>
      </w:r>
    </w:p>
    <w:p>
      <w:pPr>
        <w:spacing w:after="0" w:line="146" w:lineRule="exact"/>
        <w:rPr>
          <w:rFonts w:ascii="Times New Roman" w:cs="Times New Roman" w:eastAsia="Times New Roman" w:hAnsi="Times New Roman"/>
          <w:sz w:val="20"/>
          <w:szCs w:val="20"/>
          <w:color w:val="auto"/>
        </w:rPr>
      </w:pPr>
    </w:p>
    <w:p>
      <w:pPr>
        <w:ind w:right="180" w:firstLine="737"/>
        <w:spacing w:after="0" w:line="261" w:lineRule="auto"/>
        <w:tabs>
          <w:tab w:leader="none" w:pos="129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Option and the shares of Common Stock subject to the Option, and the income and value of same, are not granted as consideration for, or in connection with, the service the Optionee may provide as a director of any entity of the Mondelēz Group;</w:t>
      </w:r>
    </w:p>
    <w:p>
      <w:pPr>
        <w:spacing w:after="0" w:line="167" w:lineRule="exact"/>
        <w:rPr>
          <w:rFonts w:ascii="Times New Roman" w:cs="Times New Roman" w:eastAsia="Times New Roman" w:hAnsi="Times New Roman"/>
          <w:sz w:val="20"/>
          <w:szCs w:val="20"/>
          <w:color w:val="auto"/>
        </w:rPr>
      </w:pPr>
    </w:p>
    <w:p>
      <w:pPr>
        <w:ind w:right="40" w:firstLine="737"/>
        <w:spacing w:after="0" w:line="254" w:lineRule="auto"/>
        <w:tabs>
          <w:tab w:leader="none" w:pos="128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Optionee understands and agrees that Optionee should consult with the Optionee’s own personal tax, legal and financial advisors regarding the Optionee’s participation in the Plan before taking any action related to the Plan and that the Company is not providing any tax, legal or financial advice, nor is the Company making any recommendations regarding the Optionee’s participation in the Plan, or the Optionee’s acquisition or sale of the underlying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8</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13" w:right="359" w:bottom="1440" w:gutter="0" w:footer="0" w:header="0"/>
        </w:sectPr>
      </w:pPr>
    </w:p>
    <w:bookmarkStart w:id="55" w:name="page56"/>
    <w:bookmarkEnd w:id="55"/>
    <w:p>
      <w:pPr>
        <w:ind w:right="580" w:firstLine="737"/>
        <w:spacing w:after="0" w:line="269" w:lineRule="auto"/>
        <w:tabs>
          <w:tab w:leader="none" w:pos="129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is designated as not constituting an Incentive Stock Option; this Agreement shall be interpreted and treated consistently with such designation;</w:t>
      </w:r>
    </w:p>
    <w:p>
      <w:pPr>
        <w:spacing w:after="0" w:line="172" w:lineRule="exact"/>
        <w:rPr>
          <w:rFonts w:ascii="Times New Roman" w:cs="Times New Roman" w:eastAsia="Times New Roman" w:hAnsi="Times New Roman"/>
          <w:sz w:val="20"/>
          <w:szCs w:val="20"/>
          <w:color w:val="auto"/>
        </w:rPr>
      </w:pPr>
    </w:p>
    <w:p>
      <w:pPr>
        <w:ind w:right="280" w:firstLine="737"/>
        <w:spacing w:after="0" w:line="254" w:lineRule="auto"/>
        <w:tabs>
          <w:tab w:leader="none" w:pos="1285"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Company’s Common Stock;</w:t>
      </w:r>
    </w:p>
    <w:p>
      <w:pPr>
        <w:spacing w:after="0" w:line="214" w:lineRule="exact"/>
        <w:rPr>
          <w:rFonts w:ascii="Times New Roman" w:cs="Times New Roman" w:eastAsia="Times New Roman" w:hAnsi="Times New Roman"/>
          <w:sz w:val="20"/>
          <w:szCs w:val="20"/>
          <w:color w:val="auto"/>
        </w:rPr>
      </w:pPr>
    </w:p>
    <w:p>
      <w:pPr>
        <w:ind w:right="700" w:firstLine="737"/>
        <w:spacing w:after="0" w:line="269" w:lineRule="auto"/>
        <w:tabs>
          <w:tab w:leader="none" w:pos="128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and the shares of Common Stock subject to the Option, and the income and value of same, are not part of Optionee’s normal or expected compensation or salary for any purpose;</w:t>
      </w:r>
    </w:p>
    <w:p>
      <w:pPr>
        <w:spacing w:after="0" w:line="159" w:lineRule="exact"/>
        <w:rPr>
          <w:rFonts w:ascii="Times New Roman" w:cs="Times New Roman" w:eastAsia="Times New Roman" w:hAnsi="Times New Roman"/>
          <w:sz w:val="20"/>
          <w:szCs w:val="20"/>
          <w:color w:val="auto"/>
        </w:rPr>
      </w:pPr>
    </w:p>
    <w:p>
      <w:pPr>
        <w:ind w:right="200" w:firstLine="737"/>
        <w:spacing w:after="0" w:line="254" w:lineRule="auto"/>
        <w:tabs>
          <w:tab w:leader="none" w:pos="128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the Employer nor any member of the Mondelēz Group shall be liable for any foreign exchange rate fluctuation between the Optionee’s local currency and the United States Dollar that may affect the value of the Option or any shares of Common Stock delivered to the Optionee upon exercise of the Option or of any proceeds resulting from the Optionee’s sale of such shares; and</w:t>
      </w:r>
    </w:p>
    <w:p>
      <w:pPr>
        <w:spacing w:after="0" w:line="187" w:lineRule="exact"/>
        <w:rPr>
          <w:rFonts w:ascii="Times New Roman" w:cs="Times New Roman" w:eastAsia="Times New Roman" w:hAnsi="Times New Roman"/>
          <w:sz w:val="20"/>
          <w:szCs w:val="20"/>
          <w:color w:val="auto"/>
        </w:rPr>
      </w:pPr>
    </w:p>
    <w:p>
      <w:pPr>
        <w:ind w:right="20" w:firstLine="737"/>
        <w:spacing w:after="0" w:line="250" w:lineRule="auto"/>
        <w:tabs>
          <w:tab w:leader="none" w:pos="128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Option or the recoupment of any shares of Common Stock acquired under the Plan resulting from (a) the termination of the Optionee’s employment or other service relationship by the Company or the Employer (for any reason whatsoever, whether or not later found to be invalid or in breach of any employment laws in the jurisdiction where the Optionee is employed or the terms of the Optionee’s employment agreement, if any); and/or (b) the application of any recoupment policy or any recovery or clawback policy otherwise required by law.</w:t>
      </w:r>
    </w:p>
    <w:p>
      <w:pPr>
        <w:spacing w:after="0" w:line="175" w:lineRule="exact"/>
        <w:rPr>
          <w:rFonts w:ascii="Times New Roman" w:cs="Times New Roman" w:eastAsia="Times New Roman" w:hAnsi="Times New Roman"/>
          <w:sz w:val="20"/>
          <w:szCs w:val="20"/>
          <w:color w:val="auto"/>
        </w:rPr>
      </w:pPr>
    </w:p>
    <w:p>
      <w:pPr>
        <w:jc w:val="both"/>
        <w:ind w:right="140" w:firstLine="8"/>
        <w:spacing w:after="0" w:line="263" w:lineRule="auto"/>
        <w:tabs>
          <w:tab w:leader="none" w:pos="31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Privacy</w:t>
      </w:r>
      <w:r>
        <w:rPr>
          <w:rFonts w:ascii="Times New Roman" w:cs="Times New Roman" w:eastAsia="Times New Roman" w:hAnsi="Times New Roman"/>
          <w:sz w:val="20"/>
          <w:szCs w:val="20"/>
          <w:b w:val="1"/>
          <w:bCs w:val="1"/>
          <w:i w:val="1"/>
          <w:iCs w:val="1"/>
          <w:color w:val="auto"/>
        </w:rPr>
        <w:t>. The Optionee explicitly and unambiguously consents to the collection, use and transfer, in electronic or other form, of the Optionee’s personal data as described in this Agreement and any other Option grant materials (“</w:t>
      </w:r>
      <w:r>
        <w:rPr>
          <w:rFonts w:ascii="Times New Roman" w:cs="Times New Roman" w:eastAsia="Times New Roman" w:hAnsi="Times New Roman"/>
          <w:sz w:val="20"/>
          <w:szCs w:val="20"/>
          <w:b w:val="1"/>
          <w:bCs w:val="1"/>
          <w:i w:val="1"/>
          <w:iCs w:val="1"/>
          <w:u w:val="single" w:color="auto"/>
          <w:color w:val="auto"/>
        </w:rPr>
        <w:t>Data</w:t>
      </w:r>
      <w:r>
        <w:rPr>
          <w:rFonts w:ascii="Times New Roman" w:cs="Times New Roman" w:eastAsia="Times New Roman" w:hAnsi="Times New Roman"/>
          <w:sz w:val="20"/>
          <w:szCs w:val="20"/>
          <w:b w:val="1"/>
          <w:bCs w:val="1"/>
          <w:i w:val="1"/>
          <w:iCs w:val="1"/>
          <w:color w:val="auto"/>
        </w:rPr>
        <w:t>”) by and among the Mondelēz Group for the exclusive purpose of implementing, administering and managing the Optionee’s participation in the Plan.</w:t>
      </w:r>
    </w:p>
    <w:p>
      <w:pPr>
        <w:spacing w:after="0" w:line="162"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The Optionee understands that the Mondelēz Group may hold certain personal information about the Optionee, including, but not limited to, the Optionee’s name, home address, email address and telephone number, date of birth, social security, passport or insurance number or other identification number (e.g., resident registration number), salary, nationality, job title, any shares of stock or directorships held in the Company, details of all Options or any other entitlement to shares of stock or other equivalent benefits awarded, canceled, purchased, exercised, vested, unvested or outstanding in the Optionee’s favor, for the exclusive purpose of implementing, administering and managing the Plan.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The Optionee understands that Data will be transferred to Morgan Stanley Smith Barney, LLC and its affiliates (“</w:t>
      </w:r>
      <w:r>
        <w:rPr>
          <w:rFonts w:ascii="Times New Roman" w:cs="Times New Roman" w:eastAsia="Times New Roman" w:hAnsi="Times New Roman"/>
          <w:sz w:val="20"/>
          <w:szCs w:val="20"/>
          <w:b w:val="1"/>
          <w:bCs w:val="1"/>
          <w:i w:val="1"/>
          <w:iCs w:val="1"/>
          <w:u w:val="single" w:color="auto"/>
          <w:color w:val="auto"/>
        </w:rPr>
        <w:t>Morgan</w:t>
      </w:r>
    </w:p>
    <w:p>
      <w:pPr>
        <w:spacing w:after="0" w:line="3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Stanley</w:t>
      </w:r>
      <w:r>
        <w:rPr>
          <w:rFonts w:ascii="Times New Roman" w:cs="Times New Roman" w:eastAsia="Times New Roman" w:hAnsi="Times New Roman"/>
          <w:sz w:val="20"/>
          <w:szCs w:val="20"/>
          <w:b w:val="1"/>
          <w:bCs w:val="1"/>
          <w:i w:val="1"/>
          <w:iCs w:val="1"/>
          <w:color w:val="auto"/>
        </w:rPr>
        <w:t>”),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If the Optionee resides outside the United States, the Optionee understands that the Optionee may request a list with the names and addresses of any potential recipients of the Data by contacting the Optionee’s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13" w:right="359" w:bottom="1440" w:gutter="0" w:footer="0" w:header="0"/>
        </w:sectPr>
      </w:pPr>
    </w:p>
    <w:bookmarkStart w:id="56" w:name="page57"/>
    <w:bookmarkEnd w:id="56"/>
    <w:p>
      <w:pPr>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The Optionee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If the Optionee resides outside the United States,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their consent, their employment status or service with the Employer will not be affected; the only consequence of refusing or withdrawing the Optionee’s consent is that the Company would not be able to grant the Optionee an option or other equity awards or administer or maintain such grants. The Optionee also understands that the Company has no obligation to substitute other forms of grants or compensation in lieu of the option as a consequence of the Optionee’s refusal or withdrawal of their consent. Therefore, the Optionee understands that refusing or withdrawing their consent may affect the Optionee’s ability to participate in the Plan. For more information on the consequences of the Optionee’s refusal to consent or withdrawal of consent, the Optionee understands that he or she may contact their local human resources representative.</w:t>
      </w:r>
    </w:p>
    <w:p>
      <w:pPr>
        <w:spacing w:after="0" w:line="17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Further, upon request of the Company or the Employer, the Optionee agrees to provide an executed data privacy form (or any other agreements or consents)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Optionee’s fails to provide any such consent or agreement as requested by the Company and/or the Employer.</w:t>
      </w:r>
    </w:p>
    <w:p>
      <w:pPr>
        <w:spacing w:after="0" w:line="192" w:lineRule="exact"/>
        <w:rPr>
          <w:sz w:val="20"/>
          <w:szCs w:val="20"/>
          <w:color w:val="auto"/>
        </w:rPr>
      </w:pPr>
    </w:p>
    <w:p>
      <w:pPr>
        <w:ind w:firstLine="251"/>
        <w:spacing w:after="0" w:line="248" w:lineRule="auto"/>
        <w:tabs>
          <w:tab w:leader="none" w:pos="63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terms and provisions of the Plan (a copy of which will be made available online or furnished to the Optionee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an Optionee is no longer actively employed, and any interpretation, determination or other action made or taken by the Committee regarding the Plan or this Agreement shall be final, binding and conclusive.</w:t>
      </w:r>
    </w:p>
    <w:p>
      <w:pPr>
        <w:spacing w:after="0" w:line="194" w:lineRule="exact"/>
        <w:rPr>
          <w:rFonts w:ascii="Times New Roman" w:cs="Times New Roman" w:eastAsia="Times New Roman" w:hAnsi="Times New Roman"/>
          <w:sz w:val="20"/>
          <w:szCs w:val="20"/>
          <w:color w:val="auto"/>
        </w:rPr>
      </w:pPr>
    </w:p>
    <w:p>
      <w:pPr>
        <w:ind w:firstLine="251"/>
        <w:spacing w:after="0" w:line="250" w:lineRule="auto"/>
        <w:tabs>
          <w:tab w:leader="none" w:pos="63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 Definitions</w:t>
      </w:r>
      <w:r>
        <w:rPr>
          <w:rFonts w:ascii="Times New Roman" w:cs="Times New Roman" w:eastAsia="Times New Roman" w:hAnsi="Times New Roman"/>
          <w:sz w:val="20"/>
          <w:szCs w:val="20"/>
          <w:color w:val="auto"/>
        </w:rPr>
        <w:t>. For the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the procedures established by the Company for purposes of the Plan and the term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unless otherwise determined by the Committee in its sole discretion, the termination of employment on or after either (i) the date the Optionee is age 55 or older with at least ten (10) or more years of active continuous employment with the Mondelēz Group or (ii) the date the Optionee is age 65 or older with at least five (5) or more years of active continuous employment with the Mondelēz Group.</w:t>
      </w:r>
    </w:p>
    <w:p>
      <w:pPr>
        <w:spacing w:after="0" w:line="179"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Notwithstanding the above, if the Company receives an opinion of counsel that there has been a legal judgment and/or legal development in the Optionee’s jurisdiction that likely would result in the 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09" w:right="359" w:bottom="1440" w:gutter="0" w:footer="0" w:header="0"/>
        </w:sectPr>
      </w:pPr>
    </w:p>
    <w:bookmarkStart w:id="57" w:name="page58"/>
    <w:bookmarkEnd w:id="57"/>
    <w:p>
      <w:pPr>
        <w:jc w:val="both"/>
        <w:ind w:right="280"/>
        <w:spacing w:after="0" w:line="261" w:lineRule="auto"/>
        <w:rPr>
          <w:sz w:val="20"/>
          <w:szCs w:val="20"/>
          <w:color w:val="auto"/>
        </w:rPr>
      </w:pPr>
      <w:r>
        <w:rPr>
          <w:rFonts w:ascii="Times New Roman" w:cs="Times New Roman" w:eastAsia="Times New Roman" w:hAnsi="Times New Roman"/>
          <w:sz w:val="20"/>
          <w:szCs w:val="20"/>
          <w:color w:val="auto"/>
        </w:rPr>
        <w:t>Retirement treatment (as set forth in paragraphs 2 and 3) that applies to the Option being deemed unlawful and/or discriminatory, then the Company will not apply the favorable Retirement treatment at the time of termination and the Option will be treated as it would under the rules that apply if the Optionee’s employment is terminated for reasons other than Retirement, death or Disability.</w:t>
      </w:r>
    </w:p>
    <w:p>
      <w:pPr>
        <w:spacing w:after="0" w:line="168" w:lineRule="exact"/>
        <w:rPr>
          <w:sz w:val="20"/>
          <w:szCs w:val="20"/>
          <w:color w:val="auto"/>
        </w:rPr>
      </w:pPr>
    </w:p>
    <w:p>
      <w:pPr>
        <w:ind w:right="180" w:firstLine="251"/>
        <w:spacing w:after="0" w:line="254" w:lineRule="auto"/>
        <w:tabs>
          <w:tab w:leader="none" w:pos="63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Optionee acknowledges that he or she is sufficiently proficient in English, or, alternatively, the Optionee acknowledges that he or she will seek appropriate assistance, to understand the terms and conditions in the Agreement. Furthermore, if this Agreement or any other document related to the Plan is translated into a language other than English and if the meaning of the translated version is different from the English version, the English version will control, unless otherwise required by applicable law.</w:t>
      </w:r>
    </w:p>
    <w:p>
      <w:pPr>
        <w:spacing w:after="0" w:line="173" w:lineRule="exact"/>
        <w:rPr>
          <w:rFonts w:ascii="Times New Roman" w:cs="Times New Roman" w:eastAsia="Times New Roman" w:hAnsi="Times New Roman"/>
          <w:sz w:val="20"/>
          <w:szCs w:val="20"/>
          <w:color w:val="auto"/>
        </w:rPr>
      </w:pPr>
    </w:p>
    <w:p>
      <w:pPr>
        <w:ind w:right="40" w:firstLine="251"/>
        <w:spacing w:after="0" w:line="261" w:lineRule="auto"/>
        <w:tabs>
          <w:tab w:leader="none" w:pos="639"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Law</w:t>
      </w:r>
      <w:r>
        <w:rPr>
          <w:rFonts w:ascii="Times New Roman" w:cs="Times New Roman" w:eastAsia="Times New Roman" w:hAnsi="Times New Roman"/>
          <w:sz w:val="19"/>
          <w:szCs w:val="19"/>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Option Shares issuable upon exercise of the Option prior to the completion of any registration or qualification of the Option Shares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Commission or any state or foreign securities commission or to seek approval or clearance from any governmental authority for the issuance or sale of the shares. Further, the Optionee agrees that the Company shall have unilateral authority to amend the Plan and this Agreement without the Optionee’s consent to the extent necessary to comply with securities or other laws applicable to the issuance of shares of Common Stock.</w:t>
      </w:r>
    </w:p>
    <w:p>
      <w:pPr>
        <w:spacing w:after="0" w:line="189" w:lineRule="exact"/>
        <w:rPr>
          <w:rFonts w:ascii="Times New Roman" w:cs="Times New Roman" w:eastAsia="Times New Roman" w:hAnsi="Times New Roman"/>
          <w:sz w:val="19"/>
          <w:szCs w:val="19"/>
          <w:color w:val="auto"/>
        </w:rPr>
      </w:pPr>
    </w:p>
    <w:p>
      <w:pPr>
        <w:ind w:firstLine="251"/>
        <w:spacing w:after="0" w:line="249" w:lineRule="auto"/>
        <w:tabs>
          <w:tab w:leader="none" w:pos="63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Optionee related to current or future participation in the Plan may also be delivered through electronic means as described in paragraph 19 below.</w:t>
      </w:r>
    </w:p>
    <w:p>
      <w:pPr>
        <w:spacing w:after="0" w:line="179" w:lineRule="exact"/>
        <w:rPr>
          <w:rFonts w:ascii="Times New Roman" w:cs="Times New Roman" w:eastAsia="Times New Roman" w:hAnsi="Times New Roman"/>
          <w:sz w:val="20"/>
          <w:szCs w:val="20"/>
          <w:color w:val="auto"/>
        </w:rPr>
      </w:pPr>
    </w:p>
    <w:p>
      <w:pPr>
        <w:ind w:right="120" w:firstLine="251"/>
        <w:spacing w:after="0" w:line="254" w:lineRule="auto"/>
        <w:tabs>
          <w:tab w:leader="none" w:pos="63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any on-line or electronic system established and maintained by the Company or a third party designated by the Company.</w:t>
      </w:r>
    </w:p>
    <w:p>
      <w:pPr>
        <w:spacing w:after="0" w:line="173" w:lineRule="exact"/>
        <w:rPr>
          <w:rFonts w:ascii="Times New Roman" w:cs="Times New Roman" w:eastAsia="Times New Roman" w:hAnsi="Times New Roman"/>
          <w:sz w:val="20"/>
          <w:szCs w:val="20"/>
          <w:color w:val="auto"/>
        </w:rPr>
      </w:pPr>
    </w:p>
    <w:p>
      <w:pPr>
        <w:ind w:right="60" w:firstLine="251"/>
        <w:spacing w:after="0" w:line="283" w:lineRule="auto"/>
        <w:tabs>
          <w:tab w:leader="none" w:pos="63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46" w:lineRule="exact"/>
        <w:rPr>
          <w:rFonts w:ascii="Times New Roman" w:cs="Times New Roman" w:eastAsia="Times New Roman" w:hAnsi="Times New Roman"/>
          <w:sz w:val="20"/>
          <w:szCs w:val="20"/>
          <w:color w:val="auto"/>
        </w:rPr>
      </w:pPr>
    </w:p>
    <w:p>
      <w:pPr>
        <w:ind w:right="100" w:firstLine="251"/>
        <w:spacing w:after="0" w:line="269" w:lineRule="auto"/>
        <w:tabs>
          <w:tab w:leader="none" w:pos="63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Headings of paragraphs and sections used in this Agreement are for convenience only and are not part of this Agreement, and must not be used in construing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13" w:right="379" w:bottom="1440" w:gutter="0" w:footer="0" w:header="0"/>
        </w:sectPr>
      </w:pPr>
    </w:p>
    <w:bookmarkStart w:id="58" w:name="page59"/>
    <w:bookmarkEnd w:id="58"/>
    <w:p>
      <w:pPr>
        <w:ind w:right="40" w:firstLine="251"/>
        <w:spacing w:after="0" w:line="254" w:lineRule="auto"/>
        <w:tabs>
          <w:tab w:leader="none" w:pos="63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Optionee’s participation in the Plan, on the Option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173" w:lineRule="exact"/>
        <w:rPr>
          <w:rFonts w:ascii="Times New Roman" w:cs="Times New Roman" w:eastAsia="Times New Roman" w:hAnsi="Times New Roman"/>
          <w:sz w:val="20"/>
          <w:szCs w:val="20"/>
          <w:color w:val="auto"/>
        </w:rPr>
      </w:pPr>
    </w:p>
    <w:p>
      <w:pPr>
        <w:ind w:right="40" w:firstLine="251"/>
        <w:spacing w:after="0" w:line="248" w:lineRule="auto"/>
        <w:tabs>
          <w:tab w:leader="none" w:pos="63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 Trading/Market Abuse Laws</w:t>
      </w:r>
      <w:r>
        <w:rPr>
          <w:rFonts w:ascii="Times New Roman" w:cs="Times New Roman" w:eastAsia="Times New Roman" w:hAnsi="Times New Roman"/>
          <w:sz w:val="20"/>
          <w:szCs w:val="20"/>
          <w:color w:val="auto"/>
        </w:rPr>
        <w:t>. The Optionee may be subject to insider trading and/or market abuse laws which may affect the Optionee’s ability to accept, acquire, sell or otherwise dispose of shares of Common Stock, rights to such shares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Options) or rights linked to the value of shares of Common Stock under the Plan during such times as the Optionee is considered to have “material nonpublic information” or “insider information” regarding the Company (as defined by the laws or regulations in the relevant jurisdiction). Local insider trading laws and regulations may prohibit the cancellation or amendment of orders the Optionee places before the Optionee possessed inside information. Furthermore, the Optionee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Optionee acknowledges that it is their responsibility to comply with any applicable restrictions, and that the Optionee should speak to their personal advisor on this matter.</w:t>
      </w:r>
    </w:p>
    <w:p>
      <w:pPr>
        <w:spacing w:after="0" w:line="180" w:lineRule="exact"/>
        <w:rPr>
          <w:rFonts w:ascii="Times New Roman" w:cs="Times New Roman" w:eastAsia="Times New Roman" w:hAnsi="Times New Roman"/>
          <w:sz w:val="20"/>
          <w:szCs w:val="20"/>
          <w:color w:val="auto"/>
        </w:rPr>
      </w:pPr>
    </w:p>
    <w:p>
      <w:pPr>
        <w:ind w:firstLine="251"/>
        <w:spacing w:after="0" w:line="246" w:lineRule="auto"/>
        <w:tabs>
          <w:tab w:leader="none" w:pos="63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Control Tax and Foreign Asset/Account Reporting Requirements</w:t>
      </w:r>
      <w:r>
        <w:rPr>
          <w:rFonts w:ascii="Times New Roman" w:cs="Times New Roman" w:eastAsia="Times New Roman" w:hAnsi="Times New Roman"/>
          <w:sz w:val="20"/>
          <w:szCs w:val="20"/>
          <w:color w:val="auto"/>
        </w:rPr>
        <w:t>. The Optionee acknowledges that there may be exchange control, tax, foreign asset and/or account reporting requirements which may affect the Optionee’s ability to acquire or hold shares of Common Stock acquired under the Plan or cash received from participating in the Plan (including from any dividends paid on shares of Common Stock acquired under the Plan) in a brokerage, bank account or legal entity outside the Optionee’s country. The Optionee may be required to report such accounts, balances, assets and/or the related transactions to the tax or other authorities in their country. The Optionee also may be required to repatriate sale proceeds or other funds received as a result of the Optionee’s participation in the Plan to their country through a designated bank or broker within a certain time after receipt. In addition, the Optionee agrees to take any and all actions required by the Company, any other entity in the Mondelēz Group or the local laws, rules and regulations in the Optionee’s country of residence (and country of employment, if different) that may be required to comply with such laws, rules and regulations. The Optionee acknowledges that it is the Optionee’s responsibility to be compliant with such regulations, and the Optionee should consult their personal legal advisor for any details.</w:t>
      </w:r>
    </w:p>
    <w:p>
      <w:pPr>
        <w:spacing w:after="0" w:line="201" w:lineRule="exact"/>
        <w:rPr>
          <w:rFonts w:ascii="Times New Roman" w:cs="Times New Roman" w:eastAsia="Times New Roman" w:hAnsi="Times New Roman"/>
          <w:sz w:val="20"/>
          <w:szCs w:val="20"/>
          <w:color w:val="auto"/>
        </w:rPr>
      </w:pPr>
    </w:p>
    <w:p>
      <w:pPr>
        <w:ind w:firstLine="251"/>
        <w:spacing w:after="0" w:line="254" w:lineRule="auto"/>
        <w:tabs>
          <w:tab w:leader="none" w:pos="63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Appendix</w:t>
      </w:r>
      <w:r>
        <w:rPr>
          <w:rFonts w:ascii="Times New Roman" w:cs="Times New Roman" w:eastAsia="Times New Roman" w:hAnsi="Times New Roman"/>
          <w:sz w:val="20"/>
          <w:szCs w:val="20"/>
          <w:color w:val="auto"/>
        </w:rPr>
        <w:t>. Notwithstanding any provisions in this Agreement, the Option shall be subject to any terms set forth in the Appendix to this Agreement for the Optionee’s country. Moreover, if the Optionee relocates to one of the countries included in the Appendix, the terms for such country will apply to the Optionee, to the extent the Company determines that the application of such terms is necessary or advisable for legal or administrative reasons. The Appendix constitutes part of this Agreement.</w:t>
      </w:r>
    </w:p>
    <w:p>
      <w:pPr>
        <w:spacing w:after="0" w:line="173" w:lineRule="exact"/>
        <w:rPr>
          <w:rFonts w:ascii="Times New Roman" w:cs="Times New Roman" w:eastAsia="Times New Roman" w:hAnsi="Times New Roman"/>
          <w:sz w:val="20"/>
          <w:szCs w:val="20"/>
          <w:color w:val="auto"/>
        </w:rPr>
      </w:pPr>
    </w:p>
    <w:p>
      <w:pPr>
        <w:jc w:val="both"/>
        <w:ind w:right="100" w:firstLine="251"/>
        <w:spacing w:after="0" w:line="261" w:lineRule="auto"/>
        <w:tabs>
          <w:tab w:leader="none" w:pos="63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Optionee acknowledges that a waiver by the Company of a breach of any provision of this Agreement shall not operate or be construed as a waiver of any other provision of this Agreement or of any subsequent breach by the Optionee or any other participant of the Plan.</w:t>
      </w:r>
    </w:p>
    <w:p>
      <w:pPr>
        <w:spacing w:after="0" w:line="167" w:lineRule="exact"/>
        <w:rPr>
          <w:rFonts w:ascii="Times New Roman" w:cs="Times New Roman" w:eastAsia="Times New Roman" w:hAnsi="Times New Roman"/>
          <w:sz w:val="20"/>
          <w:szCs w:val="20"/>
          <w:color w:val="auto"/>
        </w:rPr>
      </w:pPr>
    </w:p>
    <w:p>
      <w:pPr>
        <w:ind w:right="200" w:firstLine="251"/>
        <w:spacing w:after="0" w:line="254" w:lineRule="auto"/>
        <w:tabs>
          <w:tab w:leader="none" w:pos="63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The Optionee acknowledges that the Award Statement, the Plan and this Agreement are intended to conform to the extent necessary with all provisions of the Securities Act and the Exchange Act, and any and all regulations and rules promulgated thereunder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59" w:name="page60"/>
    <w:bookmarkEnd w:id="59"/>
    <w:p>
      <w:pPr>
        <w:spacing w:after="0" w:line="254" w:lineRule="auto"/>
        <w:rPr>
          <w:sz w:val="20"/>
          <w:szCs w:val="20"/>
          <w:color w:val="auto"/>
        </w:rPr>
      </w:pPr>
      <w:r>
        <w:rPr>
          <w:rFonts w:ascii="Times New Roman" w:cs="Times New Roman" w:eastAsia="Times New Roman" w:hAnsi="Times New Roman"/>
          <w:sz w:val="20"/>
          <w:szCs w:val="20"/>
          <w:color w:val="auto"/>
        </w:rPr>
        <w:t>Commission, including, without limitation, Rule 16b-3 under the Exchange Act. Notwithstanding anything herein to the contrary, the Award Statement, the Plan and this Agreement shall be administered, and the Option is granted,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13" w:right="379" w:bottom="1440" w:gutter="0" w:footer="0" w:header="0"/>
        </w:sectPr>
      </w:pPr>
    </w:p>
    <w:bookmarkStart w:id="60" w:name="page61"/>
    <w:bookmarkEnd w:id="60"/>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The Optionee acknowledges that the Optionee has reviewed the Plan, the Award Statement and this Agreement (including any appendices hereto) in their entirety and fully understands their respective provisions. The Optionee agrees to accept as binding, conclusive and final all decisions or interpretations of the Committee upon any questions arising under the Plan, the Award Statement or this Agreement.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this Agreement has been executed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MONDELĒZ INTERNATIONAL, IN.</w:t>
      </w:r>
    </w:p>
    <w:p>
      <w:pPr>
        <w:spacing w:after="0" w:line="2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 Laura Stein</w:t>
      </w:r>
    </w:p>
    <w:p>
      <w:pPr>
        <w:spacing w:after="0" w:line="1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Laura Stein</w:t>
      </w:r>
    </w:p>
    <w:p>
      <w:pPr>
        <w:spacing w:after="0" w:line="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Executive Vice President,</w:t>
      </w:r>
    </w:p>
    <w:p>
      <w:pPr>
        <w:spacing w:after="0" w:line="5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Corporate &amp; Legal Affairs,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00"/>
          </w:cols>
          <w:pgMar w:left="320" w:top="1409" w:right="479" w:bottom="1440" w:gutter="0" w:footer="0" w:header="0"/>
        </w:sectPr>
      </w:pPr>
    </w:p>
    <w:bookmarkStart w:id="61" w:name="page62"/>
    <w:bookmarkEnd w:id="61"/>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MONDELĒZ INTERNATIONAL, INC.</w:t>
      </w:r>
    </w:p>
    <w:p>
      <w:pPr>
        <w:spacing w:after="0" w:line="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2024 PERFORMANCE INCENTIVE PLAN</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ADDITIONAL TERMS AND CONDITIONS OF THE</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NON-QUALIFIED GLOBAL STOCK OPTION AGREEMENT</w:t>
      </w:r>
    </w:p>
    <w:p>
      <w:pPr>
        <w:spacing w:after="0" w:line="2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This Appendix A includes additional terms and conditions that govern the Option granted to the Optionee under the Plan if he or she resides and/or works in one of the countries listed herein. If the Optionee is a citizen or resident (or is considered as such for local law purposes) of a country other than the country in which the Optionee is currently residing and/or working, or if the Optionee transfers to another country after receiving the Option, the Company shall, in its discretion, determine to what extent the terms and conditions contained herein shall be applicable to the Optionee. Certain capitalized terms used but not defined in this Appendix A have the meanings set forth in the Plan and/or the Non-Qualified Global Stock Option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color w:val="auto"/>
        </w:rPr>
        <w:t>This Appendix A also includes information regarding securities, exchange control and certain other issues of which the Optionee should be aware with respect to participation in the Plan. The information is based on the securities, exchange control and other laws in effect in the respective countries as of December 2025. Such laws are often complex and change frequently. As a result, the Optionee should not rely on the information in this Appendix A as the only source of information relating to the consequences of their participation in the Plan because the information may be out of date at the time the Optionee exercises the Option or sells shares of Common Stock acquired under the Plan.</w:t>
      </w:r>
    </w:p>
    <w:p>
      <w:pPr>
        <w:spacing w:after="0" w:line="180"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their country may apply to the Optionee’s situation.</w:t>
      </w:r>
    </w:p>
    <w:p>
      <w:pPr>
        <w:spacing w:after="0" w:line="18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Finally, if the Optionee is a citizen or resident of a country other than the one in which he or she is currently working, transfers employment after the Grant Date, or is considered a resident of another country for local law purposes, the information contained herein may not be applicable to the Optionee in the same manner.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EUROPEAN UNION / EUROPEAN ECONOMIC AREA, SWITZERLAND AND THE UNITED KINGDOM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Notice</w:t>
      </w:r>
      <w:r>
        <w:rPr>
          <w:rFonts w:ascii="Times New Roman" w:cs="Times New Roman" w:eastAsia="Times New Roman" w:hAnsi="Times New Roman"/>
          <w:sz w:val="20"/>
          <w:szCs w:val="20"/>
          <w:color w:val="auto"/>
        </w:rPr>
        <w:t>. The following provision replaces in its entirety paragraph 13 of the Agreement:</w:t>
      </w:r>
    </w:p>
    <w:p>
      <w:pPr>
        <w:spacing w:after="0" w:line="2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If the Optionee is based in the European Union (“EU”), the European Economic Area, Switzerland or the United Kingdom, the Optionee should note that Mondelēz International, Inc., with registered address at 905 West Fulton Market, Suite 200, Chicago, Illinois 60607, U.S.A. is the controller responsible for the processing of the Optionee’s Personal Data (as defined below) in connection with the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80"/>
          </w:cols>
          <w:pgMar w:left="320" w:top="1436" w:right="399" w:bottom="1440" w:gutter="0" w:footer="0" w:header="0"/>
        </w:sectPr>
      </w:pPr>
    </w:p>
    <w:bookmarkStart w:id="62" w:name="page63"/>
    <w:bookmarkEnd w:id="62"/>
    <w:p>
      <w:pPr>
        <w:ind w:right="20"/>
        <w:spacing w:after="0" w:line="266" w:lineRule="auto"/>
        <w:rPr>
          <w:sz w:val="20"/>
          <w:szCs w:val="20"/>
          <w:color w:val="auto"/>
        </w:rPr>
      </w:pPr>
      <w:r>
        <w:rPr>
          <w:rFonts w:ascii="Times New Roman" w:cs="Times New Roman" w:eastAsia="Times New Roman" w:hAnsi="Times New Roman"/>
          <w:sz w:val="19"/>
          <w:szCs w:val="19"/>
          <w:u w:val="single" w:color="auto"/>
          <w:color w:val="auto"/>
        </w:rPr>
        <w:t>Data Collection and Usage</w:t>
      </w:r>
      <w:r>
        <w:rPr>
          <w:rFonts w:ascii="Times New Roman" w:cs="Times New Roman" w:eastAsia="Times New Roman" w:hAnsi="Times New Roman"/>
          <w:sz w:val="19"/>
          <w:szCs w:val="19"/>
          <w:color w:val="auto"/>
        </w:rPr>
        <w:t>. Pursuant to applicable data protection laws, the Optionee is hereby notified that the Company collects, processes and uses the following types of personal data about the Optionee: name, home address and telephone number, email address, date of birth, social insurance, passport number or other identification number, salary, nationality, job title, any shares of stock or directorships held in any entity in the Mondelēz Group, details of all Options or any other entitlement to shares awarded, canceled, settled, vested, unvested or outstanding in the Optionee’s favor, which the Company receives from the Optionee or the Employer (“Personal Data”) for the exclusive legitimate purpose of granting Options and implementing, administering and managing the Optionee’s participation in the Plan.</w:t>
      </w:r>
    </w:p>
    <w:p>
      <w:pPr>
        <w:spacing w:after="0" w:line="1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u w:val="single" w:color="auto"/>
          <w:color w:val="auto"/>
        </w:rPr>
        <w:t>Purposes and Legal Bases of Processing</w:t>
      </w:r>
      <w:r>
        <w:rPr>
          <w:rFonts w:ascii="Times New Roman" w:cs="Times New Roman" w:eastAsia="Times New Roman" w:hAnsi="Times New Roman"/>
          <w:sz w:val="19"/>
          <w:szCs w:val="19"/>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Optionee understands that providing the Company with Personal Data is necessary for the performance of the Agreement and that the Optionee’s refusal to provide Personal Data would make it impossible for the Company to perform its contractual obligations and may affect the Optionee’s ability to participate in the Plan.</w:t>
      </w:r>
    </w:p>
    <w:p>
      <w:pPr>
        <w:spacing w:after="0" w:line="20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u w:val="single" w:color="auto"/>
          <w:color w:val="auto"/>
        </w:rPr>
        <w:t>International Data Transfers</w:t>
      </w:r>
      <w:r>
        <w:rPr>
          <w:rFonts w:ascii="Times New Roman" w:cs="Times New Roman" w:eastAsia="Times New Roman" w:hAnsi="Times New Roman"/>
          <w:sz w:val="20"/>
          <w:szCs w:val="20"/>
          <w:color w:val="auto"/>
        </w:rPr>
        <w:t>. The Company is located in the United States which means that it will be necessary for Personal Data to be transferred to, and processed in, the United States. The Optionee understands and acknowledges that the United States is not subject to an unlimited adequacy finding by the European Commission and that the Optionee’s Personal Data may not have an equivalent level of protection as compared to the Optionee’s country of residence. To provide appropriate safeguards for the protection of the Optionee’s Personal Data, the Personal Data is transferred to the Company based on data transfer and processing agreements implementing the EU Standard Contractual Clauses. Further, the Optionee understands that the Company transfers their Personal Data, or parts thereof to third parties based on agreements implementing the EU Standard Contractual Clauses. These third parties include Morgan Stanley Smith Barney, LLC and its affiliates (“Morgan Stanley”), an independent service provider based in the United States which assists the Company with the implementation, administration and management of the Plan. Morgan Stanley has opened or will open an account for the Optionee to receive and trade shares of Common Stock acquired under the Plan. The Optionee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Optionee may be asked to agree on separate terms and data processing practices with Morgan Stanley, PricewaterhouseCoopers LLP or KPMG LLP with such agreement being a condition to the Optionee’s ability to participate in the Plan.</w:t>
      </w:r>
    </w:p>
    <w:p>
      <w:pPr>
        <w:spacing w:after="0" w:line="20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The Optionee may request a copy of the safeguards used to protect their Personal Data or the names and addresses of any potential recipients of Personal Data by contacting the Company at </w:t>
      </w:r>
      <w:r>
        <w:rPr>
          <w:rFonts w:ascii="Times New Roman" w:cs="Times New Roman" w:eastAsia="Times New Roman" w:hAnsi="Times New Roman"/>
          <w:sz w:val="20"/>
          <w:szCs w:val="20"/>
          <w:u w:val="single" w:color="auto"/>
          <w:color w:val="auto"/>
        </w:rPr>
        <w:t>DataProtectionOfficeMEU@mdlz.com</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u w:val="single" w:color="auto"/>
          <w:color w:val="auto"/>
        </w:rPr>
        <w:t>Data Retention</w:t>
      </w:r>
      <w:r>
        <w:rPr>
          <w:rFonts w:ascii="Times New Roman" w:cs="Times New Roman" w:eastAsia="Times New Roman" w:hAnsi="Times New Roman"/>
          <w:sz w:val="20"/>
          <w:szCs w:val="20"/>
          <w:color w:val="auto"/>
        </w:rPr>
        <w:t>. The Company will use the Personal Data only as long as necessary to implement, administer and manage the Optionee’s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80"/>
          </w:cols>
          <w:pgMar w:left="320" w:top="1413" w:right="399" w:bottom="1440" w:gutter="0" w:footer="0" w:header="0"/>
        </w:sectPr>
      </w:pPr>
    </w:p>
    <w:bookmarkStart w:id="63" w:name="page64"/>
    <w:bookmarkEnd w:id="63"/>
    <w:p>
      <w:pPr>
        <w:ind w:right="60"/>
        <w:spacing w:after="0" w:line="246" w:lineRule="auto"/>
        <w:rPr>
          <w:sz w:val="20"/>
          <w:szCs w:val="20"/>
          <w:color w:val="auto"/>
        </w:rPr>
      </w:pPr>
      <w:r>
        <w:rPr>
          <w:rFonts w:ascii="Times New Roman" w:cs="Times New Roman" w:eastAsia="Times New Roman" w:hAnsi="Times New Roman"/>
          <w:sz w:val="20"/>
          <w:szCs w:val="20"/>
          <w:u w:val="single" w:color="auto"/>
          <w:color w:val="auto"/>
        </w:rPr>
        <w:t>Data Subject Rights</w:t>
      </w:r>
      <w:r>
        <w:rPr>
          <w:rFonts w:ascii="Times New Roman" w:cs="Times New Roman" w:eastAsia="Times New Roman" w:hAnsi="Times New Roman"/>
          <w:sz w:val="20"/>
          <w:szCs w:val="20"/>
          <w:color w:val="auto"/>
        </w:rPr>
        <w:t xml:space="preserve">. To the extent provided by law, the Optionee has the right to (i) inquire whether and what kind of Personal Data the Company holds about the Optionee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Optionee feels its processing is inappropriate, (v) object, in certain circumstances, to the processing of Personal Data for legitimate interests, (vi) request portability of Personal Data that the Optionee has actively or passively provided to the Company, where the processing of such Personal Data is based on consent or a contractual agreement with the Optionee and is carried out by automated means, or (vii) lodge a complaint with the competent local data protection authority. To receive additional information regarding the Optionee’s rights, raise any other questions regarding the practices described in the Agreement or to exercise their rights, the Optionee should contact the Company at </w:t>
      </w:r>
      <w:r>
        <w:rPr>
          <w:rFonts w:ascii="Times New Roman" w:cs="Times New Roman" w:eastAsia="Times New Roman" w:hAnsi="Times New Roman"/>
          <w:sz w:val="20"/>
          <w:szCs w:val="20"/>
          <w:u w:val="single" w:color="auto"/>
          <w:color w:val="auto"/>
        </w:rPr>
        <w:t>DataProtectionOfficeMEU@mdlz.com</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u w:val="single" w:color="auto"/>
          <w:color w:val="auto"/>
        </w:rPr>
        <w:t>ARGENTINA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b w:val="1"/>
          <w:bCs w:val="1"/>
          <w:color w:val="auto"/>
        </w:rPr>
        <w:t>Cashless Exercise Restriction</w:t>
      </w:r>
      <w:r>
        <w:rPr>
          <w:rFonts w:ascii="Times New Roman" w:cs="Times New Roman" w:eastAsia="Times New Roman" w:hAnsi="Times New Roman"/>
          <w:sz w:val="20"/>
          <w:szCs w:val="20"/>
          <w:color w:val="auto"/>
        </w:rPr>
        <w:t>. Notwithstanding anything to the contrary in the Agreement, due to regulatory requirements in Argentina,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17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Notwithstanding anything to the contrary in the Agreement, paragraph 6 of the Agreement will not apply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Argentinian Optionees.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Labor Law Policy and Acknowledgement</w:t>
      </w:r>
      <w:r>
        <w:rPr>
          <w:rFonts w:ascii="Times New Roman" w:cs="Times New Roman" w:eastAsia="Times New Roman" w:hAnsi="Times New Roman"/>
          <w:sz w:val="20"/>
          <w:szCs w:val="20"/>
          <w:color w:val="auto"/>
        </w:rPr>
        <w:t>. The following provision supplements paragraph 12 of the Agreement:</w:t>
      </w:r>
    </w:p>
    <w:p>
      <w:pPr>
        <w:spacing w:after="0" w:line="22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9"/>
          <w:szCs w:val="19"/>
          <w:color w:val="auto"/>
        </w:rPr>
        <w:t>The Optionee acknowledges and agrees that the Grant is made by the Company (not the Employer) in its sole discretion and that the value of the Option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74"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If, notwithstanding the foregoing, any benefits under the Plan are considered for any purpose under Argentine labor law, the Optionee acknowledges and agrees that such benefits shall not accrue more frequently than on each vesting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Neither the Option nor the underlying shares of Common Stock are publicly offered or listed on any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in Argentina and, as a result, have not been and will not be registered with the Argentine Securities Commission (</w:t>
      </w:r>
      <w:r>
        <w:rPr>
          <w:rFonts w:ascii="Times New Roman" w:cs="Times New Roman" w:eastAsia="Times New Roman" w:hAnsi="Times New Roman"/>
          <w:sz w:val="20"/>
          <w:szCs w:val="20"/>
          <w:i w:val="1"/>
          <w:iCs w:val="1"/>
          <w:color w:val="auto"/>
        </w:rPr>
        <w:t>Comisión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Nacional de Valores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CNV</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17</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80"/>
          </w:cols>
          <w:pgMar w:left="320" w:top="1413" w:right="399" w:bottom="1440" w:gutter="0" w:footer="0" w:header="0"/>
        </w:sectPr>
      </w:pPr>
    </w:p>
    <w:bookmarkStart w:id="64" w:name="page65"/>
    <w:bookmarkEnd w:id="64"/>
    <w:p>
      <w:pPr>
        <w:ind w:right="80"/>
        <w:spacing w:after="0" w:line="250" w:lineRule="auto"/>
        <w:rPr>
          <w:sz w:val="20"/>
          <w:szCs w:val="20"/>
          <w:color w:val="auto"/>
        </w:rPr>
      </w:pPr>
      <w:r>
        <w:rPr>
          <w:rFonts w:ascii="Times New Roman" w:cs="Times New Roman" w:eastAsia="Times New Roman" w:hAnsi="Times New Roman"/>
          <w:sz w:val="20"/>
          <w:szCs w:val="20"/>
          <w:color w:val="auto"/>
        </w:rPr>
        <w:t>Neither this Agreement nor any other offering material related to the Option nor the underlying shares of Common Stock may be utilized in connection with any general offering to the public in Argentina. Any Argentine resident who acquires shares of Common Stock under the Plan does so under their own responsibility under the terms of a private offering made to the Argentine resident from outside Argentina. Any Argentine resident who acquires shares of Common Stock shall not transfer such shares of Common Stock to any other person within six (6) months of acquiring the shares of Common Stock, unless the transaction is conducted outside Argentina.</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Optionee is solely responsible for complying with the exchange control rules that may apply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their participation in the Plan and/or the transfer of proceeds acquired under the Plan into Argentina. Prior to exercising the Option or transferring proceeds into Argentina, the Optionee should consult their local bank and exchange control advisor to confirm the exchange control rules and required documentation.</w:t>
      </w:r>
    </w:p>
    <w:p>
      <w:pPr>
        <w:spacing w:after="0" w:line="17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Optionee must report holdings of any equity interest in a foreign company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Common Stock acquired under the Plan) on their annual tax return each year.</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Australian Offer Document. </w:t>
      </w:r>
      <w:r>
        <w:rPr>
          <w:rFonts w:ascii="Times New Roman" w:cs="Times New Roman" w:eastAsia="Times New Roman" w:hAnsi="Times New Roman"/>
          <w:sz w:val="20"/>
          <w:szCs w:val="20"/>
          <w:color w:val="auto"/>
        </w:rPr>
        <w:t>This offer is being made under Division 1A, Part 7.12 of the Corporations Act 2001 (Cth). The Optionee’s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 to participate in the Plan and receive the grant of the Option under the Plan is subject to the terms and conditions as stated in the ESS Offer Document, the Plan and the Agreement. By accepting the grant of the Option, the Optionee acknowledges and confirms that the Optionee has received these documents.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Exchange control reporting is required for cash transactions exceeding a certain threshold (currently,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AUD10,000) and for international fund transfers. If an Australian bank is assisting with the transaction, the bank will file the report on the Optionee’s behalf, otherwise the Optionee will be responsible for complying with any exchange control reporting requirements.</w:t>
      </w:r>
    </w:p>
    <w:p>
      <w:pPr>
        <w:spacing w:after="0" w:line="16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Tax Notification. </w:t>
      </w:r>
      <w:r>
        <w:rPr>
          <w:rFonts w:ascii="Times New Roman" w:cs="Times New Roman" w:eastAsia="Times New Roman" w:hAnsi="Times New Roman"/>
          <w:sz w:val="20"/>
          <w:szCs w:val="20"/>
          <w:color w:val="auto"/>
        </w:rPr>
        <w:t>The Plan is a plan to which Subdivision 83A-C of the Income Tax Assessment Act 1997 (Cth) (the “Act”) applies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conditions in the Act).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AUSTRIA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If the Optionee holds securities (including shares of Common Stock acquired under the Plan) or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proceeds from the sale of shares of Common Stock) outside of Austria, he or she may be subject to reporting obligations to the Austrian National Bank. If the value of the shares of Common Stock meets or exceeds a certain threshold, the Optionee must report the securities held on a quarterly basis to the Austrian National Bank as of the last day of the quarter, on or before the 15th day of the month following the end of the calendar quarter. Where the cash amounts held outside of Austria meet or exceed a certain threshold, monthly reporting obligations apply as explained in the next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18</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65" w:name="page66"/>
    <w:bookmarkEnd w:id="65"/>
    <w:p>
      <w:pPr>
        <w:ind w:right="140"/>
        <w:spacing w:after="0" w:line="250" w:lineRule="auto"/>
        <w:rPr>
          <w:sz w:val="20"/>
          <w:szCs w:val="20"/>
          <w:color w:val="auto"/>
        </w:rPr>
      </w:pPr>
      <w:r>
        <w:rPr>
          <w:rFonts w:ascii="Times New Roman" w:cs="Times New Roman" w:eastAsia="Times New Roman" w:hAnsi="Times New Roman"/>
          <w:sz w:val="20"/>
          <w:szCs w:val="20"/>
          <w:color w:val="auto"/>
        </w:rPr>
        <w:t>If the Optionee sells shares of Common Stock, or receives any cash dividends, the Optionee may have exchange control obligations if the Optionee holds the cash proceeds outside Austria. If the transaction volume of all the Optionee’s accounts abroad meets or exceeds a certain threshold, the Optionee must report to the Austrian National Bank the movements and balances of all accounts on a monthly basis, as of the last day of the month, on or before the 15th day of the following month, on the prescribed form (</w:t>
      </w:r>
      <w:r>
        <w:rPr>
          <w:rFonts w:ascii="Times New Roman" w:cs="Times New Roman" w:eastAsia="Times New Roman" w:hAnsi="Times New Roman"/>
          <w:sz w:val="20"/>
          <w:szCs w:val="20"/>
          <w:i w:val="1"/>
          <w:iCs w:val="1"/>
          <w:color w:val="auto"/>
        </w:rPr>
        <w:t>Meldungen SI-Forderungen und/oder SI-Verpflichtungen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BAHRAIN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The Agreement does not constitute advertising or an offering of securities in Bahrain, nor does it constitute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allotment of securities in Bahrain. Any shares of Common Stock issued pursuant to the Options under the Plan shall be deposited into a brokerage account in the United States. In no event will shares of Common Stock be issued or delivered in Bahrain. The issuance of shares of Common Stock pursuant to the Options described herein has not and will not be registered in Bahrain and hence, the shares of Common Stock described herein may not be admitted or used for offering, placement or public circulation in Bahrain. Accordingly, the Optionee may not make any public advertising or announcements regarding the Options or shares of Common Stock in Bahrain, promote these shares of Common Stock to legal entities or individuals in Bahrain, or sell shares of Common Stock directly to other legal entities or individuals in Bahrain. The Optionee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Nasdaq Global Select Market).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BELGIUM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Tax Considerations. </w:t>
      </w:r>
      <w:r>
        <w:rPr>
          <w:rFonts w:ascii="Times New Roman" w:cs="Times New Roman" w:eastAsia="Times New Roman" w:hAnsi="Times New Roman"/>
          <w:sz w:val="20"/>
          <w:szCs w:val="20"/>
          <w:color w:val="auto"/>
        </w:rPr>
        <w:t>The Option must be accepted in writing either (i) within 60 days of the offer (for tax at offer), or (ii) after 60 days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offer (for tax at exercise). The Optionee will receive a separate offer letter, acceptance form and undertaking form in addition to the Agreement. He or she should refer to the offer letter for a more detailed description of the tax consequences of choosing to accept the Option. The Optionee should consult a personal tax advisor with respect to completing the additional forms.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Optionee is required to report any securities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of Common Stock acquired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Plan) or bank accounts established outside of Belgium on their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Optionee should consult a personal tax advisor with respect to the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66" w:name="page67"/>
    <w:bookmarkEnd w:id="66"/>
    <w:p>
      <w:pPr>
        <w:spacing w:after="0" w:line="263" w:lineRule="auto"/>
        <w:rPr>
          <w:sz w:val="20"/>
          <w:szCs w:val="20"/>
          <w:color w:val="auto"/>
        </w:rPr>
      </w:pPr>
      <w:r>
        <w:rPr>
          <w:rFonts w:ascii="Times New Roman" w:cs="Times New Roman" w:eastAsia="Times New Roman" w:hAnsi="Times New Roman"/>
          <w:sz w:val="20"/>
          <w:szCs w:val="20"/>
          <w:b w:val="1"/>
          <w:bCs w:val="1"/>
          <w:color w:val="auto"/>
        </w:rPr>
        <w:t>Stock Exchange Tax Information</w:t>
      </w:r>
      <w:r>
        <w:rPr>
          <w:rFonts w:ascii="Times New Roman" w:cs="Times New Roman" w:eastAsia="Times New Roman" w:hAnsi="Times New Roman"/>
          <w:sz w:val="20"/>
          <w:szCs w:val="20"/>
          <w:color w:val="auto"/>
        </w:rPr>
        <w:t>. A stock exchange tax applies to transactions executed by Belgian residents through a non-Belgian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intermediary, such as a U.S. broker. The stock exchange tax will apply when shares of Common Stock acquired upon exercise of the Options are sold.</w:t>
      </w:r>
    </w:p>
    <w:p>
      <w:pPr>
        <w:spacing w:after="0" w:line="16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Annual Securities Accounts Tax. </w:t>
      </w:r>
      <w:r>
        <w:rPr>
          <w:rFonts w:ascii="Times New Roman" w:cs="Times New Roman" w:eastAsia="Times New Roman" w:hAnsi="Times New Roman"/>
          <w:sz w:val="20"/>
          <w:szCs w:val="20"/>
          <w:color w:val="auto"/>
        </w:rPr>
        <w:t>An annual securities accounts tax may be payable if the total average value of securities held in a Belgian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foreign securities account (e.g., shares of Common Stock acquired under the Plan) exceeds a certain threshold on four reference dates within the relevant reporting period (i.e., December 31, March 31, June 30 and September 30). In such case, the tax will be due on the value of the qualifying securities held in such account. Belgian residents should consult with their personal tax advisor regarding the application of this tax.</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BRAZIL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0"/>
          <w:szCs w:val="20"/>
          <w:b w:val="1"/>
          <w:bCs w:val="1"/>
          <w:color w:val="auto"/>
        </w:rPr>
        <w:t>Compliance with Law</w:t>
      </w:r>
      <w:r>
        <w:rPr>
          <w:rFonts w:ascii="Times New Roman" w:cs="Times New Roman" w:eastAsia="Times New Roman" w:hAnsi="Times New Roman"/>
          <w:sz w:val="20"/>
          <w:szCs w:val="20"/>
          <w:color w:val="auto"/>
        </w:rPr>
        <w:t>. By accepting the Option, the Optionee acknowledges that he or she agrees to comply with applicable Brazilian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pay any and all applicable Tax-Related Items associated with the exercise of the Option, the receipt of any dividends and the sale of shares of Common Stock acquired under the Plan.</w:t>
      </w:r>
    </w:p>
    <w:p>
      <w:pPr>
        <w:spacing w:after="0" w:line="162"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Labor Law Acknowledgment. </w:t>
      </w:r>
      <w:r>
        <w:rPr>
          <w:rFonts w:ascii="Times New Roman" w:cs="Times New Roman" w:eastAsia="Times New Roman" w:hAnsi="Times New Roman"/>
          <w:sz w:val="20"/>
          <w:szCs w:val="20"/>
          <w:color w:val="auto"/>
        </w:rPr>
        <w:t>By accepting the Option, the Optionee understands, acknowledges and agrees that, for all legal purposes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Optionee is making an investment decision and (ii) the value of the underlying shares of Common Stock are not fixed and may increase or decrease in value over the vesting period without compensation to the Optionee.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Individuals who are resident or domiciled in Brazil are generally required to submit an annual declaration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assets and rights held outside Brazil to the Central Bank of Brazil if the aggregate value of such assets and rights is greater than a certain threshold (currently, US$1,000,000). If such amount is equal to or greater than a certain threshold (currently, US$100,000,000), the referenced declaration must be submitted quarterly, in the month following the end of each quarter. Assets and rights to be included in this annual declaration include shares of Common Stock acquired under the Plan.</w:t>
      </w:r>
    </w:p>
    <w:p>
      <w:pPr>
        <w:spacing w:after="0" w:line="174"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20"/>
          <w:szCs w:val="20"/>
          <w:b w:val="1"/>
          <w:bCs w:val="1"/>
          <w:color w:val="auto"/>
        </w:rPr>
        <w:t>Tax on Financial Transaction (IOF)</w:t>
      </w:r>
      <w:r>
        <w:rPr>
          <w:rFonts w:ascii="Times New Roman" w:cs="Times New Roman" w:eastAsia="Times New Roman" w:hAnsi="Times New Roman"/>
          <w:sz w:val="20"/>
          <w:szCs w:val="20"/>
          <w:color w:val="auto"/>
        </w:rPr>
        <w:t>. Payments to foreign countries (including payment of the Grant Price) and the repatriation of funds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sale proceeds from the sale of shares of Common Stock and/or dividends) into Brazil and the conversion between BRL and USD associated with such transfers may be subject to the Tax on Financial Transactions. It is the Optionee’s responsibility to comply with any applicable Tax on Financial Transactions arising from their participation in the Plan. The Optionee should consult with their personal tax advisor for additional details.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BULGARIA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Optionee exercises the Option through a cash purchase exercise, in order to remit funds out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Bulgaria, he or she will need to declare the purpose of the remittance to the local bank that is transferring the funds abroad. If the amount the Optionee wishes to transfer exceeds a certain threshold (currently, BGN 30,000), he or she will need to provide the bank with certain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09" w:right="359" w:bottom="1440" w:gutter="0" w:footer="0" w:header="0"/>
        </w:sectPr>
      </w:pPr>
    </w:p>
    <w:bookmarkStart w:id="67" w:name="page68"/>
    <w:bookmarkEnd w:id="67"/>
    <w:p>
      <w:pPr>
        <w:spacing w:after="0" w:line="269" w:lineRule="auto"/>
        <w:rPr>
          <w:sz w:val="20"/>
          <w:szCs w:val="20"/>
          <w:color w:val="auto"/>
        </w:rPr>
      </w:pPr>
      <w:r>
        <w:rPr>
          <w:rFonts w:ascii="Times New Roman" w:cs="Times New Roman" w:eastAsia="Times New Roman" w:hAnsi="Times New Roman"/>
          <w:sz w:val="20"/>
          <w:szCs w:val="20"/>
          <w:color w:val="auto"/>
        </w:rPr>
        <w:t>evidencing the transaction. If the Optionee exercises the Option by way of a cashless method of exercise, this declaration will not be required because no funds will be remitted out of Bulgaria.</w:t>
      </w:r>
    </w:p>
    <w:p>
      <w:pPr>
        <w:spacing w:after="0" w:line="173" w:lineRule="exact"/>
        <w:rPr>
          <w:sz w:val="20"/>
          <w:szCs w:val="20"/>
          <w:color w:val="auto"/>
        </w:rPr>
      </w:pPr>
    </w:p>
    <w:p>
      <w:pPr>
        <w:ind w:right="540"/>
        <w:spacing w:after="0" w:line="254" w:lineRule="auto"/>
        <w:rPr>
          <w:sz w:val="20"/>
          <w:szCs w:val="20"/>
          <w:color w:val="auto"/>
        </w:rPr>
      </w:pPr>
      <w:r>
        <w:rPr>
          <w:rFonts w:ascii="Times New Roman" w:cs="Times New Roman" w:eastAsia="Times New Roman" w:hAnsi="Times New Roman"/>
          <w:sz w:val="20"/>
          <w:szCs w:val="20"/>
          <w:color w:val="auto"/>
        </w:rPr>
        <w:t>In addition, the Optionee will be required to file statistical forms with the Bulgarian national bank regarding their receivables in bank accounts abroad as well as securities held abroad which have been acquired without using the services of a local broker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acquired under the Plan) if the total sum of all such receivables and securities equals or exceeds a certain threshold (currently, BGN 50,000) as of the previous calendar year end. The reports are due by March 31.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Optionee should contact their bank in Bulgaria for additional information regarding these requirements.</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Form of Payment. </w:t>
      </w:r>
      <w:r>
        <w:rPr>
          <w:rFonts w:ascii="Times New Roman" w:cs="Times New Roman" w:eastAsia="Times New Roman" w:hAnsi="Times New Roman"/>
          <w:sz w:val="20"/>
          <w:szCs w:val="20"/>
          <w:color w:val="auto"/>
        </w:rPr>
        <w:t>Notwithstanding anything in the Plan or the Agreement to the contrary, the Optionee is prohibited from surrendering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that he or she already owns or attesting to the ownership of shares of Common Stock to pay the Grant Price or any Tax-Related Items in connection with the Option.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Form of Settlement. </w:t>
      </w:r>
      <w:r>
        <w:rPr>
          <w:rFonts w:ascii="Times New Roman" w:cs="Times New Roman" w:eastAsia="Times New Roman" w:hAnsi="Times New Roman"/>
          <w:sz w:val="20"/>
          <w:szCs w:val="20"/>
          <w:color w:val="auto"/>
        </w:rPr>
        <w:t>Options granted to employees resident in Canada shall be paid in shares of Common Stock only.</w:t>
      </w:r>
    </w:p>
    <w:p>
      <w:pPr>
        <w:spacing w:after="0" w:line="216"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Exclusion from Compensation. </w:t>
      </w:r>
      <w:r>
        <w:rPr>
          <w:rFonts w:ascii="Times New Roman" w:cs="Times New Roman" w:eastAsia="Times New Roman" w:hAnsi="Times New Roman"/>
          <w:sz w:val="20"/>
          <w:szCs w:val="20"/>
          <w:color w:val="auto"/>
        </w:rPr>
        <w:t>Sections 12 (f), (n), and (p) of the Agreement apply, except as explicitly and minimally required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legislation.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Termination of Employment</w:t>
      </w:r>
      <w:r>
        <w:rPr>
          <w:rFonts w:ascii="Times New Roman" w:cs="Times New Roman" w:eastAsia="Times New Roman" w:hAnsi="Times New Roman"/>
          <w:sz w:val="20"/>
          <w:szCs w:val="20"/>
          <w:color w:val="auto"/>
        </w:rPr>
        <w:t>. The following provisions replace the final paragraph of paragraph 3 of the Agreement:</w:t>
      </w:r>
    </w:p>
    <w:p>
      <w:pPr>
        <w:spacing w:after="0" w:line="22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No provision of this paragraph 3 shall permit the exercise of any Option after the Expiration Date. For purposes of the Option, except as explicitly and minimally required under applicable legislation, the Optionee’s employment or service relationship will be considered terminated, vesting will terminate and the period remaining to exercise any Options will be measured effective as of the date the Optionee is no longer providing services to the Mondelēz Group (regardless of the reason for such termination and whether or not later found to be invalid or in breach of employment laws in the jurisdiction where the Optionee is employed or providing services or the terms of the Optionee’s employment or service agreement, if any) (the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Except as explicitly and minimally required under applicable legislation, the Optionee’s right to earn, seek damages in lieu of, vest in or otherwise benefit from any portion of the Option, the shares of Common Stock subject to the Option, the Agreement or the Plan, if any, will be measured by and immediately terminate effective as of the Termination Date.</w:t>
      </w:r>
    </w:p>
    <w:p>
      <w:pPr>
        <w:spacing w:after="0" w:line="18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Except as explicitly and minimally required under applicable legislation, the Termination Date will exclude and will not be extended by any period during which notice, pay in lieu of notice or related payments or damages are provided or required to be provided under statute, contract, common/civil law or otherwise. The Optionee will not earn or be entitled to any pro-rated vesting or other benefits or participation under the Plan for that portion of time before the Termination Date, nor will the Optionee be entitled to any compensation for lost vesting or other benefits or participation in the Plan. For clarity, any reference to the termination or cessation of the Employee’s employment or service, or to a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13"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color w:val="auto"/>
        </w:rPr>
        <w:t>date or date of termination, under the Option, the Plan or the Agreement, will be interpreted to mean the Termination Date as defined above.</w:t>
      </w:r>
    </w:p>
    <w:p>
      <w:pPr>
        <w:spacing w:after="0" w:line="21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Notwithstanding the foregoing, if applicable employment standards legislation explicitly requires continued entitlement to vesting or other participation during a statutory notice period, the Optionee’s right to vest or otherwise benefit from or participate in the Option will terminate and the period remaining to exercise any Options, if any, will be measured effective as of the last day of the Optionee’s minimum statutory notice period. The Optionee will not earn or be entitled to pro-rated vesting or otherwise benefit from or participate if the vesting date falls after the end of the Optionee’s statutory notice period, nor will the Optionee be entitled to any compensation for lost vesting benefits or other participation.</w:t>
      </w:r>
    </w:p>
    <w:p>
      <w:pPr>
        <w:spacing w:after="0" w:line="17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Subject to applicable legislation, if the date the Optionee is no longer providing services cannot be reasonably determined under the terms of the Agreement or the Plan, the Committee shall have the exclusive discretion to determine when the Optionee is no longer actively providing services for purposes of the Option. Unless otherwise determined by the Committee, leaves of absence shall not constitute a termination of employment for purposes of this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following provisions apply for Optionees resident in Quebec: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w:t>
      </w:r>
      <w:r>
        <w:rPr>
          <w:rFonts w:ascii="Times New Roman" w:cs="Times New Roman" w:eastAsia="Times New Roman" w:hAnsi="Times New Roman"/>
          <w:sz w:val="20"/>
          <w:szCs w:val="20"/>
          <w:color w:val="auto"/>
        </w:rPr>
        <w:t>. The following provision supplements paragraph 13 of the Agreement:</w:t>
      </w:r>
    </w:p>
    <w:p>
      <w:pPr>
        <w:spacing w:after="0" w:line="2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Mondelēz Group and the administrator of the Plan to disclose and discuss the Plan with their advisors. The Optionee acknowledges and agrees that the Optionee’s personal information, including sensitive personal information, may be transferred or disclosed outside of the Province of Quebec, including to the United States. The Optionee further authorizes the Mondelēz Group to record such information and to keep such information in their employee file. The Optionee also acknowledges and authorizes the Company and any subsidiary or affiliate or other parties involved in the administration of the Plan to use technology for profiling purposes and to make automated decisions that may have an impact on the Optionee or the administration of the Plan.</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Language</w:t>
      </w:r>
      <w:r>
        <w:rPr>
          <w:rFonts w:ascii="Times New Roman" w:cs="Times New Roman" w:eastAsia="Times New Roman" w:hAnsi="Times New Roman"/>
          <w:sz w:val="20"/>
          <w:szCs w:val="20"/>
          <w:color w:val="auto"/>
        </w:rPr>
        <w:t>. A French translation of the Plan and the Agreement can be made available to the Optionee as soon as reasonably practicable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Optionee’s request. The Optionee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spacing w:after="0" w:line="17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i w:val="1"/>
          <w:iCs w:val="1"/>
          <w:color w:val="auto"/>
        </w:rPr>
        <w:t>Une traduction française du Plan et du présent Contrat pourra êtremise à la disposition de Optionee dès que raisonnablement possible à la demande de l' Optionee. Le Optionee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Non-Qualified Securities. </w:t>
      </w:r>
      <w:r>
        <w:rPr>
          <w:rFonts w:ascii="Times New Roman" w:cs="Times New Roman" w:eastAsia="Times New Roman" w:hAnsi="Times New Roman"/>
          <w:sz w:val="20"/>
          <w:szCs w:val="20"/>
          <w:color w:val="auto"/>
        </w:rPr>
        <w:t>All or a portion of the shares of Common Stock subject to the Option may be “non-qualified securities” within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meaning of the </w:t>
      </w:r>
      <w:r>
        <w:rPr>
          <w:rFonts w:ascii="Times New Roman" w:cs="Times New Roman" w:eastAsia="Times New Roman" w:hAnsi="Times New Roman"/>
          <w:sz w:val="20"/>
          <w:szCs w:val="20"/>
          <w:i w:val="1"/>
          <w:iCs w:val="1"/>
          <w:color w:val="auto"/>
        </w:rPr>
        <w:t>Income Tax Act</w:t>
      </w:r>
      <w:r>
        <w:rPr>
          <w:rFonts w:ascii="Times New Roman" w:cs="Times New Roman" w:eastAsia="Times New Roman" w:hAnsi="Times New Roman"/>
          <w:sz w:val="20"/>
          <w:szCs w:val="20"/>
          <w:color w:val="auto"/>
        </w:rPr>
        <w:t xml:space="preserve"> (Canada). The Mondelēz Group</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69" w:name="page70"/>
    <w:bookmarkEnd w:id="69"/>
    <w:p>
      <w:pPr>
        <w:ind w:right="620"/>
        <w:spacing w:after="0" w:line="269" w:lineRule="auto"/>
        <w:rPr>
          <w:sz w:val="20"/>
          <w:szCs w:val="20"/>
          <w:color w:val="auto"/>
        </w:rPr>
      </w:pPr>
      <w:r>
        <w:rPr>
          <w:rFonts w:ascii="Times New Roman" w:cs="Times New Roman" w:eastAsia="Times New Roman" w:hAnsi="Times New Roman"/>
          <w:sz w:val="20"/>
          <w:szCs w:val="20"/>
          <w:color w:val="auto"/>
        </w:rPr>
        <w:t xml:space="preserve">shall provide the Optionee with additional information and/or appropriate notification regarding the characterization of the Option for Canadian income tax purposes as may be required by the </w:t>
      </w:r>
      <w:r>
        <w:rPr>
          <w:rFonts w:ascii="Times New Roman" w:cs="Times New Roman" w:eastAsia="Times New Roman" w:hAnsi="Times New Roman"/>
          <w:sz w:val="20"/>
          <w:szCs w:val="20"/>
          <w:i w:val="1"/>
          <w:iCs w:val="1"/>
          <w:color w:val="auto"/>
        </w:rPr>
        <w:t>Income Tax Act</w:t>
      </w:r>
      <w:r>
        <w:rPr>
          <w:rFonts w:ascii="Times New Roman" w:cs="Times New Roman" w:eastAsia="Times New Roman" w:hAnsi="Times New Roman"/>
          <w:sz w:val="20"/>
          <w:szCs w:val="20"/>
          <w:color w:val="auto"/>
        </w:rPr>
        <w:t xml:space="preserve"> (Canada) and the regulations thereunder.</w:t>
      </w:r>
    </w:p>
    <w:p>
      <w:pPr>
        <w:spacing w:after="0" w:line="196"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Optionee is permitted to sell shares of Common Stock acquired under the Plan through the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broker appointed under the Plan, if any, provided that the sale of such shares takes place outside Canada through the facilities of a stock exchange on which the shares of Common Stock are listed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Nasdaq Global Select Market).</w:t>
      </w:r>
    </w:p>
    <w:p>
      <w:pPr>
        <w:spacing w:after="0" w:line="18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The Optionee is required to report any specified foreign property (including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annually on Form T1135 (Foreign Income Verification Statement) if the total cost of the Optionee’s specified foreign property exceeds a certain threshold (currently, C$100,000) at any time during the year. The form must be filed by April 30th of the following year. Specified foreign property includes shares of Common Stock acquired under the Plan and may include Options. The Options must be reported</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generally at a nil cost</w:t>
      </w:r>
      <w:r>
        <w:rPr>
          <w:rFonts w:ascii="Arial" w:cs="Arial" w:eastAsia="Arial" w:hAnsi="Arial"/>
          <w:sz w:val="20"/>
          <w:szCs w:val="20"/>
          <w:color w:val="auto"/>
        </w:rPr>
        <w:t>‒</w:t>
      </w:r>
      <w:r>
        <w:rPr>
          <w:rFonts w:ascii="Times New Roman" w:cs="Times New Roman" w:eastAsia="Times New Roman" w:hAnsi="Times New Roman"/>
          <w:sz w:val="20"/>
          <w:szCs w:val="20"/>
          <w:color w:val="auto"/>
        </w:rPr>
        <w:t>if the applicable cost threshold is exceeded because of other specified foreign property the Optionee holds. If shares of Common Stock are acquired, their cost generally is the adjusted cost base (“</w:t>
      </w:r>
      <w:r>
        <w:rPr>
          <w:rFonts w:ascii="Times New Roman" w:cs="Times New Roman" w:eastAsia="Times New Roman" w:hAnsi="Times New Roman"/>
          <w:sz w:val="20"/>
          <w:szCs w:val="20"/>
          <w:u w:val="single" w:color="auto"/>
          <w:color w:val="auto"/>
        </w:rPr>
        <w:t>ACB</w:t>
      </w:r>
      <w:r>
        <w:rPr>
          <w:rFonts w:ascii="Times New Roman" w:cs="Times New Roman" w:eastAsia="Times New Roman" w:hAnsi="Times New Roman"/>
          <w:sz w:val="20"/>
          <w:szCs w:val="20"/>
          <w:color w:val="auto"/>
        </w:rPr>
        <w:t>”) of the shares of Common Stock. The ACB would normally equal the fair market value of the shares of Common Stock at exercise for Options, but if the Optionee owns other shares of Company Common Stock, this ACB may have to be averaged with the ACB of the other shares of Common Stock owned by the Optionee. It is the Optionee’s responsibility to comply with applicable reporting obligations.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CHILE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9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Cashless Sell-All Exercise Restriction. </w:t>
      </w:r>
      <w:r>
        <w:rPr>
          <w:rFonts w:ascii="Times New Roman" w:cs="Times New Roman" w:eastAsia="Times New Roman" w:hAnsi="Times New Roman"/>
          <w:sz w:val="20"/>
          <w:szCs w:val="20"/>
          <w:color w:val="auto"/>
        </w:rPr>
        <w:t>Notwithstanding anything to the contrary in the Agreement or the Plan, the Optionee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pay the Grant Price by a cashless exercise, such that the Optionee will deliver a properly executed notice together with irrevocable instructions to a broker in a form acceptable to the Company providing for the assignment to the Company of the proceeds of a sale with respect to all of the Option Shares acquired upon the exercise of the Option pursuant to a program or procedure approved by the Company. The cash proceeds of sale, less the Grant Price, any Tax-Related Items and broker’s fees or commissions, will be remitted to the Optionee. In the event of changes in tax or regulatory requirements, the Company reserves the right to eliminate the cashless sell-all method of exercise requirement and, in its sole discretion, to permit cash exercise or cashless sell-to-cover exercises.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offer of the Option constitutes a private offering of securities in Chile effective as of the Grant Date.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offer of the Option is made subject to general ruling N° 336 of the Chilean Commission for the Financial Market (“</w:t>
      </w:r>
      <w:r>
        <w:rPr>
          <w:rFonts w:ascii="Times New Roman" w:cs="Times New Roman" w:eastAsia="Times New Roman" w:hAnsi="Times New Roman"/>
          <w:sz w:val="21"/>
          <w:szCs w:val="21"/>
          <w:u w:val="single" w:color="auto"/>
          <w:color w:val="auto"/>
        </w:rPr>
        <w:t>CMF</w:t>
      </w:r>
      <w:r>
        <w:rPr>
          <w:rFonts w:ascii="Times New Roman" w:cs="Times New Roman" w:eastAsia="Times New Roman" w:hAnsi="Times New Roman"/>
          <w:sz w:val="20"/>
          <w:szCs w:val="20"/>
          <w:color w:val="auto"/>
        </w:rPr>
        <w:t>”). The offer refers to securities not registered at the securities registry or at the foreign securities registry of the CMF, and, therefore, such securities are not subject to oversight of the CMF. Given that the Option is not registered in Chile, the Company is not required to provide public information about the Option or the shares of Common Stock in Chile. Unless the Option and/or the shares of Common Stock are registered with the CMF, a public offering of such securities cannot be made in Chile.</w:t>
      </w:r>
    </w:p>
    <w:p>
      <w:pPr>
        <w:spacing w:after="0" w:line="21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9"/>
          <w:szCs w:val="19"/>
          <w:i w:val="1"/>
          <w:iCs w:val="1"/>
          <w:color w:val="auto"/>
        </w:rPr>
        <w:t>Esta oferta de Opciónes constituye una oferta privada de valores en Chile y se inicia en la Fecha de la Concesión. Esta oferta de Opciónes se acoge a las disposiciones de la Norma de Carácter General N° 336 de la Comisión para el Mercado Financiero de Chile (“</w:t>
      </w:r>
      <w:r>
        <w:rPr>
          <w:rFonts w:ascii="Times New Roman" w:cs="Times New Roman" w:eastAsia="Times New Roman" w:hAnsi="Times New Roman"/>
          <w:sz w:val="20"/>
          <w:szCs w:val="20"/>
          <w:i w:val="1"/>
          <w:iCs w:val="1"/>
          <w:u w:val="single" w:color="auto"/>
          <w:color w:val="auto"/>
        </w:rPr>
        <w:t>CMF</w:t>
      </w:r>
      <w:r>
        <w:rPr>
          <w:rFonts w:ascii="Times New Roman" w:cs="Times New Roman" w:eastAsia="Times New Roman" w:hAnsi="Times New Roman"/>
          <w:sz w:val="19"/>
          <w:szCs w:val="19"/>
          <w:i w:val="1"/>
          <w:iCs w:val="1"/>
          <w:color w:val="auto"/>
        </w:rPr>
        <w:t>”). Esta oferta versa sobre valores no inscritos en el Registro de Valores o en el Registro de Valores Extranjeros que lleva la CMF, por lo que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13" w:right="359" w:bottom="1440" w:gutter="0" w:footer="0" w:header="0"/>
        </w:sectPr>
      </w:pPr>
    </w:p>
    <w:bookmarkStart w:id="70" w:name="page71"/>
    <w:bookmarkEnd w:id="70"/>
    <w:p>
      <w:pPr>
        <w:jc w:val="both"/>
        <w:ind w:right="280"/>
        <w:spacing w:after="0" w:line="270" w:lineRule="auto"/>
        <w:rPr>
          <w:sz w:val="20"/>
          <w:szCs w:val="20"/>
          <w:color w:val="auto"/>
        </w:rPr>
      </w:pPr>
      <w:r>
        <w:rPr>
          <w:rFonts w:ascii="Times New Roman" w:cs="Times New Roman" w:eastAsia="Times New Roman" w:hAnsi="Times New Roman"/>
          <w:sz w:val="20"/>
          <w:szCs w:val="20"/>
          <w:i w:val="1"/>
          <w:iCs w:val="1"/>
          <w:color w:val="auto"/>
        </w:rPr>
        <w:t>tales valores no están sujetos a la fiscalización de ésta. Por tratarse las Opciónes de valores no registrados en Chile, no existe obligación por parte de la Compañía de entregar en Chile información pública respecto de las Opciónes o sus Acciones. Estos valores no podrán ser objeto de oferta pública en Chile mientras no sean inscritos en el Registro de Valores correspondiente.</w:t>
      </w:r>
    </w:p>
    <w:p>
      <w:pPr>
        <w:spacing w:after="0" w:line="19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b w:val="1"/>
          <w:bCs w:val="1"/>
          <w:color w:val="auto"/>
        </w:rPr>
        <w:t>Exchange Control Information</w:t>
      </w:r>
      <w:r>
        <w:rPr>
          <w:rFonts w:ascii="Times New Roman" w:cs="Times New Roman" w:eastAsia="Times New Roman" w:hAnsi="Times New Roman"/>
          <w:sz w:val="19"/>
          <w:szCs w:val="19"/>
          <w:color w:val="auto"/>
        </w:rPr>
        <w:t>. The Optionee is not required to repatriate any funds he or she receives with respect to the Option and/or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Common Stock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19"/>
          <w:szCs w:val="19"/>
          <w:color w:val="auto"/>
        </w:rPr>
        <w:t>, proceeds from the sale of shares of Common Stock or dividends received) to Chile. However, if the Optionee</w:t>
      </w:r>
    </w:p>
    <w:p>
      <w:pPr>
        <w:spacing w:after="0" w:line="1"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9"/>
          <w:szCs w:val="19"/>
          <w:color w:val="auto"/>
        </w:rPr>
        <w:t>decides to repatriate such funds, he or she must do so through the Formal Exchange Market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19"/>
          <w:szCs w:val="19"/>
          <w:color w:val="auto"/>
        </w:rPr>
        <w:t xml:space="preserve">, a commercial bank or registered foreign exchange office) if the amount of the funds repatriated exceeds a certain threshold (currently, US$10,000). </w:t>
      </w:r>
      <w:r>
        <w:rPr>
          <w:rFonts w:ascii="Times New Roman" w:cs="Times New Roman" w:eastAsia="Times New Roman" w:hAnsi="Times New Roman"/>
          <w:sz w:val="20"/>
          <w:szCs w:val="20"/>
          <w:color w:val="auto"/>
        </w:rPr>
        <w:t>If the Employee does not</w:t>
      </w:r>
    </w:p>
    <w:p>
      <w:pPr>
        <w:spacing w:after="0" w:line="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repatriate the proceeds and instead use such proceeds for the payment of other obligations contemplated under a different Chapter of the Foreign Exchange Regulations, the Optionee must sign Annex 1 of the Manual of Chapter XII of the Foreign Exchange Regulations and file it directly with the Central Bank within the first 10 days of the month immediately following the transaction.</w:t>
      </w:r>
    </w:p>
    <w:p>
      <w:pPr>
        <w:spacing w:after="0" w:line="183" w:lineRule="exact"/>
        <w:rPr>
          <w:sz w:val="20"/>
          <w:szCs w:val="20"/>
          <w:color w:val="auto"/>
        </w:rPr>
      </w:pPr>
    </w:p>
    <w:p>
      <w:pPr>
        <w:ind w:right="740"/>
        <w:spacing w:after="0" w:line="299" w:lineRule="auto"/>
        <w:rPr>
          <w:sz w:val="20"/>
          <w:szCs w:val="20"/>
          <w:color w:val="auto"/>
        </w:rPr>
      </w:pPr>
      <w:r>
        <w:rPr>
          <w:rFonts w:ascii="Times New Roman" w:cs="Times New Roman" w:eastAsia="Times New Roman" w:hAnsi="Times New Roman"/>
          <w:sz w:val="20"/>
          <w:szCs w:val="20"/>
          <w:color w:val="auto"/>
        </w:rPr>
        <w:t xml:space="preserve">Exchange control requirements are subject to change. </w:t>
      </w:r>
      <w:r>
        <w:rPr>
          <w:rFonts w:ascii="Times New Roman" w:cs="Times New Roman" w:eastAsia="Times New Roman" w:hAnsi="Times New Roman"/>
          <w:sz w:val="21"/>
          <w:szCs w:val="21"/>
          <w:i w:val="1"/>
          <w:iCs w:val="1"/>
          <w:color w:val="auto"/>
        </w:rPr>
        <w:t>The Optionee should consult with the Optionee’s personal legal advisor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regarding any exchange control obligations that may apply in connection with the Option.</w:t>
      </w:r>
    </w:p>
    <w:p>
      <w:pPr>
        <w:spacing w:after="0" w:line="14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Foreign Asset / Account Reporting Information. </w:t>
      </w:r>
      <w:r>
        <w:rPr>
          <w:rFonts w:ascii="Times New Roman" w:cs="Times New Roman" w:eastAsia="Times New Roman" w:hAnsi="Times New Roman"/>
          <w:sz w:val="19"/>
          <w:szCs w:val="19"/>
          <w:color w:val="auto"/>
        </w:rPr>
        <w:t>If the Optionee holds shares of Common Stock acquired under the Plan outside Chile,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Optionee will be required to inform the Chilean Internal Revenue Service (the “</w:t>
      </w:r>
      <w:r>
        <w:rPr>
          <w:rFonts w:ascii="Times New Roman" w:cs="Times New Roman" w:eastAsia="Times New Roman" w:hAnsi="Times New Roman"/>
          <w:sz w:val="20"/>
          <w:szCs w:val="20"/>
          <w:u w:val="single" w:color="auto"/>
          <w:color w:val="auto"/>
        </w:rPr>
        <w:t>CIRS</w:t>
      </w:r>
      <w:r>
        <w:rPr>
          <w:rFonts w:ascii="Times New Roman" w:cs="Times New Roman" w:eastAsia="Times New Roman" w:hAnsi="Times New Roman"/>
          <w:sz w:val="19"/>
          <w:szCs w:val="19"/>
          <w:color w:val="auto"/>
        </w:rPr>
        <w:t>”) of the details of the Optionee’s investment in the</w:t>
      </w:r>
    </w:p>
    <w:p>
      <w:pPr>
        <w:spacing w:after="0" w:line="1" w:lineRule="exact"/>
        <w:rPr>
          <w:sz w:val="20"/>
          <w:szCs w:val="20"/>
          <w:color w:val="auto"/>
        </w:rPr>
      </w:pPr>
    </w:p>
    <w:p>
      <w:pPr>
        <w:jc w:val="both"/>
        <w:ind w:right="280"/>
        <w:spacing w:after="0" w:line="251" w:lineRule="auto"/>
        <w:rPr>
          <w:sz w:val="20"/>
          <w:szCs w:val="20"/>
          <w:color w:val="auto"/>
        </w:rPr>
      </w:pPr>
      <w:r>
        <w:rPr>
          <w:rFonts w:ascii="Times New Roman" w:cs="Times New Roman" w:eastAsia="Times New Roman" w:hAnsi="Times New Roman"/>
          <w:sz w:val="20"/>
          <w:szCs w:val="20"/>
          <w:color w:val="auto"/>
        </w:rPr>
        <w:t xml:space="preserve">shares of Common Stock. Further, if the Optionee wishes to receive a tax credit against the Optionee’s Chilean income taxes for any taxes paid abroad, the Optionee must report </w:t>
      </w:r>
      <w:r>
        <w:rPr>
          <w:rFonts w:ascii="Times New Roman" w:cs="Times New Roman" w:eastAsia="Times New Roman" w:hAnsi="Times New Roman"/>
          <w:sz w:val="21"/>
          <w:szCs w:val="21"/>
          <w:color w:val="auto"/>
        </w:rPr>
        <w:t>the payment of taxes</w:t>
      </w:r>
      <w:r>
        <w:rPr>
          <w:rFonts w:ascii="Times New Roman" w:cs="Times New Roman" w:eastAsia="Times New Roman" w:hAnsi="Times New Roman"/>
          <w:sz w:val="20"/>
          <w:szCs w:val="20"/>
          <w:color w:val="auto"/>
        </w:rPr>
        <w:t xml:space="preserve"> abroad to the CIRS. In either case, the Optionee must file Tax Form 1929 by July 1 each year, which should be submitted electronically through the CIRS website: www.sii.cl.</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CHINA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following provisions apply to Optionees who are exclusively citizens of the People’s Republic of China and who reside in mainland China, and Optionees who are otherwise subject to exchange control restrictions applicable to employee stock plans in China, as determined by the Company in its sole discretion.</w:t>
      </w:r>
    </w:p>
    <w:p>
      <w:pPr>
        <w:spacing w:after="0" w:line="16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b w:val="1"/>
          <w:bCs w:val="1"/>
          <w:color w:val="auto"/>
        </w:rPr>
        <w:t>Cashless Exercise Restriction</w:t>
      </w:r>
      <w:r>
        <w:rPr>
          <w:rFonts w:ascii="Times New Roman" w:cs="Times New Roman" w:eastAsia="Times New Roman" w:hAnsi="Times New Roman"/>
          <w:sz w:val="20"/>
          <w:szCs w:val="20"/>
          <w:color w:val="auto"/>
        </w:rPr>
        <w:t>. Notwithstanding anything to the contrary in the Agreement, due to legal restrictions in China, the Optionee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1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In the event that the Optionee is not required to sell shares of Common Stock immediately upon exercise, any shares of Common Stock issued to the Optionee must be maintained in an account with Morgan Stanley Smith Barney, LLC (“</w:t>
      </w:r>
      <w:r>
        <w:rPr>
          <w:rFonts w:ascii="Times New Roman" w:cs="Times New Roman" w:eastAsia="Times New Roman" w:hAnsi="Times New Roman"/>
          <w:sz w:val="20"/>
          <w:szCs w:val="20"/>
          <w:u w:val="single" w:color="auto"/>
          <w:color w:val="auto"/>
        </w:rPr>
        <w:t>Morgan Stanley</w:t>
      </w:r>
      <w:r>
        <w:rPr>
          <w:rFonts w:ascii="Times New Roman" w:cs="Times New Roman" w:eastAsia="Times New Roman" w:hAnsi="Times New Roman"/>
          <w:sz w:val="20"/>
          <w:szCs w:val="20"/>
          <w:color w:val="auto"/>
        </w:rPr>
        <w:t>”) or such other broker as may be designated by the Company until the shares of Common Stock are sold through that broker. If the Company changes its designated broker, the Optionee acknowledges and agrees that the Company may transfer any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71" w:name="page72"/>
    <w:bookmarkEnd w:id="71"/>
    <w:p>
      <w:pPr>
        <w:ind w:right="220"/>
        <w:spacing w:after="0" w:line="251" w:lineRule="auto"/>
        <w:rPr>
          <w:sz w:val="20"/>
          <w:szCs w:val="20"/>
          <w:color w:val="auto"/>
        </w:rPr>
      </w:pPr>
      <w:r>
        <w:rPr>
          <w:rFonts w:ascii="Times New Roman" w:cs="Times New Roman" w:eastAsia="Times New Roman" w:hAnsi="Times New Roman"/>
          <w:sz w:val="20"/>
          <w:szCs w:val="20"/>
          <w:color w:val="auto"/>
        </w:rPr>
        <w:t>Common Stock issued under the Plan to the new designated broker if necessary for legal or administrative reasons. The Optionee agrees to sign any documentation necessary to facilitate the transfer. In addition, the Optionee acknowledges and agrees that he or she must sell any shares of Common Stock issued upon exercise as soon as practicable following the termination of the Optionee’s employment or other service relationship with the Mondelēz Group and in no event later than six (6) months following the termination of the Optionee’s employment or other service relationship with the Mondelēz Group, or within any other such time frame as the Company determines to be necessary or advisable to comply with local requirements.</w:t>
      </w:r>
    </w:p>
    <w:p>
      <w:pPr>
        <w:spacing w:after="0" w:line="17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Expiration Date. </w:t>
      </w:r>
      <w:r>
        <w:rPr>
          <w:rFonts w:ascii="Times New Roman" w:cs="Times New Roman" w:eastAsia="Times New Roman" w:hAnsi="Times New Roman"/>
          <w:sz w:val="20"/>
          <w:szCs w:val="20"/>
          <w:color w:val="auto"/>
        </w:rPr>
        <w:t>Notwithstanding anything to the contrary in the Agreement, in the event of the Optionee’s termination of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Mondelēz Group, the Optionee shall be permitted to exercise the Option for the </w:t>
      </w:r>
      <w:r>
        <w:rPr>
          <w:rFonts w:ascii="Times New Roman" w:cs="Times New Roman" w:eastAsia="Times New Roman" w:hAnsi="Times New Roman"/>
          <w:sz w:val="20"/>
          <w:szCs w:val="20"/>
          <w:u w:val="single" w:color="auto"/>
          <w:color w:val="auto"/>
        </w:rPr>
        <w:t>shorter</w:t>
      </w:r>
      <w:r>
        <w:rPr>
          <w:rFonts w:ascii="Times New Roman" w:cs="Times New Roman" w:eastAsia="Times New Roman" w:hAnsi="Times New Roman"/>
          <w:sz w:val="20"/>
          <w:szCs w:val="20"/>
          <w:color w:val="auto"/>
        </w:rPr>
        <w:t xml:space="preserve"> of the post-termination exercise period (if any) set forth in the Agreement and six months (or such other period as may be required by the State Administration of Foreign Exchange (“SAFE”) after the date of termination of the Optionee’s active employment. At the end of the post-termination exercise period specified by SAFE, any unexercised portion of the Option shall immediately expire.</w:t>
      </w:r>
    </w:p>
    <w:p>
      <w:pPr>
        <w:spacing w:after="0" w:line="18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Exchange Control Restrictions. </w:t>
      </w:r>
      <w:r>
        <w:rPr>
          <w:rFonts w:ascii="Times New Roman" w:cs="Times New Roman" w:eastAsia="Times New Roman" w:hAnsi="Times New Roman"/>
          <w:sz w:val="20"/>
          <w:szCs w:val="20"/>
          <w:color w:val="auto"/>
        </w:rPr>
        <w:t>The Optionee understands and agrees that, due to exchange control laws in China, he or she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immediately repatriate to China any cash proceeds from dividends and/or the cashless exercise of the Option. The Optionee further understands that, under local law, such repatriation of the cash proceeds will be effected through a special exchange control account established by a member of the Mondelēz Group and the Optionee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Optionee acknowledges that he or she will be required to set up a U.S. dollar bank account in China so that the proceeds may be delivered to this account. If the proceeds are converted to local currency, the Optionee acknowledges that the Mondelēz Group is under no obligation to secure any currency conversion rate and may face delays in converting the proceeds to local currency due to exchange control restrictions in China. The Optionee agrees to bear any currency fluctuation risk between the date the Option is exercised or dividends are paid and the time that (i) the Tax-Related Items are converted to local currency and remitted to the tax authorities and (ii) net proceeds are converted to local currency and distributed to the Optionee. The Optionee acknowledges that the Mondelēz Group will not be held liable for any delay in delivering the proceeds to the Optionee. The Optionee agrees to sign any agreements, forms and/or consents that may be requested by the Company or the Company’s designated broker to effectuate any of the remittances, transfers, conversions or other processes affecting the proceeds.</w:t>
      </w:r>
    </w:p>
    <w:p>
      <w:pPr>
        <w:spacing w:after="0" w:line="187"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The Optionee further agrees to comply with any other requirements that may be imposed by the Company in the future in order to facilitate compliance with exchange control requirements in China.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19"/>
          <w:szCs w:val="19"/>
          <w:b w:val="1"/>
          <w:bCs w:val="1"/>
          <w:color w:val="auto"/>
        </w:rPr>
        <w:t>Foreign Asset/Account Reporting Information</w:t>
      </w:r>
      <w:r>
        <w:rPr>
          <w:rFonts w:ascii="Times New Roman" w:cs="Times New Roman" w:eastAsia="Times New Roman" w:hAnsi="Times New Roman"/>
          <w:sz w:val="19"/>
          <w:szCs w:val="19"/>
          <w:color w:val="auto"/>
        </w:rPr>
        <w:t>. Chinese residents may be required to report to the SAFE all details of their foreign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financial assets and liabilities, as well as details of any economic transactions conducted with non-Chinese residents, including the Company.</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COLOMBIA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13"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 xml:space="preserve">Labor Law Acknowledgement. </w:t>
      </w:r>
      <w:r>
        <w:rPr>
          <w:rFonts w:ascii="Times New Roman" w:cs="Times New Roman" w:eastAsia="Times New Roman" w:hAnsi="Times New Roman"/>
          <w:sz w:val="20"/>
          <w:szCs w:val="20"/>
          <w:color w:val="auto"/>
        </w:rPr>
        <w:t>The following provision supplements the acknowledgments contained in paragraph 12 of the Agreement:</w:t>
      </w:r>
    </w:p>
    <w:p>
      <w:pPr>
        <w:spacing w:after="0" w:line="2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Optionee acknowledges that pursuant to Article 128 of the Colombian Labor Code, the Plan and related benefits do not constitute a component of the Optionee’s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spacing w:after="0" w:line="18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Mandate Letter. </w:t>
      </w:r>
      <w:r>
        <w:rPr>
          <w:rFonts w:ascii="Times New Roman" w:cs="Times New Roman" w:eastAsia="Times New Roman" w:hAnsi="Times New Roman"/>
          <w:sz w:val="20"/>
          <w:szCs w:val="20"/>
          <w:color w:val="auto"/>
        </w:rPr>
        <w:t>By accepting the Option, the Optionee agrees that, if requested by the Company or the Employer, the Optionee will execute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mandate letter or such other document (whether electronically or by such other method as requested by the Company or the Employer) that the Company determines is necessary or advisable in order that (i) a sufficient number of shares of Common Stock to be allocated to the Optionee upon vesting can be withheld or sold on the Optionee’s behalf to cover Tax-Related Items required to be withheld by the Employer and (ii) the proceeds from such withholding or sale can be transferred directly from the Company to the Employer in Colombia for remittance to the tax authorities.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shares of Common Stock are not and will not be registered in the Colombian registry of publicly traded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w:t>
      </w:r>
      <w:r>
        <w:rPr>
          <w:rFonts w:ascii="Times New Roman" w:cs="Times New Roman" w:eastAsia="Times New Roman" w:hAnsi="Times New Roman"/>
          <w:sz w:val="20"/>
          <w:szCs w:val="20"/>
          <w:i w:val="1"/>
          <w:iCs w:val="1"/>
          <w:color w:val="auto"/>
        </w:rPr>
        <w:t>Registro Nacional de Valores y Emisores</w:t>
      </w:r>
      <w:r>
        <w:rPr>
          <w:rFonts w:ascii="Times New Roman" w:cs="Times New Roman" w:eastAsia="Times New Roman" w:hAnsi="Times New Roman"/>
          <w:sz w:val="20"/>
          <w:szCs w:val="20"/>
          <w:color w:val="auto"/>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spacing w:after="0" w:line="18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Colombian residents must register shares of Common Stock acquired under the Plan, regardless of value,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Central Bank of Colombia (</w:t>
      </w:r>
      <w:r>
        <w:rPr>
          <w:rFonts w:ascii="Times New Roman" w:cs="Times New Roman" w:eastAsia="Times New Roman" w:hAnsi="Times New Roman"/>
          <w:sz w:val="20"/>
          <w:szCs w:val="20"/>
          <w:i w:val="1"/>
          <w:iCs w:val="1"/>
          <w:color w:val="auto"/>
        </w:rPr>
        <w:t>Banco de la República</w:t>
      </w:r>
      <w:r>
        <w:rPr>
          <w:rFonts w:ascii="Times New Roman" w:cs="Times New Roman" w:eastAsia="Times New Roman" w:hAnsi="Times New Roman"/>
          <w:sz w:val="20"/>
          <w:szCs w:val="20"/>
          <w:color w:val="auto"/>
        </w:rPr>
        <w:t>) as foreign investment held abroad. In addition, all payments relating to foreign investment originating in Colombia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payment of the Grant Price by cash exercise) and the liquidation of such investments must be transferred through the Colombian foreign exchange market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local banks), which includes the obligation of correctly completing and filing the appropriate foreign exchange form (</w:t>
      </w:r>
      <w:r>
        <w:rPr>
          <w:rFonts w:ascii="Times New Roman" w:cs="Times New Roman" w:eastAsia="Times New Roman" w:hAnsi="Times New Roman"/>
          <w:sz w:val="20"/>
          <w:szCs w:val="20"/>
          <w:i w:val="1"/>
          <w:iCs w:val="1"/>
          <w:color w:val="auto"/>
        </w:rPr>
        <w:t>declaración de cambio</w:t>
      </w:r>
      <w:r>
        <w:rPr>
          <w:rFonts w:ascii="Times New Roman" w:cs="Times New Roman" w:eastAsia="Times New Roman" w:hAnsi="Times New Roman"/>
          <w:sz w:val="20"/>
          <w:szCs w:val="20"/>
          <w:color w:val="auto"/>
        </w:rPr>
        <w:t>). If the Optionee exercises the Option by way of a cashless method of exercise, filing the appropriate foreign exchange form will not be required because no funds will be remitted out of Colombia. However, any sales proceeds related to shares of Common Stock acquired pursuant to cashless exercise must still be transferred through the Colombian foreign exchange market.</w:t>
      </w:r>
    </w:p>
    <w:p>
      <w:pPr>
        <w:spacing w:after="0" w:line="180"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The Optionee is responsible for ensuring compliance with all exchange control laws in Colombia and the Optionee should consult their legal advisor prior to the acquisition or sale of the shares of Common Stock under the Plan to ensure compliance with current regulations.</w:t>
      </w:r>
    </w:p>
    <w:p>
      <w:pPr>
        <w:spacing w:after="0" w:line="14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The Optionee must file an annual informative return with the Colombian Tax Office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detailing any assets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held abroad. If the individual value of any of these assets exceeds a certain threshold, the Optionee must describe each asset and indicate the jurisdiction in which it is located, its nature and its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COSTA RICA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73" w:name="page74"/>
    <w:bookmarkEnd w:id="73"/>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CROATIA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Croatian residents may be required to report any foreign investments (including shares of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acquired under the Plan) to the Croatian National Bank for statistical purposes and obtain prior approval from the Croatian National Bank for bank accounts opened abroad. However, because exchange control regulations may change without notice, the Optionee should consult their legal advisor to ensure compliance with current regulations. It is the Optionee’s responsibility to comply with Croatian exchange control laws.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CZECH REPUBLIC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Definitions. </w:t>
      </w:r>
      <w:r>
        <w:rPr>
          <w:rFonts w:ascii="Times New Roman" w:cs="Times New Roman" w:eastAsia="Times New Roman" w:hAnsi="Times New Roman"/>
          <w:sz w:val="20"/>
          <w:szCs w:val="20"/>
          <w:color w:val="auto"/>
        </w:rPr>
        <w:t>The following provision replaces paragraph 15 of the Agreement:</w:t>
      </w:r>
    </w:p>
    <w:p>
      <w:pPr>
        <w:spacing w:after="0" w:line="220" w:lineRule="exact"/>
        <w:rPr>
          <w:sz w:val="20"/>
          <w:szCs w:val="20"/>
          <w:color w:val="auto"/>
        </w:rPr>
      </w:pPr>
    </w:p>
    <w:p>
      <w:pPr>
        <w:ind w:right="800"/>
        <w:spacing w:after="0" w:line="283" w:lineRule="auto"/>
        <w:rPr>
          <w:sz w:val="20"/>
          <w:szCs w:val="20"/>
          <w:color w:val="auto"/>
        </w:rPr>
      </w:pPr>
      <w:r>
        <w:rPr>
          <w:rFonts w:ascii="Times New Roman" w:cs="Times New Roman" w:eastAsia="Times New Roman" w:hAnsi="Times New Roman"/>
          <w:sz w:val="20"/>
          <w:szCs w:val="20"/>
          <w:color w:val="auto"/>
        </w:rPr>
        <w:t>For the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the procedures established by the Company for purposes of the Plan.</w:t>
      </w:r>
    </w:p>
    <w:p>
      <w:pPr>
        <w:spacing w:after="0" w:line="14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Method of Exercise. </w:t>
      </w:r>
      <w:r>
        <w:rPr>
          <w:rFonts w:ascii="Times New Roman" w:cs="Times New Roman" w:eastAsia="Times New Roman" w:hAnsi="Times New Roman"/>
          <w:sz w:val="20"/>
          <w:szCs w:val="20"/>
          <w:color w:val="auto"/>
        </w:rPr>
        <w:t>Notwithstanding anything to the contrary in the Agreement, the Optionee may be required to pay the Grant Price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Czech residents may be required to fulfill certain notification duties in relation to the Option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opening and maintenance of a foreign account, including reporting (i) foreign direct investments with a value equal to or exceeding a specified amount (currently, CZK 2,500,000) in the aggregate, (ii) foreign financial assets with a value equal to or exceeding a specified amount (currently, CZK 200,000,000), or (iii) at the request of the Czech National Bank. The Optionee should consult their personal legal advisor to ensure compliance with the applicable requirements.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DENMARK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Stock Option Act</w:t>
      </w:r>
      <w:r>
        <w:rPr>
          <w:rFonts w:ascii="Times New Roman" w:cs="Times New Roman" w:eastAsia="Times New Roman" w:hAnsi="Times New Roman"/>
          <w:sz w:val="20"/>
          <w:szCs w:val="20"/>
          <w:color w:val="auto"/>
        </w:rPr>
        <w:t>. The Optionee acknowledges that he or she has received an Employer Statement in Danish, which sets forth the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of the Option to the extent that the Danish Stock Option Act applies.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The Optionee is required to report any accounts holding shares of Common Stock or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established outside Denmark to the Danish Tax Administration as part of the Optionee’s tax return under the section related to foreign affairs and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27</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80"/>
          </w:cols>
          <w:pgMar w:left="320" w:top="1409" w:right="399" w:bottom="1440" w:gutter="0" w:footer="0" w:header="0"/>
        </w:sectPr>
      </w:pPr>
    </w:p>
    <w:bookmarkStart w:id="74" w:name="page75"/>
    <w:bookmarkEnd w:id="74"/>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ECUADOR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Individuals who are resident or domiciled in Ecuador are generally required to file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annual Net Worth Declaration with the Internal Revenue Service of Ecuador if the aggregate value of assets held by such individuals exceeds certain thresholds. Assets included in this annual declaration include shares of Common Stock acquired under the Plan. The Net Worth Declaration must be filed in May of the following year using the electronic form on the tax authorities’ website (</w:t>
      </w:r>
      <w:r>
        <w:rPr>
          <w:rFonts w:ascii="Times New Roman" w:cs="Times New Roman" w:eastAsia="Times New Roman" w:hAnsi="Times New Roman"/>
          <w:sz w:val="20"/>
          <w:szCs w:val="20"/>
          <w:u w:val="single" w:color="auto"/>
          <w:color w:val="0000FF"/>
        </w:rPr>
        <w:t>www.sri.gob.ec</w:t>
      </w:r>
      <w:r>
        <w:rPr>
          <w:rFonts w:ascii="Times New Roman" w:cs="Times New Roman" w:eastAsia="Times New Roman" w:hAnsi="Times New Roman"/>
          <w:sz w:val="20"/>
          <w:szCs w:val="20"/>
          <w:color w:val="auto"/>
        </w:rPr>
        <w:t>). Penalties will apply to a late filing and it is not possible to seek an extension.</w:t>
      </w:r>
    </w:p>
    <w:p>
      <w:pPr>
        <w:spacing w:after="0" w:line="1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In addition, Ecuadorian resident individuals are required to report on an annual basis, all monetary assets held in foreign financial entities in excess of a certain threshold (currently, US$100,000). The Optionee should consult their legal or tax advisor to ensure compliance with all applicable reporting obligations.</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EGYPT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Optionee transfers funds into or out of Egypt in connection with the Option, the Optionee is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transfer the funds through a registered bank in Egypt.</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FINLAND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There are no specific reporting requirements with respect to foreign assets/accounts.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However, please note that the Optionee must check their pre-completed tax return to confirm that the ownership of shares of Common Stock and other securities (foreign or domestic) is correctly reported. If the Optionee finds any errors or omissions, the Optionee must make the necessary corrections electronically or by sending specific paper forms to the local tax authorities.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jc w:val="both"/>
        <w:ind w:right="40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Option Not French-Qualified. </w:t>
      </w:r>
      <w:r>
        <w:rPr>
          <w:rFonts w:ascii="Times New Roman" w:cs="Times New Roman" w:eastAsia="Times New Roman" w:hAnsi="Times New Roman"/>
          <w:sz w:val="20"/>
          <w:szCs w:val="20"/>
          <w:color w:val="auto"/>
        </w:rPr>
        <w:t>The Option granted under this Agreement are not intended to qualify for specific tax and social 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treatment pursuant to Sections L. 225-177 to L. 225-186-1 and Sections L. 22-10-56 to L. 22-10-58 of the French Commercial Code, as amended.</w:t>
      </w:r>
    </w:p>
    <w:p>
      <w:pPr>
        <w:spacing w:after="0" w:line="189"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20"/>
          <w:szCs w:val="20"/>
          <w:b w:val="1"/>
          <w:bCs w:val="1"/>
          <w:color w:val="auto"/>
        </w:rPr>
        <w:t>Consent to Receive Information in English</w:t>
      </w:r>
      <w:r>
        <w:rPr>
          <w:rFonts w:ascii="Times New Roman" w:cs="Times New Roman" w:eastAsia="Times New Roman" w:hAnsi="Times New Roman"/>
          <w:sz w:val="20"/>
          <w:szCs w:val="20"/>
          <w:color w:val="auto"/>
        </w:rPr>
        <w:t>. By accepting the Grant, the Optionee confirms having read and understood the Plan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including all terms and conditions included therein, which were provided in the English language. The Optionee accepts the terms of those documents accordingly.</w:t>
      </w:r>
    </w:p>
    <w:p>
      <w:pPr>
        <w:spacing w:after="0" w:line="162" w:lineRule="exact"/>
        <w:rPr>
          <w:sz w:val="20"/>
          <w:szCs w:val="20"/>
          <w:color w:val="auto"/>
        </w:rPr>
      </w:pPr>
    </w:p>
    <w:p>
      <w:pPr>
        <w:ind w:right="580"/>
        <w:spacing w:after="0" w:line="315" w:lineRule="auto"/>
        <w:rPr>
          <w:sz w:val="20"/>
          <w:szCs w:val="20"/>
          <w:color w:val="auto"/>
        </w:rPr>
      </w:pPr>
      <w:r>
        <w:rPr>
          <w:rFonts w:ascii="Times New Roman" w:cs="Times New Roman" w:eastAsia="Times New Roman" w:hAnsi="Times New Roman"/>
          <w:sz w:val="19"/>
          <w:szCs w:val="19"/>
          <w:i w:val="1"/>
          <w:iCs w:val="1"/>
          <w:color w:val="auto"/>
        </w:rPr>
        <w:t>En acceptant cette attribution, le Optionee confirme avoir lu et compris le Plan et le Contrat y relatifs, incluant tous leurs termes et conditions, qui ont été transmis en langue anglaise. Le Optionee accepte les dispositions de ces documents en connaissance de cause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28</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80"/>
          </w:cols>
          <w:pgMar w:left="320" w:top="1409"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value of any cash or securities imported to or exported from France without the use of a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institution must be reported to the customs and excise authorities when the value of such cash or securities is equal to or greater than a certain amount (currently, €10,000).</w:t>
      </w:r>
    </w:p>
    <w:p>
      <w:pPr>
        <w:spacing w:after="0" w:line="162"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If the Optionee holds shares of Common Stock outside of France or maintains a foreign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securities, or brokerage account, whether open, current, or closed during the tax year, the Optionee is required to report such to the French tax authorities when filing their annual tax return.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Definitions. </w:t>
      </w:r>
      <w:r>
        <w:rPr>
          <w:rFonts w:ascii="Times New Roman" w:cs="Times New Roman" w:eastAsia="Times New Roman" w:hAnsi="Times New Roman"/>
          <w:sz w:val="20"/>
          <w:szCs w:val="20"/>
          <w:color w:val="auto"/>
        </w:rPr>
        <w:t>The following provision replaces paragraph 15 of the Agreement:</w:t>
      </w:r>
    </w:p>
    <w:p>
      <w:pPr>
        <w:spacing w:after="0" w:line="220" w:lineRule="exact"/>
        <w:rPr>
          <w:sz w:val="20"/>
          <w:szCs w:val="20"/>
          <w:color w:val="auto"/>
        </w:rPr>
      </w:pPr>
    </w:p>
    <w:p>
      <w:pPr>
        <w:ind w:right="840"/>
        <w:spacing w:after="0" w:line="283" w:lineRule="auto"/>
        <w:rPr>
          <w:sz w:val="20"/>
          <w:szCs w:val="20"/>
          <w:color w:val="auto"/>
        </w:rPr>
      </w:pPr>
      <w:r>
        <w:rPr>
          <w:rFonts w:ascii="Times New Roman" w:cs="Times New Roman" w:eastAsia="Times New Roman" w:hAnsi="Times New Roman"/>
          <w:sz w:val="20"/>
          <w:szCs w:val="20"/>
          <w:color w:val="auto"/>
        </w:rPr>
        <w:t>For the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the procedures established by the Company for purposes of the Plan.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Cross-border payments in connection with the purchase or sale or securities in excess of a certain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(currently, €50,000) must be reported monthly to the German Federal Bank </w:t>
      </w:r>
      <w:r>
        <w:rPr>
          <w:rFonts w:ascii="Times New Roman" w:cs="Times New Roman" w:eastAsia="Times New Roman" w:hAnsi="Times New Roman"/>
          <w:sz w:val="21"/>
          <w:szCs w:val="21"/>
          <w:i w:val="1"/>
          <w:iCs w:val="1"/>
          <w:color w:val="auto"/>
        </w:rPr>
        <w:t>(Bundesbank)</w:t>
      </w:r>
      <w:r>
        <w:rPr>
          <w:rFonts w:ascii="Times New Roman" w:cs="Times New Roman" w:eastAsia="Times New Roman" w:hAnsi="Times New Roman"/>
          <w:sz w:val="20"/>
          <w:szCs w:val="20"/>
          <w:color w:val="auto"/>
        </w:rPr>
        <w:t>. If the Optionee receives a payment in excess of this amount (including if the Optionee acquires shares of Common Stock or receives dividends with a value in excess of this amount under the Plan or sells shares of Common Stock via a foreign broker, bank or service provider and receives proceeds in excess of this amount) and/or if the Company withholds or sells shares of Common Stock with a value in excess of this amount to cover Tax-Related Items, the Optionee must report the payment and/or the value of the shares of Common Stock withheld or sold to the Bundesbank. Such reports must be filed either electronically using the “General Statistics Reporting Portal” (“</w:t>
      </w:r>
      <w:r>
        <w:rPr>
          <w:rFonts w:ascii="Times New Roman" w:cs="Times New Roman" w:eastAsia="Times New Roman" w:hAnsi="Times New Roman"/>
          <w:sz w:val="20"/>
          <w:szCs w:val="20"/>
          <w:i w:val="1"/>
          <w:iCs w:val="1"/>
          <w:color w:val="auto"/>
        </w:rPr>
        <w:t>Allgemeine Meldeportal Statistik</w:t>
      </w:r>
      <w:r>
        <w:rPr>
          <w:rFonts w:ascii="Times New Roman" w:cs="Times New Roman" w:eastAsia="Times New Roman" w:hAnsi="Times New Roman"/>
          <w:sz w:val="20"/>
          <w:szCs w:val="20"/>
          <w:color w:val="auto"/>
        </w:rPr>
        <w:t>”) available via the Bundesbank’s website (</w:t>
      </w:r>
      <w:r>
        <w:rPr>
          <w:rFonts w:ascii="Times New Roman" w:cs="Times New Roman" w:eastAsia="Times New Roman" w:hAnsi="Times New Roman"/>
          <w:sz w:val="20"/>
          <w:szCs w:val="20"/>
          <w:u w:val="single" w:color="auto"/>
          <w:color w:val="0000FF"/>
        </w:rPr>
        <w:t>www.bundesbank.de</w:t>
      </w:r>
      <w:r>
        <w:rPr>
          <w:rFonts w:ascii="Times New Roman" w:cs="Times New Roman" w:eastAsia="Times New Roman" w:hAnsi="Times New Roman"/>
          <w:sz w:val="20"/>
          <w:szCs w:val="20"/>
          <w:color w:val="auto"/>
        </w:rPr>
        <w:t>) or by such other method as is permitted or required by the Bundesbank. The report must be submitted monthly or within such timing as is permitted or required by the Bundesbank.</w:t>
      </w:r>
    </w:p>
    <w:p>
      <w:pPr>
        <w:spacing w:after="0" w:line="20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German residents holding Common Stock must notify their local tax office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acquisition of Common Stock under the Plan leads to a so-called qualified participation at any point during the calendar year. A qualified participation is attained only in the unlikely event (i) the Optionee owns at least 1% of the Company and the value of the Common Stock acquired exceeds a certain amount (currently, €150,000), or (ii) the Optionee holds Common Stock exceeding 10% of the total capital of the Company.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GHANA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GREECE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09" w:right="359" w:bottom="1440" w:gutter="0" w:footer="0" w:header="0"/>
        </w:sectPr>
      </w:pPr>
    </w:p>
    <w:bookmarkStart w:id="76" w:name="page77"/>
    <w:bookmarkEnd w:id="76"/>
    <w:p>
      <w:pPr>
        <w:ind w:right="120"/>
        <w:spacing w:after="0" w:line="263"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If the Optionee exercises the Options through a cash exercise, withdraws funds from a bank in Greece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remits those funds out of Greece (in an amount exceeding a specified threshold), the Optionee may be required to submit a written application to the bank.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HONDURAS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HONG KONG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i w:val="1"/>
          <w:iCs w:val="1"/>
          <w:color w:val="auto"/>
        </w:rPr>
        <w:t>Warning: The contents of this document have not been reviewed by any regulatory authority in Hong Kong.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The Optionee is advised to exercise caution in relation to the offer. If the Optionee is in any doubt about any of the contents of the Agreement, including this Appendix, or the Plan, the Optionee should obtain independent professional advice. The Option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related documentation are intended only for the personal use of each eligible employee of the Mondelēz Group and may not be distributed to any other person.</w:t>
      </w:r>
    </w:p>
    <w:p>
      <w:pPr>
        <w:spacing w:after="0" w:line="17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Sale of Shares. </w:t>
      </w:r>
      <w:r>
        <w:rPr>
          <w:rFonts w:ascii="Times New Roman" w:cs="Times New Roman" w:eastAsia="Times New Roman" w:hAnsi="Times New Roman"/>
          <w:sz w:val="20"/>
          <w:szCs w:val="20"/>
          <w:color w:val="auto"/>
        </w:rPr>
        <w:t>Shares of Common Stock received under the Plan are accepted as a personal investment. In the event the Option vests within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six months of the Grant Date, the Optionee agrees that he or she will not exercise the Option and sell the shares of Common Stock acquired prior to the six-month anniversary of the Grant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HUNGARY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Settlement in Cash. </w:t>
      </w:r>
      <w:r>
        <w:rPr>
          <w:rFonts w:ascii="Times New Roman" w:cs="Times New Roman" w:eastAsia="Times New Roman" w:hAnsi="Times New Roman"/>
          <w:sz w:val="20"/>
          <w:szCs w:val="20"/>
          <w:color w:val="auto"/>
        </w:rPr>
        <w:t>Notwithstanding anything to the contrary in the Agreement, due to regulatory requirements in Hungary, when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exercises the Option, the Company may provide that the value of such Option will be paid to the Optionee in cash. In such case, the amount of the cash payment shall be based on the Fair Market Value of the shares of Common Stock on the exercise date less the Grant Price and the Optionee will not be entitled to receive and/or hold shares of Common Stock under the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INDIA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Cashless Sell-All Exercise Restriction. </w:t>
      </w:r>
      <w:r>
        <w:rPr>
          <w:rFonts w:ascii="Times New Roman" w:cs="Times New Roman" w:eastAsia="Times New Roman" w:hAnsi="Times New Roman"/>
          <w:sz w:val="20"/>
          <w:szCs w:val="20"/>
          <w:color w:val="auto"/>
        </w:rPr>
        <w:t>Notwithstanding anything to the contrary in the Agreement or the Plan, due to regulatory issues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India, the Optionee will be required to pay the Grant Price by a cashless exercise, such that the Optionee will deliver a properly executed notice together with irrevocable instructions to a broker in a form acceptable to the Company providing for the assignment to the Company of the proceeds of a sale with respect to all of the Option Shares acquired upon the exercise of the Option pursuant to a program or procedure approved by the Company. The cash proceeds of sale,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77" w:name="page78"/>
    <w:bookmarkEnd w:id="77"/>
    <w:p>
      <w:pPr>
        <w:jc w:val="both"/>
        <w:spacing w:after="0" w:line="261" w:lineRule="auto"/>
        <w:rPr>
          <w:sz w:val="20"/>
          <w:szCs w:val="20"/>
          <w:color w:val="auto"/>
        </w:rPr>
      </w:pPr>
      <w:r>
        <w:rPr>
          <w:rFonts w:ascii="Times New Roman" w:cs="Times New Roman" w:eastAsia="Times New Roman" w:hAnsi="Times New Roman"/>
          <w:sz w:val="20"/>
          <w:szCs w:val="20"/>
          <w:color w:val="auto"/>
        </w:rPr>
        <w:t>the Grant Price, any Tax-Related Items and broker’s fees or commissions, will be remitted to the Optionee. In the event of changes in regulatory requirements, the Company reserves the right to eliminate the cashless sell-all method of exercise requirement and, in its sole discretion, to permit cash exercise or cashless sell-to-cover exercises.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Indian residents are required to repatriate any funds recognized in connection with the Options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cash proceeds received upon the sale of shares of Common Stock) and convert such funds into local currency within specified timeframes as required under applicable regulations. Indian residents also are required to retain the foreign inward remittance certificate as evidence of repatriation. The Optionee is personally responsible for complying with exchange control laws in India, and neither the Company nor the Employer will be liable for any fines or penalties resulting from the Optionee’s failure to comply with applicable laws. The Optionee may also be required to provide information regarding funds received from participation in the Plan to the Company and/or the Employer to enable them to comply with their filing requirements under exchange control laws in India.</w:t>
      </w:r>
    </w:p>
    <w:p>
      <w:pPr>
        <w:spacing w:after="0" w:line="193"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20"/>
          <w:szCs w:val="20"/>
          <w:i w:val="1"/>
          <w:iCs w:val="1"/>
          <w:color w:val="auto"/>
        </w:rPr>
        <w:t>As exchange control regulations can change frequently and without notice, the Optionee should consult their personal tax or legal advisor before selling shares of Common Stock to ensure compliance with current regulations.</w:t>
      </w:r>
    </w:p>
    <w:p>
      <w:pPr>
        <w:spacing w:after="0" w:line="15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Optionee is required to declare foreign bank accounts and any foreign financial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vested Options and shares of Common Stock held outside India) in their annual tax return. It is the Optionee’s responsibility to comply with this reporting obligation and the Optionee should consult with their personal tax advisor in this regard.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INDONESIA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Language Consent and Notification</w:t>
      </w:r>
      <w:r>
        <w:rPr>
          <w:rFonts w:ascii="Times New Roman" w:cs="Times New Roman" w:eastAsia="Times New Roman" w:hAnsi="Times New Roman"/>
          <w:sz w:val="20"/>
          <w:szCs w:val="20"/>
          <w:color w:val="auto"/>
        </w:rPr>
        <w:t>. A translation of the documents relating to this grant into Bahasa Indonesia can be provided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Optionee upon request to Astrid Januarita, My Rewards Advisor ID, at </w:t>
      </w:r>
      <w:r>
        <w:rPr>
          <w:rFonts w:ascii="Times New Roman" w:cs="Times New Roman" w:eastAsia="Times New Roman" w:hAnsi="Times New Roman"/>
          <w:sz w:val="20"/>
          <w:szCs w:val="20"/>
          <w:u w:val="single" w:color="auto"/>
          <w:color w:val="0000FF"/>
        </w:rPr>
        <w:t>astrid.januarita@mdlz.com</w:t>
      </w:r>
      <w:r>
        <w:rPr>
          <w:rFonts w:ascii="Times New Roman" w:cs="Times New Roman" w:eastAsia="Times New Roman" w:hAnsi="Times New Roman"/>
          <w:sz w:val="20"/>
          <w:szCs w:val="20"/>
          <w:color w:val="auto"/>
        </w:rPr>
        <w:t>. By accepting the grant, the Optionee (i) confirms having read and understood the documents relating to this grant (i.e.,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77"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Language Consent and Notification. </w:t>
      </w:r>
      <w:r>
        <w:rPr>
          <w:rFonts w:ascii="Times New Roman" w:cs="Times New Roman" w:eastAsia="Times New Roman" w:hAnsi="Times New Roman"/>
          <w:sz w:val="20"/>
          <w:szCs w:val="20"/>
          <w:color w:val="auto"/>
        </w:rPr>
        <w:t>Terjemahan dari dokumen-dokumen terkait dengan pemberian ini ke Bahasa Indonesia dapat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disediakan untuk anda berdasarkan permintaan kepada Astrid Januarita, My Rewards Advisor ID, di </w:t>
      </w:r>
      <w:r>
        <w:rPr>
          <w:rFonts w:ascii="Times New Roman" w:cs="Times New Roman" w:eastAsia="Times New Roman" w:hAnsi="Times New Roman"/>
          <w:sz w:val="20"/>
          <w:szCs w:val="20"/>
          <w:u w:val="single" w:color="auto"/>
          <w:color w:val="0000FF"/>
        </w:rPr>
        <w:t>astrid.januarita@mdlz.com</w:t>
      </w:r>
      <w:r>
        <w:rPr>
          <w:rFonts w:ascii="Times New Roman" w:cs="Times New Roman" w:eastAsia="Times New Roman" w:hAnsi="Times New Roman"/>
          <w:sz w:val="20"/>
          <w:szCs w:val="20"/>
          <w:color w:val="auto"/>
          <w:highlight w:val="white"/>
        </w:rPr>
        <w:t>. Dengan</w:t>
      </w:r>
      <w:r>
        <w:rPr>
          <w:rFonts w:ascii="Times New Roman" w:cs="Times New Roman" w:eastAsia="Times New Roman" w:hAnsi="Times New Roman"/>
          <w:sz w:val="20"/>
          <w:szCs w:val="20"/>
          <w:color w:val="auto"/>
        </w:rPr>
        <w:t xml:space="preserve">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78" w:name="page79"/>
    <w:bookmarkEnd w:id="78"/>
    <w:p>
      <w:pPr>
        <w:ind w:right="3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Foreign exchange activity is subject to certain reporting requirements. For foreign currency transactions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exceeding US$25,000, the underlying document of that transaction will have to be submitted to the relevant local bank.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if the Optionee remits funds into or out of Indonesia, the Indonesian bank through which the transaction is made will submit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report on the transaction to the Bank of Indonesia for statistical reporting purposes. For transactions of a certain threshold (currently,</w:t>
      </w:r>
    </w:p>
    <w:p>
      <w:pPr>
        <w:spacing w:after="0"/>
        <w:rPr>
          <w:sz w:val="20"/>
          <w:szCs w:val="20"/>
          <w:color w:val="auto"/>
        </w:rPr>
      </w:pPr>
      <w:r>
        <w:rPr>
          <w:rFonts w:ascii="Times New Roman" w:cs="Times New Roman" w:eastAsia="Times New Roman" w:hAnsi="Times New Roman"/>
          <w:sz w:val="19"/>
          <w:szCs w:val="19"/>
          <w:color w:val="auto"/>
        </w:rPr>
        <w:t>US$10,000) or more, a description of the transaction must be included in the report. Although the bank through which the transaction is made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 required to make the report, the Optionee must complete a “Transfer Report Form.” The Transfer Report Form will be provided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Optionee by the bank through which the transaction is made.</w:t>
      </w:r>
    </w:p>
    <w:p>
      <w:pPr>
        <w:spacing w:after="0" w:line="190"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Indonesian residents have the obligation to report worldwide assets (including foreign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accounts and shares of Common Stock acquired under the Plan) in their annual individual income tax return.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Definitions. </w:t>
      </w:r>
      <w:r>
        <w:rPr>
          <w:rFonts w:ascii="Times New Roman" w:cs="Times New Roman" w:eastAsia="Times New Roman" w:hAnsi="Times New Roman"/>
          <w:sz w:val="20"/>
          <w:szCs w:val="20"/>
          <w:color w:val="auto"/>
        </w:rPr>
        <w:t>The following provision replaces paragraph 15 of the Agreement:</w:t>
      </w:r>
    </w:p>
    <w:p>
      <w:pPr>
        <w:spacing w:after="0" w:line="220" w:lineRule="exact"/>
        <w:rPr>
          <w:sz w:val="20"/>
          <w:szCs w:val="20"/>
          <w:color w:val="auto"/>
        </w:rPr>
      </w:pPr>
    </w:p>
    <w:p>
      <w:pPr>
        <w:ind w:right="860"/>
        <w:spacing w:after="0" w:line="269" w:lineRule="auto"/>
        <w:rPr>
          <w:sz w:val="20"/>
          <w:szCs w:val="20"/>
          <w:color w:val="auto"/>
        </w:rPr>
      </w:pPr>
      <w:r>
        <w:rPr>
          <w:rFonts w:ascii="Times New Roman" w:cs="Times New Roman" w:eastAsia="Times New Roman" w:hAnsi="Times New Roman"/>
          <w:sz w:val="20"/>
          <w:szCs w:val="20"/>
          <w:color w:val="auto"/>
        </w:rPr>
        <w:t>For the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the procedures established by the Company for purposes of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Requirement. </w:t>
      </w:r>
      <w:r>
        <w:rPr>
          <w:rFonts w:ascii="Times New Roman" w:cs="Times New Roman" w:eastAsia="Times New Roman" w:hAnsi="Times New Roman"/>
          <w:sz w:val="20"/>
          <w:szCs w:val="20"/>
          <w:color w:val="auto"/>
        </w:rPr>
        <w:t>If the Optionee is a director, shadow director</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secretary of an Irish subsidiary or affiliate,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must notify the Irish subsidiary or affiliate in writing if (1) the Optionee receives or disposes of an interest exceeding 1% of the Company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the Option, shares of Common Stock, etc.), (2) the Optionee becomes aware of an event giving rise to a notification requirement, or (3) the Optionee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ISRAEL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20"/>
          <w:szCs w:val="20"/>
          <w:b w:val="1"/>
          <w:bCs w:val="1"/>
          <w:color w:val="auto"/>
        </w:rPr>
        <w:t>Method of Exercise</w:t>
      </w:r>
      <w:r>
        <w:rPr>
          <w:rFonts w:ascii="Times New Roman" w:cs="Times New Roman" w:eastAsia="Times New Roman" w:hAnsi="Times New Roman"/>
          <w:sz w:val="20"/>
          <w:szCs w:val="20"/>
          <w:color w:val="auto"/>
        </w:rPr>
        <w:t>. Notwithstanding anything to the contrary in the Agreement, the Optionee will be required to pay the Grant Price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6459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26" w:lineRule="exact"/>
        <w:rPr>
          <w:sz w:val="20"/>
          <w:szCs w:val="20"/>
          <w:color w:val="auto"/>
        </w:rPr>
      </w:pPr>
    </w:p>
    <w:p>
      <w:pPr>
        <w:ind w:right="620" w:firstLine="8"/>
        <w:spacing w:after="0" w:line="262" w:lineRule="auto"/>
        <w:tabs>
          <w:tab w:leader="none" w:pos="88"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shadow director is an individual who is not on the board of the Irish Affiliate but who has sufficient control so that the board of directors acts in accordance with the “directions or instructions” of the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offer of this option does not constitute a public offering under the Securities Law, 1968.</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Cashless Exercise Restriction. </w:t>
      </w:r>
      <w:r>
        <w:rPr>
          <w:rFonts w:ascii="Times New Roman" w:cs="Times New Roman" w:eastAsia="Times New Roman" w:hAnsi="Times New Roman"/>
          <w:sz w:val="20"/>
          <w:szCs w:val="20"/>
          <w:color w:val="auto"/>
        </w:rPr>
        <w:t>Notwithstanding anything to the contrary in the Agreement, due to regulatory requirements in Italy,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w:t>
      </w:r>
    </w:p>
    <w:p>
      <w:pPr>
        <w:spacing w:after="0" w:line="17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Plan Document Acknowledgment. </w:t>
      </w:r>
      <w:r>
        <w:rPr>
          <w:rFonts w:ascii="Times New Roman" w:cs="Times New Roman" w:eastAsia="Times New Roman" w:hAnsi="Times New Roman"/>
          <w:sz w:val="20"/>
          <w:szCs w:val="20"/>
          <w:color w:val="auto"/>
        </w:rPr>
        <w:t>In accepting the grant of the Option, the Optionee acknowledges that he or she has received a copy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and the Agreement and has reviewed the Plan and the Agreement, including this Appendix A, in their entirety and fully understands and accepts all provisions of the Plan and the Agreement, including this Appendix A.</w:t>
      </w:r>
    </w:p>
    <w:p>
      <w:pPr>
        <w:spacing w:after="0" w:line="16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Optionee acknowledges that he or she has read and specifically and expressly approves the following paragraphs of the Agreement: paragraph 1 on Vesting; paragraph 2 on Vesting Upon Termination of Employment; paragraph 3 on Exercisability Upon Termination of Employment from the Mondelēz Group; paragraph 4 on Exercise of Option and Withholding Taxes; paragraph 5 on Cash-Out of Option; paragraph 8 on Transfer Restrictions; paragraph 11 on Entire Agreement; Governing Law; paragraph 12 on Grant Confers No Rights to Continued Employment - Nature of the Grant; paragraph 15 on Miscellaneous Definitions; paragraph 16 on Language; paragraph 17 on Compliance with Law; paragraph 19 on Electronic Delivery and Acceptance; paragraph 22 on Imposition of Other Requirements; paragraph 23 on Insider Trading/Market Abuse Laws; paragraph 26 on Waiver; and the Data Privacy Notice in the European Union / European Economic Area section of this Appendix 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Italian residents who, during the fiscal year, hold investments abroad or foreign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cash, shares of Common Stock, Options)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cash, shares of Common Stock, Options), are beneficial owners of the investment pursuant to Italian money laundering provisions.</w:t>
      </w:r>
    </w:p>
    <w:p>
      <w:pPr>
        <w:spacing w:after="0" w:line="17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Foreign Financial Assets Tax. </w:t>
      </w:r>
      <w:r>
        <w:rPr>
          <w:rFonts w:ascii="Times New Roman" w:cs="Times New Roman" w:eastAsia="Times New Roman" w:hAnsi="Times New Roman"/>
          <w:sz w:val="20"/>
          <w:szCs w:val="20"/>
          <w:color w:val="auto"/>
        </w:rPr>
        <w:t>The fair market value of any shares of Common Stock (and other financial assets) held outside Italy is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 foreign assets tax. The fair market value is considered to be the value of the shares of Common Stock on the Nasdaq Global Select Market on December 31 of each year or on the last day the Optionee held the shares (in such case, or when the shares of Common Stock are acquired during the course of the year, the tax is levied in proportion to the actual days of holding over the calendar year). The Optionee should consult with their personal tax advisor about the foreign financial assets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JAPAN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If the Optionee acquires shares of Common Stock valued at more than a certain threshold (currently,</w:t>
      </w:r>
    </w:p>
    <w:p>
      <w:pPr>
        <w:spacing w:after="0" w:line="26" w:lineRule="exact"/>
        <w:rPr>
          <w:sz w:val="20"/>
          <w:szCs w:val="20"/>
          <w:color w:val="auto"/>
        </w:rPr>
      </w:pPr>
    </w:p>
    <w:p>
      <w:pPr>
        <w:jc w:val="both"/>
        <w:ind w:right="140"/>
        <w:spacing w:after="0" w:line="246" w:lineRule="auto"/>
        <w:rPr>
          <w:sz w:val="20"/>
          <w:szCs w:val="20"/>
          <w:color w:val="auto"/>
        </w:rPr>
      </w:pPr>
      <w:r>
        <w:rPr>
          <w:rFonts w:ascii="Times New Roman" w:cs="Times New Roman" w:eastAsia="Times New Roman" w:hAnsi="Times New Roman"/>
          <w:sz w:val="20"/>
          <w:szCs w:val="20"/>
          <w:color w:val="auto"/>
        </w:rPr>
        <w:t>¥100,000,000) in a single transaction, the Optionee must file a Securities Acquisition Report with the Ministry of Finance through the Bank of Japan within 20 days of the purchase of the shares of Common Stock.</w:t>
      </w:r>
    </w:p>
    <w:p>
      <w:pPr>
        <w:spacing w:after="0" w:line="19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9"/>
          <w:szCs w:val="19"/>
          <w:color w:val="auto"/>
        </w:rPr>
        <w:t>In addition, if the Optionee pays more than a certain threshold (currently, ¥30,000,000) in a single transaction for the purchase of shares of Common Stock when the Optionee exercises the Option, the Optionee must file a Payment Report with the Ministry of Finance through the Bank of Japan by the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the month following the month in which the payment was made. The precise reporting requirements vary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depending on whether or not the relevant payment is made through a bank in Japan.</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A Payment Report is required independently from a Securities Acquisition Report. Therefore, if the total amount that the Optionee pays upon a one-time transaction for exercising the Option and purchasing shares exceeds a certain threshold (currently, ¥100,000,000), then the Optionee must file both a Payment Report and a Securities Acquisition Report.</w:t>
      </w:r>
    </w:p>
    <w:p>
      <w:pPr>
        <w:spacing w:after="0" w:line="16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Optionee will be required to report details of any assets held outside Japan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31st (including any shares of Common Stock acquired under the Plan) to the extent such assets have a total net fair market value exceeding a certain threshold (currently,¥50,000,000). Such report will be due by March 15th each year. The Optionee should consult with their personal tax advisor as to whether the reporting obligation applies to the Optionee and whether the Optionee will be required to include details of any outstanding Option, shares of Common Stock or cash held by the Optionee in the report.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KAZAKHSTAN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260"/>
        <w:spacing w:after="0" w:line="283" w:lineRule="auto"/>
        <w:rPr>
          <w:sz w:val="20"/>
          <w:szCs w:val="20"/>
          <w:color w:val="auto"/>
        </w:rPr>
      </w:pPr>
      <w:r>
        <w:rPr>
          <w:rFonts w:ascii="Times New Roman" w:cs="Times New Roman" w:eastAsia="Times New Roman" w:hAnsi="Times New Roman"/>
          <w:sz w:val="19"/>
          <w:szCs w:val="19"/>
          <w:b w:val="1"/>
          <w:bCs w:val="1"/>
          <w:color w:val="auto"/>
        </w:rPr>
        <w:t>Securities Law Notification</w:t>
      </w:r>
      <w:r>
        <w:rPr>
          <w:rFonts w:ascii="Times New Roman" w:cs="Times New Roman" w:eastAsia="Times New Roman" w:hAnsi="Times New Roman"/>
          <w:sz w:val="19"/>
          <w:szCs w:val="19"/>
          <w:color w:val="auto"/>
        </w:rPr>
        <w:t>. This offer is addressed only to certain eligible employees in the form of the shares of Common Stock to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issued by the Company. Neither the Plan nor the Agreement has been approved, nor do they need to be approved, by the National Bank of Kazakhstan. This offer is intended only for the original recipient and is not for general circulation in the Republic of Kazakhstan.</w:t>
      </w:r>
    </w:p>
    <w:p>
      <w:pPr>
        <w:spacing w:after="0" w:line="172" w:lineRule="exact"/>
        <w:rPr>
          <w:sz w:val="20"/>
          <w:szCs w:val="20"/>
          <w:color w:val="auto"/>
        </w:rPr>
      </w:pPr>
    </w:p>
    <w:p>
      <w:pPr>
        <w:ind w:right="180"/>
        <w:spacing w:after="0" w:line="315" w:lineRule="auto"/>
        <w:rPr>
          <w:sz w:val="20"/>
          <w:szCs w:val="20"/>
          <w:color w:val="auto"/>
        </w:rPr>
      </w:pPr>
      <w:r>
        <w:rPr>
          <w:rFonts w:ascii="Times New Roman" w:cs="Times New Roman" w:eastAsia="Times New Roman" w:hAnsi="Times New Roman"/>
          <w:sz w:val="19"/>
          <w:szCs w:val="19"/>
          <w:b w:val="1"/>
          <w:bCs w:val="1"/>
          <w:color w:val="auto"/>
        </w:rPr>
        <w:t>Exchange Control Information</w:t>
      </w:r>
      <w:r>
        <w:rPr>
          <w:rFonts w:ascii="Times New Roman" w:cs="Times New Roman" w:eastAsia="Times New Roman" w:hAnsi="Times New Roman"/>
          <w:sz w:val="19"/>
          <w:szCs w:val="19"/>
          <w:color w:val="auto"/>
        </w:rPr>
        <w:t>. Residents of Kazakhstan may be required to notify the National Bank of Kazakhstan when they acquire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Common Stock under the Plan if the value of such shares of Common Stock exceeds a certain threshold (currently, US$100,000).</w:t>
      </w:r>
    </w:p>
    <w:p>
      <w:pPr>
        <w:spacing w:after="0" w:line="14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Please note that the exchange control regulations in Kazakhstan are subject to change. The Optionee should consult with their personal legal advisor regarding any exchange control obligations that the Optionee may have prior to exercising the option or receiving proceeds from the sale of shares of Common Stock acquired under the Plan. The Optionee is responsible for ensuring compliance with all exchange control laws in Kazakhstan.</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KENYA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09" w:right="379" w:bottom="1440" w:gutter="0" w:footer="0" w:header="0"/>
        </w:sectPr>
      </w:pPr>
    </w:p>
    <w:bookmarkStart w:id="81" w:name="page82"/>
    <w:bookmarkEnd w:id="81"/>
    <w:p>
      <w:pPr>
        <w:spacing w:after="0" w:line="255" w:lineRule="auto"/>
        <w:rPr>
          <w:sz w:val="20"/>
          <w:szCs w:val="20"/>
          <w:color w:val="auto"/>
        </w:rPr>
      </w:pPr>
      <w:r>
        <w:rPr>
          <w:rFonts w:ascii="Times New Roman" w:cs="Times New Roman" w:eastAsia="Times New Roman" w:hAnsi="Times New Roman"/>
          <w:sz w:val="20"/>
          <w:szCs w:val="20"/>
          <w:b w:val="1"/>
          <w:bCs w:val="1"/>
          <w:color w:val="auto"/>
        </w:rPr>
        <w:t>Tax Registration Notification</w:t>
      </w:r>
      <w:r>
        <w:rPr>
          <w:rFonts w:ascii="Times New Roman" w:cs="Times New Roman" w:eastAsia="Times New Roman" w:hAnsi="Times New Roman"/>
          <w:sz w:val="20"/>
          <w:szCs w:val="20"/>
          <w:color w:val="auto"/>
        </w:rPr>
        <w:t>. Under Tax Procedure Act, 2015, the Optionee is required to complete and submit a tax registration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application to the Commissioner of Income Tax within 30 days of first exercise of the Option. The registration should be completed through the online portal “I TAX” and is a one-time only registration. The Optionee is solely responsible for ensuring compliance with all registration requirements in Kenya.</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LEBANON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Plan does not constitute the marketing or offering of securities in Lebanon pursuant to Law No. 161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(2011), the Capital Markets Law. Offerings under the Plan are being made only to eligible employees of the Mondelēz Group.</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LITHUANIA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MALAYSIA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Notice</w:t>
      </w:r>
      <w:r>
        <w:rPr>
          <w:rFonts w:ascii="Times New Roman" w:cs="Times New Roman" w:eastAsia="Times New Roman" w:hAnsi="Times New Roman"/>
          <w:sz w:val="20"/>
          <w:szCs w:val="20"/>
          <w:color w:val="auto"/>
        </w:rPr>
        <w:t>. The following provision replaces in its entirety paragraph 13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09" w:right="379" w:bottom="1440" w:gutter="0" w:footer="0" w:header="0"/>
        </w:sectPr>
      </w:pPr>
    </w:p>
    <w:bookmarkStart w:id="82" w:name="page83"/>
    <w:bookmarkEnd w:id="82"/>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353187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531870" cy="34290"/>
                    </a:xfrm>
                    <a:prstGeom prst="rect">
                      <a:avLst/>
                    </a:prstGeom>
                    <a:noFill/>
                  </pic:spPr>
                </pic:pic>
              </a:graphicData>
            </a:graphic>
          </wp:anchor>
        </w:drawing>
      </w:r>
    </w:p>
    <w:p>
      <w:pPr>
        <w:spacing w:after="0" w:line="308" w:lineRule="auto"/>
        <w:rPr>
          <w:sz w:val="20"/>
          <w:szCs w:val="20"/>
          <w:color w:val="auto"/>
        </w:rPr>
      </w:pPr>
      <w:r>
        <w:rPr>
          <w:rFonts w:ascii="Times New Roman" w:cs="Times New Roman" w:eastAsia="Times New Roman" w:hAnsi="Times New Roman"/>
          <w:sz w:val="19"/>
          <w:szCs w:val="19"/>
          <w:b w:val="1"/>
          <w:bCs w:val="1"/>
          <w:i w:val="1"/>
          <w:iCs w:val="1"/>
          <w:color w:val="auto"/>
        </w:rPr>
        <w:t>The Optionee explicitly and unambiguously consents to the collection, use and transfer, in electronic or other form, of the Optionee’s personal data as described in this Agreement and any other Option grant materials (“</w:t>
      </w:r>
      <w:r>
        <w:rPr>
          <w:rFonts w:ascii="Times New Roman" w:cs="Times New Roman" w:eastAsia="Times New Roman" w:hAnsi="Times New Roman"/>
          <w:sz w:val="19"/>
          <w:szCs w:val="19"/>
          <w:b w:val="1"/>
          <w:bCs w:val="1"/>
          <w:i w:val="1"/>
          <w:iCs w:val="1"/>
          <w:u w:val="single" w:color="auto"/>
          <w:color w:val="auto"/>
        </w:rPr>
        <w:t>Data</w:t>
      </w:r>
      <w:r>
        <w:rPr>
          <w:rFonts w:ascii="Times New Roman" w:cs="Times New Roman" w:eastAsia="Times New Roman" w:hAnsi="Times New Roman"/>
          <w:sz w:val="19"/>
          <w:szCs w:val="19"/>
          <w:b w:val="1"/>
          <w:bCs w:val="1"/>
          <w:i w:val="1"/>
          <w:iCs w:val="1"/>
          <w:color w:val="auto"/>
        </w:rPr>
        <w:t>”) by and among, as applicable, the Employer and the Mondelēz Group for the exclusive purpose of implementing, administering and managing the Optionee’s participation in the Plan. The Data is supplied by the Employer and also by the Optionee through information collected in connection with the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-1584960</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-1567815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-1550670</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-1533525</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-1516380</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-1499235</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-1482090</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-1464945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-1447800</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-1430655</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-1413510</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-1396365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-1379220</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-1362075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-1344930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-1327785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-1310640</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-1293495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-1276350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-1259205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-1242060</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-1224915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-1207770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-1190625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-1173480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-1156335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-1139190</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-1122045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-1104900</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-1087755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-1070610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-1053465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-1036320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-1019175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-1002030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-984885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-967740</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-950595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-933450</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-916305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-899160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-882015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-864870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-847725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-830580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-813435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-796290</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-779145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-762000</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-744855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-727710</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-710565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-693420</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-676275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-659130</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-641985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-624840</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-607695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-590550</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-573405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-556260</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-539115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-521970</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-504825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-487680</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-470535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-453390</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-436245</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-419100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-401955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-384810</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-367665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-350520</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-333375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-316230</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-299085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-281940</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-264795</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-247650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-230505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-213360</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-196215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-179070</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-161925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-144780</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-127635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-110490</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-93345</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-76200</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-59055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-41910</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-24765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-7620</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8890</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26035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43180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60325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77470</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94615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43" w:lineRule="exact"/>
        <w:rPr>
          <w:sz w:val="20"/>
          <w:szCs w:val="20"/>
          <w:color w:val="auto"/>
        </w:rPr>
      </w:pPr>
    </w:p>
    <w:p>
      <w:pPr>
        <w:ind w:right="140"/>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The Optionee understands that the Company and the Employer may hold certain personal information about the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-342265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-325120</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-307975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-290830</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-273685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-256540</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-239395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-222250</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-205105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-187960</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-170815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-153670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-136525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-119380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-102235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-85090</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-67945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-50800</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-33655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-16510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0</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b w:val="1"/>
          <w:bCs w:val="1"/>
          <w:i w:val="1"/>
          <w:iCs w:val="1"/>
          <w:color w:val="auto"/>
        </w:rPr>
        <w:t>Penerima Opsyen dengan ini secara eksplisit dan tanpa sebarang keraguan mengizinkan pengumpulan, penggunaan dan pemindahan, dalam bentuk elektronik atau lain-lain, data peribadi Penerima Opsyen seperti yang diterangkan dalam Perjanjian ini serta mana-mana bahan-bahan geran Opsyen lain(“</w:t>
      </w:r>
      <w:r>
        <w:rPr>
          <w:rFonts w:ascii="Times New Roman" w:cs="Times New Roman" w:eastAsia="Times New Roman" w:hAnsi="Times New Roman"/>
          <w:sz w:val="20"/>
          <w:szCs w:val="20"/>
          <w:b w:val="1"/>
          <w:bCs w:val="1"/>
          <w:i w:val="1"/>
          <w:iCs w:val="1"/>
          <w:u w:val="single" w:color="auto"/>
          <w:color w:val="auto"/>
        </w:rPr>
        <w:t>Data</w:t>
      </w:r>
      <w:r>
        <w:rPr>
          <w:rFonts w:ascii="Times New Roman" w:cs="Times New Roman" w:eastAsia="Times New Roman" w:hAnsi="Times New Roman"/>
          <w:sz w:val="20"/>
          <w:szCs w:val="20"/>
          <w:b w:val="1"/>
          <w:bCs w:val="1"/>
          <w:i w:val="1"/>
          <w:iCs w:val="1"/>
          <w:color w:val="auto"/>
        </w:rPr>
        <w:t>”) oleh dan di antara, seperti mana yang terpakai, Majikan serta Kumpulan Mondelez untuk tujuan ekslusif bagi melaksanakan, mentadbir dan menguruskan penyertaan Penerima Opsyen dalam Pelan. Data telah dibekalkan oleh pihak Majikan dan juga Penerima Opsyen melalui informasi yang telah dikumpul berkaitan dengan Perjanjian dan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-1940560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-1923415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-1906270</wp:posOffset>
            </wp:positionV>
            <wp:extent cx="82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-1889125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-1871980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-1854835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-1837690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-1820545</wp:posOffset>
            </wp:positionV>
            <wp:extent cx="82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-1803400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-1786255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-1769110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-1751965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-1734820</wp:posOffset>
            </wp:positionV>
            <wp:extent cx="8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-1717675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-1700530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-1683385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-1666240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-1649095</wp:posOffset>
            </wp:positionV>
            <wp:extent cx="82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-1631950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-1614805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-1597660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-1580515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-1563370</wp:posOffset>
            </wp:positionV>
            <wp:extent cx="82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-1546225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-1529080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-1511935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-1494790</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-1477645</wp:posOffset>
            </wp:positionV>
            <wp:extent cx="8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-1460500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-1443355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-1426210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-1409065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-1391920</wp:posOffset>
            </wp:positionV>
            <wp:extent cx="82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-1374775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-1357630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-1340485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-1323340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-1306195</wp:posOffset>
            </wp:positionV>
            <wp:extent cx="82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-1289050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-1271905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-1254760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-1237615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-1220470</wp:posOffset>
            </wp:positionV>
            <wp:extent cx="82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-1203325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-1186180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-1169035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-1151890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-1134745</wp:posOffset>
            </wp:positionV>
            <wp:extent cx="82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-1117600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-1100455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-1083310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-1066165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-1049020</wp:posOffset>
            </wp:positionV>
            <wp:extent cx="82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-1031875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-1014730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-997585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-980440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-963295</wp:posOffset>
            </wp:positionV>
            <wp:extent cx="8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-946150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-929005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-911860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-894715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-877570</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-860425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-843280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-826135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-808990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-791845</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-774700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-757555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-740410</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-723265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-706120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-688975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-671830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-654685</wp:posOffset>
            </wp:positionV>
            <wp:extent cx="82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-637540</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-620395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-603250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-586105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-568960</wp:posOffset>
            </wp:positionV>
            <wp:extent cx="82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-551815</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-534670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-517525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-500380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-483235</wp:posOffset>
            </wp:positionV>
            <wp:extent cx="82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-466090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-448945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-431800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-414655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-397510</wp:posOffset>
            </wp:positionV>
            <wp:extent cx="82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-380365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-363220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-346075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-328930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-311785</wp:posOffset>
            </wp:positionV>
            <wp:extent cx="82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-294640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-277495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-260350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-243205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-226060</wp:posOffset>
            </wp:positionV>
            <wp:extent cx="82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-208915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-191770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-174625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-157480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-140335</wp:posOffset>
            </wp:positionV>
            <wp:extent cx="825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-123190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-106045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-88900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-71755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-54610</wp:posOffset>
            </wp:positionV>
            <wp:extent cx="82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-37465</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-20320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-3175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13335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30480</wp:posOffset>
            </wp:positionV>
            <wp:extent cx="82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47625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64770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81915</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99060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116205</wp:posOffset>
            </wp:positionV>
            <wp:extent cx="825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-1940560</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-1923415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-1906270</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-1889125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-1871980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-1854835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-1837690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-1820545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-1803400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-1786255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-1769110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-1751965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-1734820</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-1717675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-1700530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-1683385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-1666240</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-1649095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-1631950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-1614805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-1597660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-1580515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-1563370</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-1546225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-1529080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-1511935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-1494790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-1477645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-1460500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-1443355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-1426210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-1409065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-1391920</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-1374775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-1357630</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-1340485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-1323340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-1306195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-1289050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-1271905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-1254760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-1237615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-1220470</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-1203325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-1186180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-1169035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-1151890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-1134745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-1117600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-1100455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-1083310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-1066165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-1049020</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-1031875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-1014730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-997585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-980440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-963295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-946150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-929005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-911860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-894715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-877570</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-860425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-843280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-826135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-808990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-791845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-774700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-757555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-740410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-723265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-706120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-688975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-671830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-654685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-637540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-620395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-603250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-586105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-568960</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-551815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-534670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-517525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-500380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-483235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-466090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-448945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-431800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-414655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-397510</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-380365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-363220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-346075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-328930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-311785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-294640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-277495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-260350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-243205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-208915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-191770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-174625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-157480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-140335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-123190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-106045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-88900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-71755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-54610</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-37465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-20320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-3175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13335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30480</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47625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64770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81915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99060</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116205</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-1965960</wp:posOffset>
            </wp:positionV>
            <wp:extent cx="360045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3600450" cy="17145"/>
                    </a:xfrm>
                    <a:prstGeom prst="rect">
                      <a:avLst/>
                    </a:prstGeom>
                    <a:noFill/>
                  </pic:spPr>
                </pic:pic>
              </a:graphicData>
            </a:graphic>
          </wp:anchor>
        </w:drawing>
      </w:r>
    </w:p>
    <w:p>
      <w:pPr>
        <w:spacing w:after="0" w:line="184" w:lineRule="exact"/>
        <w:rPr>
          <w:sz w:val="20"/>
          <w:szCs w:val="20"/>
          <w:color w:val="auto"/>
        </w:rPr>
      </w:pPr>
    </w:p>
    <w:p>
      <w:pPr>
        <w:sectPr>
          <w:pgSz w:w="11900" w:h="16978" w:orient="portrait"/>
          <w:cols w:equalWidth="0" w:num="2">
            <w:col w:w="5300" w:space="280"/>
            <w:col w:w="5520"/>
          </w:cols>
          <w:pgMar w:left="400" w:top="1440" w:right="399" w:bottom="0" w:gutter="0" w:footer="0" w:header="0"/>
        </w:sectPr>
      </w:pPr>
    </w:p>
    <w:tbl>
      <w:tblPr>
        <w:tblLayout w:type="fixed"/>
        <w:tblInd w:w="0" w:type="dxa"/>
        <w:tblCellMar>
          <w:top w:w="0" w:type="dxa"/>
          <w:left w:w="0" w:type="dxa"/>
          <w:bottom w:w="0" w:type="dxa"/>
          <w:right w:w="0" w:type="dxa"/>
        </w:tblCellMar>
      </w:tblP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including, but not limited to, the Optionee’s name, home address,</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Penerima  Opsyen  memahami  bahawa  Syarikat  dan  Majikan</w:t>
            </w: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email address and telephone number, date of birth, social</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w w:val="98"/>
              </w:rPr>
              <w:t>mungkin memegang maklumat peribadi tertentu Penerima Opsyen,</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insurance number, passport or other identification number, salary,</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termasuk, tetapi tidak terhad kepada, nama Penerima Opsyen,</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nationality, job title, any shares of stock or directorships held in</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alamat  rumah  dan  nombor  telefon,  almat  emel,  tarikh  lahir,</w:t>
            </w: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Company, details of all Options or any other entitlement to</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insurans  sosial,  nombor  pasport  atau  pengenalan  lain,  gaji,</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shares of stock awarded, canceled, exercised, vested, unvested or</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kewarganegaraan,  jawatan,  apa-apa  syer  dalam  Saham  atau</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outstanding in the Optionee’s favor, for the exclusive purpose of</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jawatan  pengarah  yang  dipegang  dalam  Syarikat,  maklumat</w:t>
            </w: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implementing, administering and managing the Plan.</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berkaitan semua Opsyen-Opsyen atau apa-apa kelayakan lain</w:t>
            </w:r>
          </w:p>
        </w:tc>
        <w:tc>
          <w:tcPr>
            <w:tcW w:w="0" w:type="dxa"/>
            <w:vAlign w:val="bottom"/>
          </w:tcPr>
          <w:p>
            <w:pPr>
              <w:spacing w:after="0"/>
              <w:rPr>
                <w:sz w:val="1"/>
                <w:szCs w:val="1"/>
                <w:color w:val="auto"/>
              </w:rPr>
            </w:pPr>
          </w:p>
        </w:tc>
      </w:tr>
      <w:tr>
        <w:trPr>
          <w:trHeight w:val="270"/>
        </w:trPr>
        <w:tc>
          <w:tcPr>
            <w:tcW w:w="55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The Optionee understands that Data will be transferred to Morgan</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untuk  syer  dalam  saham  yang  dianugerahkan,  dibatalkan,</w:t>
            </w: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dilaksanakan, terletak hak, tidak diletak hak ataupun yang belum</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Stanley Smith Barney, LLC (“Morgan Stanley”), or such other</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dijelaskan bagi faedah Penerima Opsyen, untuk tujuan eksklusif</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stock plan service provider as may be selected by the Company in</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bagi melaksanakan, mentadbir dan menguruskan Pelan tersebut.</w:t>
            </w:r>
          </w:p>
        </w:tc>
        <w:tc>
          <w:tcPr>
            <w:tcW w:w="0" w:type="dxa"/>
            <w:vAlign w:val="bottom"/>
          </w:tcPr>
          <w:p>
            <w:pPr>
              <w:spacing w:after="0"/>
              <w:rPr>
                <w:sz w:val="1"/>
                <w:szCs w:val="1"/>
                <w:color w:val="auto"/>
              </w:rPr>
            </w:pP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future, which is assisting the Company with the</w:t>
            </w:r>
          </w:p>
        </w:tc>
        <w:tc>
          <w:tcPr>
            <w:tcW w:w="5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implementation, administration and management of the Plan. The</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Penerima  Opsyen  memahami  bahawa  Data  tersebut  akan</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Optionee understands that Data may also be transferred to the</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dipindahkan ke Morgan Stanley Smith Barney, LLC (“Morgan</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Company’s independent registered public accounting firm,</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Stanley”) atau pembekal perkhidmatan pelan saham lain yang</w:t>
            </w: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PricewaterhouseCoopers LLP, or such other public accounting</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mungkin  dipilih  oleh  Syarikat  pada  masa  hadapan,  yang</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firm that may be engaged by the Company in the future. The</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membantu Syarikat melaksanakan, mentadbir dan menguruskan</w:t>
            </w: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Optionee understands that the recipients of the Data may be</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Pelan tersebut. Penerima Opsyen memahami bahawa Data juga</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located in the United States or elsewhere, and that the recipients’</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mungkin dipindahkan kepada firma akauntansi awam berdaftar</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country (e.g., the United States) may have different data privacy</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bebas  Syarikat,  PricewaterhouseCoopers  LLP,  atau  firma</w:t>
            </w: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laws and protections than the Optionee’s country. The Optionee</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akauntansi berdaftar lain yang mungkin digunakan oleh Syarikat</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understands that the Optionee may request a list with the names</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pada masa hadapan. Penerima Opsyen turut memahami bahawa</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and addresses of any potential recipients of the Data by contacting</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penerima Data mungkin berada di Amerika Syarikat atau negara</w:t>
            </w: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Optionee’s local human resources representative at Mondelez</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lain  dan  negara  asal  penerima  Data  (contohnya,  Amerika</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Malaysia Sales Sdn Bhd., Lot 9.01 Level 9, 1 First Avenue, 2A,</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w w:val="99"/>
              </w:rPr>
              <w:t>Syarikat) mungkin mempunyai undang-undang data peribadi serta</w:t>
            </w: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Dataran Bandar Utama, Bandar Utama Damasara, 47800</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perlindungan  yang  berbeza  daripada  negara  asal  Penerima</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Petaling Jaya, Selangor, Malaysia. The Optionee authorizes the</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Opsyen. Penerima Opsyen memahami bahawa Penerima Opsyen</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Morgan Stanley and any other possible recipients</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boleh meminta satu senarai yang mengandungi nama dan alamat</w:t>
            </w: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which may assist the Company (presently or in the future) with</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penerima-penerima Data yang berpotensi dengan menghubungi</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implementing, administering and managing the Plan to receive,</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wakil sumber manusia tempatan Penerima Opsyen di Mondelez</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possess, use, retain and transfer the Data, in electronic or other</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Malaysia Sales Sdn Bhd, Lot 9.01 Level 9, 1 First Avenue, 2A,</w:t>
            </w: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form, for the sole purpose of implementing, administering and</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w w:val="99"/>
              </w:rPr>
              <w:t>Dataran Bandar Utama, Bandar Utama Damasara, 47800 Petaling</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managing the Optionee’s participation in the Plan. The Optionee</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Jaya,  Selangor,  Malaysia.  Penerima  Opsyen  dengan  ini</w:t>
            </w: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understands that Data will be held only as long as is necessary to</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membenarkan  Syarikat,  Morgan  Stanley  serta  mana-mana</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implement, administer and manage the Optionee’s participation in</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penerima  data  yang  mungkin  menerima  Data  yang  mungkin</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Plan. The Optionee understands that the Optionee may, at any</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membantu pihak Syarikat (sekarang atau pada masa hadapan)</w:t>
            </w: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time, view Data, request additional information about the storage</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dengan melaksanakan, mentadbir dan menguruskan Pelan untuk</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and processing of Data, require any necessary amendments to</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menerima, mempunya, mengguna, menyimpan serta memindah</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Data or refuse or withdraw the consents herein, in any case</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Data tersebut dalam bentuk elektronik atau lain-lain, bagi tujuan</w:t>
            </w: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without cost, by contacting in writing the Optionee’s local human</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tunggal untuk melaksana, mentadbir dan mengurus penyertaan</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resources representative. Further, the Optionee understands that</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Penerima  Opsyen dalam  Pelan.  Penerima  Opsyen  memahami</w:t>
            </w: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he or she is providing the consents herein on a purely voluntary</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bahawa Data hanya akan disimpan untuk tempoh yang perlu bagi</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basis. If the Optionee does not consent, or if the Optionee later</w:t>
            </w:r>
          </w:p>
        </w:tc>
        <w:tc>
          <w:tcPr>
            <w:tcW w:w="5600" w:type="dxa"/>
            <w:vAlign w:val="bottom"/>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w w:val="98"/>
              </w:rPr>
              <w:t>melaksanakan, mentadbir, dan menguruskan penyertaan Penerima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-7623810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-7606665</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-7589520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-7572375</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-7555230</wp:posOffset>
            </wp:positionV>
            <wp:extent cx="82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-7538085</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-7520940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-7503795</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-7486650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-7469505</wp:posOffset>
            </wp:positionV>
            <wp:extent cx="825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-7452360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-7435215</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-7418070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-7400925</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-7383780</wp:posOffset>
            </wp:positionV>
            <wp:extent cx="825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-7366635</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-7349490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-7332345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-7315200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-7298055</wp:posOffset>
            </wp:positionV>
            <wp:extent cx="825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-7280910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-7263765</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-7246620</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-7229475</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-7212330</wp:posOffset>
            </wp:positionV>
            <wp:extent cx="825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-7195185</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-7178040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-7160895</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-7143750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-7126605</wp:posOffset>
            </wp:positionV>
            <wp:extent cx="825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-7109460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-7092315</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-7075170</wp:posOffset>
            </wp:positionV>
            <wp:extent cx="825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-7058025</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-7040880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-7023735</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-7006590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-6989445</wp:posOffset>
            </wp:positionV>
            <wp:extent cx="825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-6972300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-6955155</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-6938010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-6920865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-6903720</wp:posOffset>
            </wp:positionV>
            <wp:extent cx="825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-6886575</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-6869430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-6852285</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-6835140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-6817995</wp:posOffset>
            </wp:positionV>
            <wp:extent cx="825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-6800850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-6783705</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-6766560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-6749415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-6732270</wp:posOffset>
            </wp:positionV>
            <wp:extent cx="825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-6715125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-6697980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-6680835</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-6663690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-6646545</wp:posOffset>
            </wp:positionV>
            <wp:extent cx="825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-6629400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-6612255</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-6595110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-6577965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-6560820</wp:posOffset>
            </wp:positionV>
            <wp:extent cx="825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-6543675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-6526530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-6509385</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-6492240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-6475095</wp:posOffset>
            </wp:positionV>
            <wp:extent cx="825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-6457950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-6440805</wp:posOffset>
            </wp:positionV>
            <wp:extent cx="825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-6423660</wp:posOffset>
            </wp:positionV>
            <wp:extent cx="825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-6406515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-6389370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-6372225</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-6355080</wp:posOffset>
            </wp:positionV>
            <wp:extent cx="825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-6337935</wp:posOffset>
            </wp:positionV>
            <wp:extent cx="825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-6320790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-6303645</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-6286500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-6269355</wp:posOffset>
            </wp:positionV>
            <wp:extent cx="825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-6252210</wp:posOffset>
            </wp:positionV>
            <wp:extent cx="825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-6235065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-6217920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-6200775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-6183630</wp:posOffset>
            </wp:positionV>
            <wp:extent cx="825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-6166485</wp:posOffset>
            </wp:positionV>
            <wp:extent cx="825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-6149340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-6132195</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-6115050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-6097905</wp:posOffset>
            </wp:positionV>
            <wp:extent cx="825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-6080760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-6063615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-6046470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-6029325</wp:posOffset>
            </wp:positionV>
            <wp:extent cx="825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-6012180</wp:posOffset>
            </wp:positionV>
            <wp:extent cx="825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-5995035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-5977890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-5960745</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-5943600</wp:posOffset>
            </wp:positionV>
            <wp:extent cx="825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-5926455</wp:posOffset>
            </wp:positionV>
            <wp:extent cx="825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-5909310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-5892165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-5875020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-5857875</wp:posOffset>
            </wp:positionV>
            <wp:extent cx="825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-5840730</wp:posOffset>
            </wp:positionV>
            <wp:extent cx="825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-5823585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-5806440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-5789295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-5772150</wp:posOffset>
            </wp:positionV>
            <wp:extent cx="825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-5755005</wp:posOffset>
            </wp:positionV>
            <wp:extent cx="825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-5737860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-5720715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-5703570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-5686425</wp:posOffset>
            </wp:positionV>
            <wp:extent cx="825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-5669280</wp:posOffset>
            </wp:positionV>
            <wp:extent cx="825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-5652135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-5634990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-5617845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-5600700</wp:posOffset>
            </wp:positionV>
            <wp:extent cx="825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-5583555</wp:posOffset>
            </wp:positionV>
            <wp:extent cx="825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-5566410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-5549265</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-5532120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-5514975</wp:posOffset>
            </wp:positionV>
            <wp:extent cx="825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-5497830</wp:posOffset>
            </wp:positionV>
            <wp:extent cx="825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-5480685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-5463540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-5446395</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-5429250</wp:posOffset>
            </wp:positionV>
            <wp:extent cx="825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-5412105</wp:posOffset>
            </wp:positionV>
            <wp:extent cx="825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-5394960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-5377815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-5360670</wp:posOffset>
            </wp:positionV>
            <wp:extent cx="825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-5343525</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-5326380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-5309235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-5292090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-5274945</wp:posOffset>
            </wp:positionV>
            <wp:extent cx="825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-5257800</wp:posOffset>
            </wp:positionV>
            <wp:extent cx="825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-5240655</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-5223510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-5206365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-5189220</wp:posOffset>
            </wp:positionV>
            <wp:extent cx="825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-5172075</wp:posOffset>
            </wp:positionV>
            <wp:extent cx="825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-5154930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-5137785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-5120640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-5103495</wp:posOffset>
            </wp:positionV>
            <wp:extent cx="825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-5086350</wp:posOffset>
            </wp:positionV>
            <wp:extent cx="825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-5069205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-5052060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-5034915</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-5017770</wp:posOffset>
            </wp:positionV>
            <wp:extent cx="825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-5000625</wp:posOffset>
            </wp:positionV>
            <wp:extent cx="825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-4983480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-4966335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-4949190</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-4932045</wp:posOffset>
            </wp:positionV>
            <wp:extent cx="825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-4914900</wp:posOffset>
            </wp:positionV>
            <wp:extent cx="825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-4897755</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-4880610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-4863465</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-4846320</wp:posOffset>
            </wp:positionV>
            <wp:extent cx="825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-4829175</wp:posOffset>
            </wp:positionV>
            <wp:extent cx="825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-4812030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-4794885</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-4777740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-4760595</wp:posOffset>
            </wp:positionV>
            <wp:extent cx="825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-4743450</wp:posOffset>
            </wp:positionV>
            <wp:extent cx="825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-4726305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-4709160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-4692015</wp:posOffset>
            </wp:positionV>
            <wp:extent cx="825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-4674870</wp:posOffset>
            </wp:positionV>
            <wp:extent cx="825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-4657725</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-4640580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-4623435</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-4606290</wp:posOffset>
            </wp:positionV>
            <wp:extent cx="825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-4589145</wp:posOffset>
            </wp:positionV>
            <wp:extent cx="825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-4572000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-4554855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-4537710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-4520565</wp:posOffset>
            </wp:positionV>
            <wp:extent cx="825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-4503420</wp:posOffset>
            </wp:positionV>
            <wp:extent cx="825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-4486275</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-4469130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-4451985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-4434840</wp:posOffset>
            </wp:positionV>
            <wp:extent cx="825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-4417695</wp:posOffset>
            </wp:positionV>
            <wp:extent cx="825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-4400550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-4383405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-4366260</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-4349115</wp:posOffset>
            </wp:positionV>
            <wp:extent cx="825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-4331970</wp:posOffset>
            </wp:positionV>
            <wp:extent cx="825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-4314825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-4297680</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-4280535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-4263390</wp:posOffset>
            </wp:positionV>
            <wp:extent cx="825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-4246245</wp:posOffset>
            </wp:positionV>
            <wp:extent cx="825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-4229100</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-4211955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-4194810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-4177665</wp:posOffset>
            </wp:positionV>
            <wp:extent cx="825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-4160520</wp:posOffset>
            </wp:positionV>
            <wp:extent cx="825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-4143375</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-4126230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-4109085</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-4091940</wp:posOffset>
            </wp:positionV>
            <wp:extent cx="825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-4074795</wp:posOffset>
            </wp:positionV>
            <wp:extent cx="825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-4057650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-4040505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-4023360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-4006215</wp:posOffset>
            </wp:positionV>
            <wp:extent cx="825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-3989070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-3971925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-3954780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-3937635</wp:posOffset>
            </wp:positionV>
            <wp:extent cx="825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-3920490</wp:posOffset>
            </wp:positionV>
            <wp:extent cx="825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-3903345</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-3886200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-3869055</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-3851910</wp:posOffset>
            </wp:positionV>
            <wp:extent cx="825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-3834765</wp:posOffset>
            </wp:positionV>
            <wp:extent cx="825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-3817620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-3800475</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-3783330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-3766185</wp:posOffset>
            </wp:positionV>
            <wp:extent cx="825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-3749040</wp:posOffset>
            </wp:positionV>
            <wp:extent cx="825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-3731895</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-3714750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-3697605</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-3680460</wp:posOffset>
            </wp:positionV>
            <wp:extent cx="825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-3663315</wp:posOffset>
            </wp:positionV>
            <wp:extent cx="825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-3646170</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-3629025</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-3611880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-3594735</wp:posOffset>
            </wp:positionV>
            <wp:extent cx="825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-3577590</wp:posOffset>
            </wp:positionV>
            <wp:extent cx="825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-3560445</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-3543300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-3526155</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-3509010</wp:posOffset>
            </wp:positionV>
            <wp:extent cx="825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-3491865</wp:posOffset>
            </wp:positionV>
            <wp:extent cx="825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-3474720</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-3457575</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-3440430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-3423285</wp:posOffset>
            </wp:positionV>
            <wp:extent cx="825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-3406140</wp:posOffset>
            </wp:positionV>
            <wp:extent cx="825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-3388995</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-3371850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-3354705</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-3337560</wp:posOffset>
            </wp:positionV>
            <wp:extent cx="825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-3320415</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-3303270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-3286125</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-3268980</wp:posOffset>
            </wp:positionV>
            <wp:extent cx="825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-3251835</wp:posOffset>
            </wp:positionV>
            <wp:extent cx="825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-3234690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-3217545</wp:posOffset>
            </wp:positionV>
            <wp:extent cx="825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-3200400</wp:posOffset>
            </wp:positionV>
            <wp:extent cx="825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-3183255</wp:posOffset>
            </wp:positionV>
            <wp:extent cx="825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-3166110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-3148965</wp:posOffset>
            </wp:positionV>
            <wp:extent cx="825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-3131820</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-3114675</wp:posOffset>
            </wp:positionV>
            <wp:extent cx="825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-3097530</wp:posOffset>
            </wp:positionV>
            <wp:extent cx="825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-3080385</wp:posOffset>
            </wp:positionV>
            <wp:extent cx="825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-3063240</wp:posOffset>
            </wp:positionV>
            <wp:extent cx="825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-3046095</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-3028950</wp:posOffset>
            </wp:positionV>
            <wp:extent cx="825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-3011805</wp:posOffset>
            </wp:positionV>
            <wp:extent cx="825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-2994660</wp:posOffset>
            </wp:positionV>
            <wp:extent cx="825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-2977515</wp:posOffset>
            </wp:positionV>
            <wp:extent cx="825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-2960370</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-2943225</wp:posOffset>
            </wp:positionV>
            <wp:extent cx="825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-2926080</wp:posOffset>
            </wp:positionV>
            <wp:extent cx="825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-2908935</wp:posOffset>
            </wp:positionV>
            <wp:extent cx="8255"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-2891790</wp:posOffset>
            </wp:positionV>
            <wp:extent cx="825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-2874645</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-2857500</wp:posOffset>
            </wp:positionV>
            <wp:extent cx="825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-2840355</wp:posOffset>
            </wp:positionV>
            <wp:extent cx="825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-2823210</wp:posOffset>
            </wp:positionV>
            <wp:extent cx="825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-2806065</wp:posOffset>
            </wp:positionV>
            <wp:extent cx="825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-2788920</wp:posOffset>
            </wp:positionV>
            <wp:extent cx="825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-2771775</wp:posOffset>
            </wp:positionV>
            <wp:extent cx="825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-2754630</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-2737485</wp:posOffset>
            </wp:positionV>
            <wp:extent cx="825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-2720340</wp:posOffset>
            </wp:positionV>
            <wp:extent cx="825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-2703195</wp:posOffset>
            </wp:positionV>
            <wp:extent cx="825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-2686050</wp:posOffset>
            </wp:positionV>
            <wp:extent cx="825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-2668905</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-2651760</wp:posOffset>
            </wp:positionV>
            <wp:extent cx="825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-2634615</wp:posOffset>
            </wp:positionV>
            <wp:extent cx="825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-2617470</wp:posOffset>
            </wp:positionV>
            <wp:extent cx="825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-2600325</wp:posOffset>
            </wp:positionV>
            <wp:extent cx="825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-2583180</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-2566035</wp:posOffset>
            </wp:positionV>
            <wp:extent cx="825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-2548890</wp:posOffset>
            </wp:positionV>
            <wp:extent cx="825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-2531745</wp:posOffset>
            </wp:positionV>
            <wp:extent cx="825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-2514600</wp:posOffset>
            </wp:positionV>
            <wp:extent cx="825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-2497455</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-2480310</wp:posOffset>
            </wp:positionV>
            <wp:extent cx="825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-2463165</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-2446020</wp:posOffset>
            </wp:positionV>
            <wp:extent cx="825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-2428875</wp:posOffset>
            </wp:positionV>
            <wp:extent cx="825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-2411730</wp:posOffset>
            </wp:positionV>
            <wp:extent cx="825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-2394585</wp:posOffset>
            </wp:positionV>
            <wp:extent cx="825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-2377440</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-2360295</wp:posOffset>
            </wp:positionV>
            <wp:extent cx="825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-2343150</wp:posOffset>
            </wp:positionV>
            <wp:extent cx="825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-2326005</wp:posOffset>
            </wp:positionV>
            <wp:extent cx="825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-2308860</wp:posOffset>
            </wp:positionV>
            <wp:extent cx="825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-2291715</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-2274570</wp:posOffset>
            </wp:positionV>
            <wp:extent cx="825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-2257425</wp:posOffset>
            </wp:positionV>
            <wp:extent cx="825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-2240280</wp:posOffset>
            </wp:positionV>
            <wp:extent cx="825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-2223135</wp:posOffset>
            </wp:positionV>
            <wp:extent cx="825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-2205990</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-2188845</wp:posOffset>
            </wp:positionV>
            <wp:extent cx="8255"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-2171700</wp:posOffset>
            </wp:positionV>
            <wp:extent cx="825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-2154555</wp:posOffset>
            </wp:positionV>
            <wp:extent cx="825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-2137410</wp:posOffset>
            </wp:positionV>
            <wp:extent cx="825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-2120265</wp:posOffset>
            </wp:positionV>
            <wp:extent cx="825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-2103120</wp:posOffset>
            </wp:positionV>
            <wp:extent cx="825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-2085975</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-2068830</wp:posOffset>
            </wp:positionV>
            <wp:extent cx="825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-2051685</wp:posOffset>
            </wp:positionV>
            <wp:extent cx="825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-2034540</wp:posOffset>
            </wp:positionV>
            <wp:extent cx="825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-2017395</wp:posOffset>
            </wp:positionV>
            <wp:extent cx="8255"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-2000250</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-1983105</wp:posOffset>
            </wp:positionV>
            <wp:extent cx="825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-1965960</wp:posOffset>
            </wp:positionV>
            <wp:extent cx="825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-1948815</wp:posOffset>
            </wp:positionV>
            <wp:extent cx="825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-1931670</wp:posOffset>
            </wp:positionV>
            <wp:extent cx="825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-1914525</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-1897380</wp:posOffset>
            </wp:positionV>
            <wp:extent cx="8255"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-1880235</wp:posOffset>
            </wp:positionV>
            <wp:extent cx="825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-1863090</wp:posOffset>
            </wp:positionV>
            <wp:extent cx="825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-1845945</wp:posOffset>
            </wp:positionV>
            <wp:extent cx="8255"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-1828800</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-1811655</wp:posOffset>
            </wp:positionV>
            <wp:extent cx="8255"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-1794510</wp:posOffset>
            </wp:positionV>
            <wp:extent cx="8255"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-1777365</wp:posOffset>
            </wp:positionV>
            <wp:extent cx="825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-1760220</wp:posOffset>
            </wp:positionV>
            <wp:extent cx="825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-1743075</wp:posOffset>
            </wp:positionV>
            <wp:extent cx="825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-1725930</wp:posOffset>
            </wp:positionV>
            <wp:extent cx="8255"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-1708785</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-1691640</wp:posOffset>
            </wp:positionV>
            <wp:extent cx="825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-1674495</wp:posOffset>
            </wp:positionV>
            <wp:extent cx="825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-1657350</wp:posOffset>
            </wp:positionV>
            <wp:extent cx="825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-1640205</wp:posOffset>
            </wp:positionV>
            <wp:extent cx="825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-1623060</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-1605915</wp:posOffset>
            </wp:positionV>
            <wp:extent cx="825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-1588770</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-1571625</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-1554480</wp:posOffset>
            </wp:positionV>
            <wp:extent cx="825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-1537335</wp:posOffset>
            </wp:positionV>
            <wp:extent cx="825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-1520190</wp:posOffset>
            </wp:positionV>
            <wp:extent cx="825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-1503045</wp:posOffset>
            </wp:positionV>
            <wp:extent cx="825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-1485900</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-1468755</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-1451610</wp:posOffset>
            </wp:positionV>
            <wp:extent cx="825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-1434465</wp:posOffset>
            </wp:positionV>
            <wp:extent cx="8255"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-1417320</wp:posOffset>
            </wp:positionV>
            <wp:extent cx="825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-1400175</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-1383030</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-1365885</wp:posOffset>
            </wp:positionV>
            <wp:extent cx="825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-1348740</wp:posOffset>
            </wp:positionV>
            <wp:extent cx="825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-1331595</wp:posOffset>
            </wp:positionV>
            <wp:extent cx="8255"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-1314450</wp:posOffset>
            </wp:positionV>
            <wp:extent cx="8255"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-1297305</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-1280160</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-1263015</wp:posOffset>
            </wp:positionV>
            <wp:extent cx="8255"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-1245870</wp:posOffset>
            </wp:positionV>
            <wp:extent cx="825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-1228725</wp:posOffset>
            </wp:positionV>
            <wp:extent cx="825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-1211580</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-1194435</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-1177290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-1160145</wp:posOffset>
            </wp:positionV>
            <wp:extent cx="8255"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-1143000</wp:posOffset>
            </wp:positionV>
            <wp:extent cx="8255"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-1125855</wp:posOffset>
            </wp:positionV>
            <wp:extent cx="825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-1108710</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-1091565</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-1074420</wp:posOffset>
            </wp:positionV>
            <wp:extent cx="8255"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-1057275</wp:posOffset>
            </wp:positionV>
            <wp:extent cx="8255"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-1040130</wp:posOffset>
            </wp:positionV>
            <wp:extent cx="8255"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-1022985</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-1005840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-988695</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-971550</wp:posOffset>
            </wp:positionV>
            <wp:extent cx="825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-954405</wp:posOffset>
            </wp:positionV>
            <wp:extent cx="8255"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-937260</wp:posOffset>
            </wp:positionV>
            <wp:extent cx="8255"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-920115</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-902970</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-885825</wp:posOffset>
            </wp:positionV>
            <wp:extent cx="825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-868680</wp:posOffset>
            </wp:positionV>
            <wp:extent cx="825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-851535</wp:posOffset>
            </wp:positionV>
            <wp:extent cx="8255"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-834390</wp:posOffset>
            </wp:positionV>
            <wp:extent cx="8255"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-817245</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-800100</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-782955</wp:posOffset>
            </wp:positionV>
            <wp:extent cx="825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-765810</wp:posOffset>
            </wp:positionV>
            <wp:extent cx="8255"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-748665</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-731520</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-714375</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-697230</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-680085</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-662940</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-645795</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-628650</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-611505</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-594360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-577215</wp:posOffset>
            </wp:positionV>
            <wp:extent cx="8255"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-560070</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-542925</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-525780</wp:posOffset>
            </wp:positionV>
            <wp:extent cx="825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-508635</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-491490</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-474345</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-457200</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-440055</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-422910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-405765</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-388620</wp:posOffset>
            </wp:positionV>
            <wp:extent cx="825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-371475</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-354330</wp:posOffset>
            </wp:positionV>
            <wp:extent cx="8255"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-337185</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-320040</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-302895</wp:posOffset>
            </wp:positionV>
            <wp:extent cx="825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-285750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-268605</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-251460</wp:posOffset>
            </wp:positionV>
            <wp:extent cx="825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-234315</wp:posOffset>
            </wp:positionV>
            <wp:extent cx="825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-217170</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-200025</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-182880</wp:posOffset>
            </wp:positionV>
            <wp:extent cx="8255"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-165735</wp:posOffset>
            </wp:positionV>
            <wp:extent cx="8255"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-148590</wp:posOffset>
            </wp:positionV>
            <wp:extent cx="825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-131445</wp:posOffset>
            </wp:positionV>
            <wp:extent cx="825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-114300</wp:posOffset>
            </wp:positionV>
            <wp:extent cx="8255"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-97155</wp:posOffset>
            </wp:positionV>
            <wp:extent cx="825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-80010</wp:posOffset>
            </wp:positionV>
            <wp:extent cx="8255"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-62865</wp:posOffset>
            </wp:positionV>
            <wp:extent cx="825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-7623810</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-7606665</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-7589520</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-7572375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-7555230</wp:posOffset>
            </wp:positionV>
            <wp:extent cx="88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-7538085</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-7520940</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-7503795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-7486650</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-7469505</wp:posOffset>
            </wp:positionV>
            <wp:extent cx="88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-7452360</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-7435215</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-7418070</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-7400925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-7383780</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-7366635</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-7349490</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-7332345</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-7315200</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-7298055</wp:posOffset>
            </wp:positionV>
            <wp:extent cx="88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-7280910</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-7263765</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-7246620</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-7229475</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-7212330</wp:posOffset>
            </wp:positionV>
            <wp:extent cx="889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-7195185</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-7178040</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-7160895</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-7143750</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-7126605</wp:posOffset>
            </wp:positionV>
            <wp:extent cx="889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-7109460</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-7092315</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-7075170</wp:posOffset>
            </wp:positionV>
            <wp:extent cx="889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-7058025</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-7040880</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-7023735</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-7006590</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-6989445</wp:posOffset>
            </wp:positionV>
            <wp:extent cx="88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-6972300</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-6955155</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-6938010</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-6920865</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-6903720</wp:posOffset>
            </wp:positionV>
            <wp:extent cx="88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-6886575</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-6869430</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-6852285</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-6835140</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-6817995</wp:posOffset>
            </wp:positionV>
            <wp:extent cx="889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-6800850</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-6783705</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-6766560</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-6749415</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-6732270</wp:posOffset>
            </wp:positionV>
            <wp:extent cx="889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-6715125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-6697980</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-6680835</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-6663690</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-6646545</wp:posOffset>
            </wp:positionV>
            <wp:extent cx="889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-6629400</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-6612255</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-6595110</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-6577965</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-6560820</wp:posOffset>
            </wp:positionV>
            <wp:extent cx="889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-6543675</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-6526530</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-6509385</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-6492240</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-6475095</wp:posOffset>
            </wp:positionV>
            <wp:extent cx="889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-6457950</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-6440805</wp:posOffset>
            </wp:positionV>
            <wp:extent cx="889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-6423660</wp:posOffset>
            </wp:positionV>
            <wp:extent cx="889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-6406515</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-6389370</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-6372225</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-6355080</wp:posOffset>
            </wp:positionV>
            <wp:extent cx="889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-6337935</wp:posOffset>
            </wp:positionV>
            <wp:extent cx="889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-6320790</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-6303645</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-6286500</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-6269355</wp:posOffset>
            </wp:positionV>
            <wp:extent cx="889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-6252210</wp:posOffset>
            </wp:positionV>
            <wp:extent cx="889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-6235065</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-6217920</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-6200775</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-6183630</wp:posOffset>
            </wp:positionV>
            <wp:extent cx="889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-6166485</wp:posOffset>
            </wp:positionV>
            <wp:extent cx="889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-6149340</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-6132195</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-6115050</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-6097905</wp:posOffset>
            </wp:positionV>
            <wp:extent cx="889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-6080760</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-6063615</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-6046470</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-6029325</wp:posOffset>
            </wp:positionV>
            <wp:extent cx="889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-6012180</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-5995035</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-5977890</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-5960745</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-5943600</wp:posOffset>
            </wp:positionV>
            <wp:extent cx="889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-5926455</wp:posOffset>
            </wp:positionV>
            <wp:extent cx="889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-5909310</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-5892165</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-5875020</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-5857875</wp:posOffset>
            </wp:positionV>
            <wp:extent cx="889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-5840730</wp:posOffset>
            </wp:positionV>
            <wp:extent cx="889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-5823585</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-5806440</wp:posOffset>
            </wp:positionV>
            <wp:extent cx="889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-5789295</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-5772150</wp:posOffset>
            </wp:positionV>
            <wp:extent cx="88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-5755005</wp:posOffset>
            </wp:positionV>
            <wp:extent cx="889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-5737860</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-5720715</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-5703570</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-5686425</wp:posOffset>
            </wp:positionV>
            <wp:extent cx="889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-5669280</wp:posOffset>
            </wp:positionV>
            <wp:extent cx="88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-5652135</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-5634990</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-5617845</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-5600700</wp:posOffset>
            </wp:positionV>
            <wp:extent cx="889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-5583555</wp:posOffset>
            </wp:positionV>
            <wp:extent cx="889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-5566410</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-5549265</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-5532120</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-5514975</wp:posOffset>
            </wp:positionV>
            <wp:extent cx="88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-5497830</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-5480685</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-5463540</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-5446395</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-5429250</wp:posOffset>
            </wp:positionV>
            <wp:extent cx="889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-5412105</wp:posOffset>
            </wp:positionV>
            <wp:extent cx="889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-5394960</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-5377815</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-5360670</wp:posOffset>
            </wp:positionV>
            <wp:extent cx="889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-5343525</wp:posOffset>
            </wp:positionV>
            <wp:extent cx="889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-5326380</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-5309235</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-5292090</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-5274945</wp:posOffset>
            </wp:positionV>
            <wp:extent cx="889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-5257800</wp:posOffset>
            </wp:positionV>
            <wp:extent cx="889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-5240655</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-5223510</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-5206365</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-5189220</wp:posOffset>
            </wp:positionV>
            <wp:extent cx="889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-5172075</wp:posOffset>
            </wp:positionV>
            <wp:extent cx="889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-5154930</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-5137785</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-5120640</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-5103495</wp:posOffset>
            </wp:positionV>
            <wp:extent cx="889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-5086350</wp:posOffset>
            </wp:positionV>
            <wp:extent cx="889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-5069205</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-5052060</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-5034915</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-5017770</wp:posOffset>
            </wp:positionV>
            <wp:extent cx="889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-5000625</wp:posOffset>
            </wp:positionV>
            <wp:extent cx="889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-4983480</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-4966335</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-4949190</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-4932045</wp:posOffset>
            </wp:positionV>
            <wp:extent cx="889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-4914900</wp:posOffset>
            </wp:positionV>
            <wp:extent cx="889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-4897755</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-4880610</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-4863465</wp:posOffset>
            </wp:positionV>
            <wp:extent cx="88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-4846320</wp:posOffset>
            </wp:positionV>
            <wp:extent cx="889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-4829175</wp:posOffset>
            </wp:positionV>
            <wp:extent cx="889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-4812030</wp:posOffset>
            </wp:positionV>
            <wp:extent cx="889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-4794885</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-4777740</wp:posOffset>
            </wp:positionV>
            <wp:extent cx="889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-4760595</wp:posOffset>
            </wp:positionV>
            <wp:extent cx="889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-4743450</wp:posOffset>
            </wp:positionV>
            <wp:extent cx="889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-4726305</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-4709160</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-4692015</wp:posOffset>
            </wp:positionV>
            <wp:extent cx="88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-4674870</wp:posOffset>
            </wp:positionV>
            <wp:extent cx="889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-4657725</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-4640580</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-4623435</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-4606290</wp:posOffset>
            </wp:positionV>
            <wp:extent cx="88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-4589145</wp:posOffset>
            </wp:positionV>
            <wp:extent cx="889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-4572000</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-4554855</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-4537710</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-4520565</wp:posOffset>
            </wp:positionV>
            <wp:extent cx="889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-4503420</wp:posOffset>
            </wp:positionV>
            <wp:extent cx="88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-4486275</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-4469130</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-4451985</wp:posOffset>
            </wp:positionV>
            <wp:extent cx="88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-4434840</wp:posOffset>
            </wp:positionV>
            <wp:extent cx="889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-4417695</wp:posOffset>
            </wp:positionV>
            <wp:extent cx="889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-4400550</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-4383405</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-4366260</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-4349115</wp:posOffset>
            </wp:positionV>
            <wp:extent cx="889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-4331970</wp:posOffset>
            </wp:positionV>
            <wp:extent cx="889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-4314825</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-4297680</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-4280535</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-4263390</wp:posOffset>
            </wp:positionV>
            <wp:extent cx="889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-4246245</wp:posOffset>
            </wp:positionV>
            <wp:extent cx="88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-4229100</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-4211955</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-4194810</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-4177665</wp:posOffset>
            </wp:positionV>
            <wp:extent cx="88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-4160520</wp:posOffset>
            </wp:positionV>
            <wp:extent cx="889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-4143375</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-4126230</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-4109085</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-4091940</wp:posOffset>
            </wp:positionV>
            <wp:extent cx="889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-4074795</wp:posOffset>
            </wp:positionV>
            <wp:extent cx="889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-4057650</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-4040505</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-4023360</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-4006215</wp:posOffset>
            </wp:positionV>
            <wp:extent cx="889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-3989070</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-3971925</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-3954780</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-3937635</wp:posOffset>
            </wp:positionV>
            <wp:extent cx="889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-3920490</wp:posOffset>
            </wp:positionV>
            <wp:extent cx="88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-3903345</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-3886200</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-3869055</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-3851910</wp:posOffset>
            </wp:positionV>
            <wp:extent cx="889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-3834765</wp:posOffset>
            </wp:positionV>
            <wp:extent cx="889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-3817620</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-3800475</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-3783330</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-3766185</wp:posOffset>
            </wp:positionV>
            <wp:extent cx="889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-3749040</wp:posOffset>
            </wp:positionV>
            <wp:extent cx="889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-3731895</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-3714750</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-3697605</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-3680460</wp:posOffset>
            </wp:positionV>
            <wp:extent cx="889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-3663315</wp:posOffset>
            </wp:positionV>
            <wp:extent cx="889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-3646170</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-3629025</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-3611880</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-3594735</wp:posOffset>
            </wp:positionV>
            <wp:extent cx="889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-3577590</wp:posOffset>
            </wp:positionV>
            <wp:extent cx="889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-3560445</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-3543300</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-3526155</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-3509010</wp:posOffset>
            </wp:positionV>
            <wp:extent cx="88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-3491865</wp:posOffset>
            </wp:positionV>
            <wp:extent cx="889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-3474720</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-3457575</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-3440430</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-3423285</wp:posOffset>
            </wp:positionV>
            <wp:extent cx="889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-3406140</wp:posOffset>
            </wp:positionV>
            <wp:extent cx="889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-3388995</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-3371850</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-3354705</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-3337560</wp:posOffset>
            </wp:positionV>
            <wp:extent cx="889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-3320415</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-3303270</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-3286125</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-3268980</wp:posOffset>
            </wp:positionV>
            <wp:extent cx="889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-3251835</wp:posOffset>
            </wp:positionV>
            <wp:extent cx="889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-3234690</wp:posOffset>
            </wp:positionV>
            <wp:extent cx="889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-3217545</wp:posOffset>
            </wp:positionV>
            <wp:extent cx="889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-3200400</wp:posOffset>
            </wp:positionV>
            <wp:extent cx="889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-3183255</wp:posOffset>
            </wp:positionV>
            <wp:extent cx="889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-3166110</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-3148965</wp:posOffset>
            </wp:positionV>
            <wp:extent cx="889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-3131820</wp:posOffset>
            </wp:positionV>
            <wp:extent cx="889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-3114675</wp:posOffset>
            </wp:positionV>
            <wp:extent cx="889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-3097530</wp:posOffset>
            </wp:positionV>
            <wp:extent cx="889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-3080385</wp:posOffset>
            </wp:positionV>
            <wp:extent cx="889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-3063240</wp:posOffset>
            </wp:positionV>
            <wp:extent cx="889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-3046095</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-3028950</wp:posOffset>
            </wp:positionV>
            <wp:extent cx="889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-3011805</wp:posOffset>
            </wp:positionV>
            <wp:extent cx="889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-2994660</wp:posOffset>
            </wp:positionV>
            <wp:extent cx="889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-2977515</wp:posOffset>
            </wp:positionV>
            <wp:extent cx="889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-2960370</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-2943225</wp:posOffset>
            </wp:positionV>
            <wp:extent cx="889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-2926080</wp:posOffset>
            </wp:positionV>
            <wp:extent cx="889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-2908935</wp:posOffset>
            </wp:positionV>
            <wp:extent cx="889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-2891790</wp:posOffset>
            </wp:positionV>
            <wp:extent cx="889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-2874645</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-2857500</wp:posOffset>
            </wp:positionV>
            <wp:extent cx="889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-2840355</wp:posOffset>
            </wp:positionV>
            <wp:extent cx="889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-2823210</wp:posOffset>
            </wp:positionV>
            <wp:extent cx="889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-2806065</wp:posOffset>
            </wp:positionV>
            <wp:extent cx="889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-2788920</wp:posOffset>
            </wp:positionV>
            <wp:extent cx="889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-2771775</wp:posOffset>
            </wp:positionV>
            <wp:extent cx="889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-2754630</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-2737485</wp:posOffset>
            </wp:positionV>
            <wp:extent cx="889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-2720340</wp:posOffset>
            </wp:positionV>
            <wp:extent cx="889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-2703195</wp:posOffset>
            </wp:positionV>
            <wp:extent cx="889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-2686050</wp:posOffset>
            </wp:positionV>
            <wp:extent cx="889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-2668905</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-2651760</wp:posOffset>
            </wp:positionV>
            <wp:extent cx="889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-2634615</wp:posOffset>
            </wp:positionV>
            <wp:extent cx="889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-2617470</wp:posOffset>
            </wp:positionV>
            <wp:extent cx="889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-2600325</wp:posOffset>
            </wp:positionV>
            <wp:extent cx="889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-2583180</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-2566035</wp:posOffset>
            </wp:positionV>
            <wp:extent cx="889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-2548890</wp:posOffset>
            </wp:positionV>
            <wp:extent cx="889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-2531745</wp:posOffset>
            </wp:positionV>
            <wp:extent cx="889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-2514600</wp:posOffset>
            </wp:positionV>
            <wp:extent cx="889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-2497455</wp:posOffset>
            </wp:positionV>
            <wp:extent cx="889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-2480310</wp:posOffset>
            </wp:positionV>
            <wp:extent cx="889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-2463165</wp:posOffset>
            </wp:positionV>
            <wp:extent cx="889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-2446020</wp:posOffset>
            </wp:positionV>
            <wp:extent cx="889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-2428875</wp:posOffset>
            </wp:positionV>
            <wp:extent cx="889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-2411730</wp:posOffset>
            </wp:positionV>
            <wp:extent cx="889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-2394585</wp:posOffset>
            </wp:positionV>
            <wp:extent cx="889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-2377440</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-2360295</wp:posOffset>
            </wp:positionV>
            <wp:extent cx="88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-2343150</wp:posOffset>
            </wp:positionV>
            <wp:extent cx="889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-2326005</wp:posOffset>
            </wp:positionV>
            <wp:extent cx="889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-2308860</wp:posOffset>
            </wp:positionV>
            <wp:extent cx="889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-2291715</wp:posOffset>
            </wp:positionV>
            <wp:extent cx="889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-2274570</wp:posOffset>
            </wp:positionV>
            <wp:extent cx="889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-2257425</wp:posOffset>
            </wp:positionV>
            <wp:extent cx="889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-2240280</wp:posOffset>
            </wp:positionV>
            <wp:extent cx="889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-2223135</wp:posOffset>
            </wp:positionV>
            <wp:extent cx="889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-2205990</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-2188845</wp:posOffset>
            </wp:positionV>
            <wp:extent cx="889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-2171700</wp:posOffset>
            </wp:positionV>
            <wp:extent cx="889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-2154555</wp:posOffset>
            </wp:positionV>
            <wp:extent cx="889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-2137410</wp:posOffset>
            </wp:positionV>
            <wp:extent cx="889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-2120265</wp:posOffset>
            </wp:positionV>
            <wp:extent cx="889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-2103120</wp:posOffset>
            </wp:positionV>
            <wp:extent cx="889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-2085975</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-2068830</wp:posOffset>
            </wp:positionV>
            <wp:extent cx="889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-2051685</wp:posOffset>
            </wp:positionV>
            <wp:extent cx="889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-2034540</wp:posOffset>
            </wp:positionV>
            <wp:extent cx="889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-2017395</wp:posOffset>
            </wp:positionV>
            <wp:extent cx="889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-2000250</wp:posOffset>
            </wp:positionV>
            <wp:extent cx="889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-1983105</wp:posOffset>
            </wp:positionV>
            <wp:extent cx="889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-1965960</wp:posOffset>
            </wp:positionV>
            <wp:extent cx="889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-1948815</wp:posOffset>
            </wp:positionV>
            <wp:extent cx="889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-1931670</wp:posOffset>
            </wp:positionV>
            <wp:extent cx="889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-1914525</wp:posOffset>
            </wp:positionV>
            <wp:extent cx="889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-1897380</wp:posOffset>
            </wp:positionV>
            <wp:extent cx="889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-1880235</wp:posOffset>
            </wp:positionV>
            <wp:extent cx="889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-1863090</wp:posOffset>
            </wp:positionV>
            <wp:extent cx="889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-1845945</wp:posOffset>
            </wp:positionV>
            <wp:extent cx="889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-1828800</wp:posOffset>
            </wp:positionV>
            <wp:extent cx="889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-1811655</wp:posOffset>
            </wp:positionV>
            <wp:extent cx="889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-1794510</wp:posOffset>
            </wp:positionV>
            <wp:extent cx="88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-1777365</wp:posOffset>
            </wp:positionV>
            <wp:extent cx="889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-1760220</wp:posOffset>
            </wp:positionV>
            <wp:extent cx="889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-1743075</wp:posOffset>
            </wp:positionV>
            <wp:extent cx="889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-1725930</wp:posOffset>
            </wp:positionV>
            <wp:extent cx="889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-1708785</wp:posOffset>
            </wp:positionV>
            <wp:extent cx="889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-1691640</wp:posOffset>
            </wp:positionV>
            <wp:extent cx="889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-1674495</wp:posOffset>
            </wp:positionV>
            <wp:extent cx="889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-1657350</wp:posOffset>
            </wp:positionV>
            <wp:extent cx="889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-1640205</wp:posOffset>
            </wp:positionV>
            <wp:extent cx="889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-1623060</wp:posOffset>
            </wp:positionV>
            <wp:extent cx="889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-1605915</wp:posOffset>
            </wp:positionV>
            <wp:extent cx="88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-1588770</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-1571625</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-1554480</wp:posOffset>
            </wp:positionV>
            <wp:extent cx="889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-1537335</wp:posOffset>
            </wp:positionV>
            <wp:extent cx="889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-1520190</wp:posOffset>
            </wp:positionV>
            <wp:extent cx="889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-1503045</wp:posOffset>
            </wp:positionV>
            <wp:extent cx="889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-1485900</wp:posOffset>
            </wp:positionV>
            <wp:extent cx="889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-1468755</wp:posOffset>
            </wp:positionV>
            <wp:extent cx="889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-1451610</wp:posOffset>
            </wp:positionV>
            <wp:extent cx="889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-1434465</wp:posOffset>
            </wp:positionV>
            <wp:extent cx="889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-1417320</wp:posOffset>
            </wp:positionV>
            <wp:extent cx="889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-1400175</wp:posOffset>
            </wp:positionV>
            <wp:extent cx="889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-1383030</wp:posOffset>
            </wp:positionV>
            <wp:extent cx="889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-1365885</wp:posOffset>
            </wp:positionV>
            <wp:extent cx="889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-1348740</wp:posOffset>
            </wp:positionV>
            <wp:extent cx="88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-1331595</wp:posOffset>
            </wp:positionV>
            <wp:extent cx="889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-1314450</wp:posOffset>
            </wp:positionV>
            <wp:extent cx="889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-1297305</wp:posOffset>
            </wp:positionV>
            <wp:extent cx="889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-1280160</wp:posOffset>
            </wp:positionV>
            <wp:extent cx="889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-1263015</wp:posOffset>
            </wp:positionV>
            <wp:extent cx="889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-1245870</wp:posOffset>
            </wp:positionV>
            <wp:extent cx="889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-1228725</wp:posOffset>
            </wp:positionV>
            <wp:extent cx="889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-1211580</wp:posOffset>
            </wp:positionV>
            <wp:extent cx="889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-1194435</wp:posOffset>
            </wp:positionV>
            <wp:extent cx="889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-1177290</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-1160145</wp:posOffset>
            </wp:positionV>
            <wp:extent cx="889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-1143000</wp:posOffset>
            </wp:positionV>
            <wp:extent cx="889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-1125855</wp:posOffset>
            </wp:positionV>
            <wp:extent cx="889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-1108710</wp:posOffset>
            </wp:positionV>
            <wp:extent cx="889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-1091565</wp:posOffset>
            </wp:positionV>
            <wp:extent cx="889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-1074420</wp:posOffset>
            </wp:positionV>
            <wp:extent cx="889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-1057275</wp:posOffset>
            </wp:positionV>
            <wp:extent cx="889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-1040130</wp:posOffset>
            </wp:positionV>
            <wp:extent cx="889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-1022985</wp:posOffset>
            </wp:positionV>
            <wp:extent cx="889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-1005840</wp:posOffset>
            </wp:positionV>
            <wp:extent cx="889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-988695</wp:posOffset>
            </wp:positionV>
            <wp:extent cx="8890"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-971550</wp:posOffset>
            </wp:positionV>
            <wp:extent cx="889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-954405</wp:posOffset>
            </wp:positionV>
            <wp:extent cx="889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-937260</wp:posOffset>
            </wp:positionV>
            <wp:extent cx="889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-920115</wp:posOffset>
            </wp:positionV>
            <wp:extent cx="889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-902970</wp:posOffset>
            </wp:positionV>
            <wp:extent cx="8890"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-885825</wp:posOffset>
            </wp:positionV>
            <wp:extent cx="889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-868680</wp:posOffset>
            </wp:positionV>
            <wp:extent cx="889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-851535</wp:posOffset>
            </wp:positionV>
            <wp:extent cx="889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-834390</wp:posOffset>
            </wp:positionV>
            <wp:extent cx="889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-817245</wp:posOffset>
            </wp:positionV>
            <wp:extent cx="889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-800100</wp:posOffset>
            </wp:positionV>
            <wp:extent cx="8890"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-782955</wp:posOffset>
            </wp:positionV>
            <wp:extent cx="889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-765810</wp:posOffset>
            </wp:positionV>
            <wp:extent cx="889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-748665</wp:posOffset>
            </wp:positionV>
            <wp:extent cx="889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-731520</wp:posOffset>
            </wp:positionV>
            <wp:extent cx="889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-714375</wp:posOffset>
            </wp:positionV>
            <wp:extent cx="8890"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-697230</wp:posOffset>
            </wp:positionV>
            <wp:extent cx="889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-680085</wp:posOffset>
            </wp:positionV>
            <wp:extent cx="889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-662940</wp:posOffset>
            </wp:positionV>
            <wp:extent cx="889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-645795</wp:posOffset>
            </wp:positionV>
            <wp:extent cx="889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-628650</wp:posOffset>
            </wp:positionV>
            <wp:extent cx="8890"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-611505</wp:posOffset>
            </wp:positionV>
            <wp:extent cx="8890"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-594360</wp:posOffset>
            </wp:positionV>
            <wp:extent cx="88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-577215</wp:posOffset>
            </wp:positionV>
            <wp:extent cx="889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-560070</wp:posOffset>
            </wp:positionV>
            <wp:extent cx="8890"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-542925</wp:posOffset>
            </wp:positionV>
            <wp:extent cx="889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-525780</wp:posOffset>
            </wp:positionV>
            <wp:extent cx="889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-508635</wp:posOffset>
            </wp:positionV>
            <wp:extent cx="889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-491490</wp:posOffset>
            </wp:positionV>
            <wp:extent cx="889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-474345</wp:posOffset>
            </wp:positionV>
            <wp:extent cx="889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-457200</wp:posOffset>
            </wp:positionV>
            <wp:extent cx="889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-440055</wp:posOffset>
            </wp:positionV>
            <wp:extent cx="88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-422910</wp:posOffset>
            </wp:positionV>
            <wp:extent cx="889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-405765</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-388620</wp:posOffset>
            </wp:positionV>
            <wp:extent cx="889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-371475</wp:posOffset>
            </wp:positionV>
            <wp:extent cx="889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-354330</wp:posOffset>
            </wp:positionV>
            <wp:extent cx="889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-337185</wp:posOffset>
            </wp:positionV>
            <wp:extent cx="8890"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-320040</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-302895</wp:posOffset>
            </wp:positionV>
            <wp:extent cx="889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-285750</wp:posOffset>
            </wp:positionV>
            <wp:extent cx="889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-268605</wp:posOffset>
            </wp:positionV>
            <wp:extent cx="8890"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-251460</wp:posOffset>
            </wp:positionV>
            <wp:extent cx="889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-234315</wp:posOffset>
            </wp:positionV>
            <wp:extent cx="889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-217170</wp:posOffset>
            </wp:positionV>
            <wp:extent cx="889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-200025</wp:posOffset>
            </wp:positionV>
            <wp:extent cx="8890"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-182880</wp:posOffset>
            </wp:positionV>
            <wp:extent cx="889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-165735</wp:posOffset>
            </wp:positionV>
            <wp:extent cx="889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-148590</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-131445</wp:posOffset>
            </wp:positionV>
            <wp:extent cx="889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-114300</wp:posOffset>
            </wp:positionV>
            <wp:extent cx="889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-97155</wp:posOffset>
            </wp:positionV>
            <wp:extent cx="889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-80010</wp:posOffset>
            </wp:positionV>
            <wp:extent cx="889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-62865</wp:posOffset>
            </wp:positionV>
            <wp:extent cx="889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-7623810</wp:posOffset>
            </wp:positionV>
            <wp:extent cx="889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-7606665</wp:posOffset>
            </wp:positionV>
            <wp:extent cx="889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-7589520</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-7572375</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-7555230</wp:posOffset>
            </wp:positionV>
            <wp:extent cx="889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-7538085</wp:posOffset>
            </wp:positionV>
            <wp:extent cx="8890"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-7520940</wp:posOffset>
            </wp:positionV>
            <wp:extent cx="8890"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-7503795</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-7486650</wp:posOffset>
            </wp:positionV>
            <wp:extent cx="889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-7469505</wp:posOffset>
            </wp:positionV>
            <wp:extent cx="889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-7452360</wp:posOffset>
            </wp:positionV>
            <wp:extent cx="889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-7435215</wp:posOffset>
            </wp:positionV>
            <wp:extent cx="8890"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-7418070</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-7400925</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-7383780</wp:posOffset>
            </wp:positionV>
            <wp:extent cx="889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-7366635</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-7349490</wp:posOffset>
            </wp:positionV>
            <wp:extent cx="8890"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-7332345</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-7315200</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-7298055</wp:posOffset>
            </wp:positionV>
            <wp:extent cx="889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-7280910</wp:posOffset>
            </wp:positionV>
            <wp:extent cx="889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-7263765</wp:posOffset>
            </wp:positionV>
            <wp:extent cx="889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-7246620</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-7229475</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-7212330</wp:posOffset>
            </wp:positionV>
            <wp:extent cx="889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-7195185</wp:posOffset>
            </wp:positionV>
            <wp:extent cx="889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-7178040</wp:posOffset>
            </wp:positionV>
            <wp:extent cx="8890"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-7160895</wp:posOffset>
            </wp:positionV>
            <wp:extent cx="8890"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-7143750</wp:posOffset>
            </wp:positionV>
            <wp:extent cx="889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-7126605</wp:posOffset>
            </wp:positionV>
            <wp:extent cx="889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-7109460</wp:posOffset>
            </wp:positionV>
            <wp:extent cx="8890"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-7092315</wp:posOffset>
            </wp:positionV>
            <wp:extent cx="8890"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-7075170</wp:posOffset>
            </wp:positionV>
            <wp:extent cx="889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-7058025</wp:posOffset>
            </wp:positionV>
            <wp:extent cx="8890"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-7040880</wp:posOffset>
            </wp:positionV>
            <wp:extent cx="8890"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-7023735</wp:posOffset>
            </wp:positionV>
            <wp:extent cx="8890"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-7006590</wp:posOffset>
            </wp:positionV>
            <wp:extent cx="889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-6989445</wp:posOffset>
            </wp:positionV>
            <wp:extent cx="889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-6972300</wp:posOffset>
            </wp:positionV>
            <wp:extent cx="889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-6955155</wp:posOffset>
            </wp:positionV>
            <wp:extent cx="8890"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-6938010</wp:posOffset>
            </wp:positionV>
            <wp:extent cx="8890"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-6920865</wp:posOffset>
            </wp:positionV>
            <wp:extent cx="88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-6903720</wp:posOffset>
            </wp:positionV>
            <wp:extent cx="889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-6886575</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-6869430</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-6852285</wp:posOffset>
            </wp:positionV>
            <wp:extent cx="889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-6835140</wp:posOffset>
            </wp:positionV>
            <wp:extent cx="8890"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-6817995</wp:posOffset>
            </wp:positionV>
            <wp:extent cx="889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-6800850</wp:posOffset>
            </wp:positionV>
            <wp:extent cx="889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-6783705</wp:posOffset>
            </wp:positionV>
            <wp:extent cx="889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-6766560</wp:posOffset>
            </wp:positionV>
            <wp:extent cx="889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-6749415</wp:posOffset>
            </wp:positionV>
            <wp:extent cx="889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-6732270</wp:posOffset>
            </wp:positionV>
            <wp:extent cx="889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-6715125</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-6697980</wp:posOffset>
            </wp:positionV>
            <wp:extent cx="889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-6680835</wp:posOffset>
            </wp:positionV>
            <wp:extent cx="8890"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-6663690</wp:posOffset>
            </wp:positionV>
            <wp:extent cx="889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-6646545</wp:posOffset>
            </wp:positionV>
            <wp:extent cx="889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-6629400</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-6612255</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-6595110</wp:posOffset>
            </wp:positionV>
            <wp:extent cx="889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-6577965</wp:posOffset>
            </wp:positionV>
            <wp:extent cx="889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-6560820</wp:posOffset>
            </wp:positionV>
            <wp:extent cx="889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-6543675</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-6526530</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-6509385</wp:posOffset>
            </wp:positionV>
            <wp:extent cx="889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-6492240</wp:posOffset>
            </wp:positionV>
            <wp:extent cx="8890"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-6475095</wp:posOffset>
            </wp:positionV>
            <wp:extent cx="889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-6457950</wp:posOffset>
            </wp:positionV>
            <wp:extent cx="889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-6440805</wp:posOffset>
            </wp:positionV>
            <wp:extent cx="889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-6423660</wp:posOffset>
            </wp:positionV>
            <wp:extent cx="889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-6406515</wp:posOffset>
            </wp:positionV>
            <wp:extent cx="889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-6389370</wp:posOffset>
            </wp:positionV>
            <wp:extent cx="889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-6372225</wp:posOffset>
            </wp:positionV>
            <wp:extent cx="889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-6355080</wp:posOffset>
            </wp:positionV>
            <wp:extent cx="889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-6337935</wp:posOffset>
            </wp:positionV>
            <wp:extent cx="889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-6320790</wp:posOffset>
            </wp:positionV>
            <wp:extent cx="889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-6303645</wp:posOffset>
            </wp:positionV>
            <wp:extent cx="889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-6286500</wp:posOffset>
            </wp:positionV>
            <wp:extent cx="889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-6269355</wp:posOffset>
            </wp:positionV>
            <wp:extent cx="889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-6252210</wp:posOffset>
            </wp:positionV>
            <wp:extent cx="889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-6235065</wp:posOffset>
            </wp:positionV>
            <wp:extent cx="889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-6217920</wp:posOffset>
            </wp:positionV>
            <wp:extent cx="889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-6200775</wp:posOffset>
            </wp:positionV>
            <wp:extent cx="88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-6183630</wp:posOffset>
            </wp:positionV>
            <wp:extent cx="889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-6166485</wp:posOffset>
            </wp:positionV>
            <wp:extent cx="889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-6149340</wp:posOffset>
            </wp:positionV>
            <wp:extent cx="8890"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-6132195</wp:posOffset>
            </wp:positionV>
            <wp:extent cx="889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-6115050</wp:posOffset>
            </wp:positionV>
            <wp:extent cx="889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-6097905</wp:posOffset>
            </wp:positionV>
            <wp:extent cx="889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-6080760</wp:posOffset>
            </wp:positionV>
            <wp:extent cx="8890"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-6063615</wp:posOffset>
            </wp:positionV>
            <wp:extent cx="8890"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-6046470</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-6029325</wp:posOffset>
            </wp:positionV>
            <wp:extent cx="889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-6012180</wp:posOffset>
            </wp:positionV>
            <wp:extent cx="889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-5995035</wp:posOffset>
            </wp:positionV>
            <wp:extent cx="8890"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-5977890</wp:posOffset>
            </wp:positionV>
            <wp:extent cx="8890"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-5960745</wp:posOffset>
            </wp:positionV>
            <wp:extent cx="889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-5943600</wp:posOffset>
            </wp:positionV>
            <wp:extent cx="889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-5926455</wp:posOffset>
            </wp:positionV>
            <wp:extent cx="889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-5909310</wp:posOffset>
            </wp:positionV>
            <wp:extent cx="8890"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-5892165</wp:posOffset>
            </wp:positionV>
            <wp:extent cx="889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-5875020</wp:posOffset>
            </wp:positionV>
            <wp:extent cx="889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-5857875</wp:posOffset>
            </wp:positionV>
            <wp:extent cx="889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-5840730</wp:posOffset>
            </wp:positionV>
            <wp:extent cx="889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-5823585</wp:posOffset>
            </wp:positionV>
            <wp:extent cx="889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-5806440</wp:posOffset>
            </wp:positionV>
            <wp:extent cx="889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-5789295</wp:posOffset>
            </wp:positionV>
            <wp:extent cx="889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-5772150</wp:posOffset>
            </wp:positionV>
            <wp:extent cx="889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-5755005</wp:posOffset>
            </wp:positionV>
            <wp:extent cx="889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-5737860</wp:posOffset>
            </wp:positionV>
            <wp:extent cx="889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-5720715</wp:posOffset>
            </wp:positionV>
            <wp:extent cx="889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-5703570</wp:posOffset>
            </wp:positionV>
            <wp:extent cx="8890"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-5686425</wp:posOffset>
            </wp:positionV>
            <wp:extent cx="889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-5669280</wp:posOffset>
            </wp:positionV>
            <wp:extent cx="889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-5652135</wp:posOffset>
            </wp:positionV>
            <wp:extent cx="8890"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-5634990</wp:posOffset>
            </wp:positionV>
            <wp:extent cx="889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-5617845</wp:posOffset>
            </wp:positionV>
            <wp:extent cx="889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-5600700</wp:posOffset>
            </wp:positionV>
            <wp:extent cx="889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-5583555</wp:posOffset>
            </wp:positionV>
            <wp:extent cx="889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-5566410</wp:posOffset>
            </wp:positionV>
            <wp:extent cx="8890"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-5549265</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-5532120</wp:posOffset>
            </wp:positionV>
            <wp:extent cx="88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-5514975</wp:posOffset>
            </wp:positionV>
            <wp:extent cx="889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-5497830</wp:posOffset>
            </wp:positionV>
            <wp:extent cx="889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-5480685</wp:posOffset>
            </wp:positionV>
            <wp:extent cx="8890"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-5463540</wp:posOffset>
            </wp:positionV>
            <wp:extent cx="889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-5446395</wp:posOffset>
            </wp:positionV>
            <wp:extent cx="8890"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-5429250</wp:posOffset>
            </wp:positionV>
            <wp:extent cx="889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-5412105</wp:posOffset>
            </wp:positionV>
            <wp:extent cx="889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-5394960</wp:posOffset>
            </wp:positionV>
            <wp:extent cx="889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-5377815</wp:posOffset>
            </wp:positionV>
            <wp:extent cx="889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-5360670</wp:posOffset>
            </wp:positionV>
            <wp:extent cx="889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-5343525</wp:posOffset>
            </wp:positionV>
            <wp:extent cx="889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-5326380</wp:posOffset>
            </wp:positionV>
            <wp:extent cx="889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-5309235</wp:posOffset>
            </wp:positionV>
            <wp:extent cx="8890"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-5292090</wp:posOffset>
            </wp:positionV>
            <wp:extent cx="889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-5274945</wp:posOffset>
            </wp:positionV>
            <wp:extent cx="889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-5257800</wp:posOffset>
            </wp:positionV>
            <wp:extent cx="889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-5240655</wp:posOffset>
            </wp:positionV>
            <wp:extent cx="8890"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-5223510</wp:posOffset>
            </wp:positionV>
            <wp:extent cx="8890"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-5206365</wp:posOffset>
            </wp:positionV>
            <wp:extent cx="88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-5189220</wp:posOffset>
            </wp:positionV>
            <wp:extent cx="889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-5172075</wp:posOffset>
            </wp:positionV>
            <wp:extent cx="889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-5154930</wp:posOffset>
            </wp:positionV>
            <wp:extent cx="8890"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-5137785</wp:posOffset>
            </wp:positionV>
            <wp:extent cx="889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-5120640</wp:posOffset>
            </wp:positionV>
            <wp:extent cx="889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-5103495</wp:posOffset>
            </wp:positionV>
            <wp:extent cx="889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-5086350</wp:posOffset>
            </wp:positionV>
            <wp:extent cx="889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-5069205</wp:posOffset>
            </wp:positionV>
            <wp:extent cx="8890"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-5052060</wp:posOffset>
            </wp:positionV>
            <wp:extent cx="889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-5034915</wp:posOffset>
            </wp:positionV>
            <wp:extent cx="889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-5017770</wp:posOffset>
            </wp:positionV>
            <wp:extent cx="889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-5000625</wp:posOffset>
            </wp:positionV>
            <wp:extent cx="889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-4983480</wp:posOffset>
            </wp:positionV>
            <wp:extent cx="8890"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-4966335</wp:posOffset>
            </wp:positionV>
            <wp:extent cx="889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-4949190</wp:posOffset>
            </wp:positionV>
            <wp:extent cx="8890"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-4932045</wp:posOffset>
            </wp:positionV>
            <wp:extent cx="889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-4914900</wp:posOffset>
            </wp:positionV>
            <wp:extent cx="889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-4897755</wp:posOffset>
            </wp:positionV>
            <wp:extent cx="8890"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-4880610</wp:posOffset>
            </wp:positionV>
            <wp:extent cx="889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-4863465</wp:posOffset>
            </wp:positionV>
            <wp:extent cx="8890"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-4846320</wp:posOffset>
            </wp:positionV>
            <wp:extent cx="889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-4829175</wp:posOffset>
            </wp:positionV>
            <wp:extent cx="889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-4812030</wp:posOffset>
            </wp:positionV>
            <wp:extent cx="8890"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-4794885</wp:posOffset>
            </wp:positionV>
            <wp:extent cx="8890"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-4777740</wp:posOffset>
            </wp:positionV>
            <wp:extent cx="889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-4760595</wp:posOffset>
            </wp:positionV>
            <wp:extent cx="889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-4743450</wp:posOffset>
            </wp:positionV>
            <wp:extent cx="889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-4726305</wp:posOffset>
            </wp:positionV>
            <wp:extent cx="8890"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-4709160</wp:posOffset>
            </wp:positionV>
            <wp:extent cx="889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-4692015</wp:posOffset>
            </wp:positionV>
            <wp:extent cx="889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-4674870</wp:posOffset>
            </wp:positionV>
            <wp:extent cx="889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-4657725</wp:posOffset>
            </wp:positionV>
            <wp:extent cx="8890"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-4640580</wp:posOffset>
            </wp:positionV>
            <wp:extent cx="8890"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-4623435</wp:posOffset>
            </wp:positionV>
            <wp:extent cx="8890"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-4606290</wp:posOffset>
            </wp:positionV>
            <wp:extent cx="889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-4589145</wp:posOffset>
            </wp:positionV>
            <wp:extent cx="889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-4572000</wp:posOffset>
            </wp:positionV>
            <wp:extent cx="8890"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-4554855</wp:posOffset>
            </wp:positionV>
            <wp:extent cx="8890"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-4537710</wp:posOffset>
            </wp:positionV>
            <wp:extent cx="889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-4520565</wp:posOffset>
            </wp:positionV>
            <wp:extent cx="889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-4503420</wp:posOffset>
            </wp:positionV>
            <wp:extent cx="889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-4486275</wp:posOffset>
            </wp:positionV>
            <wp:extent cx="8890"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-4469130</wp:posOffset>
            </wp:positionV>
            <wp:extent cx="8890"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-4451985</wp:posOffset>
            </wp:positionV>
            <wp:extent cx="889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-4434840</wp:posOffset>
            </wp:positionV>
            <wp:extent cx="889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-4417695</wp:posOffset>
            </wp:positionV>
            <wp:extent cx="889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-4400550</wp:posOffset>
            </wp:positionV>
            <wp:extent cx="8890"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-4383405</wp:posOffset>
            </wp:positionV>
            <wp:extent cx="8890"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-4366260</wp:posOffset>
            </wp:positionV>
            <wp:extent cx="889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-4349115</wp:posOffset>
            </wp:positionV>
            <wp:extent cx="889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-4331970</wp:posOffset>
            </wp:positionV>
            <wp:extent cx="889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-4314825</wp:posOffset>
            </wp:positionV>
            <wp:extent cx="8890"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-4297680</wp:posOffset>
            </wp:positionV>
            <wp:extent cx="889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-4280535</wp:posOffset>
            </wp:positionV>
            <wp:extent cx="889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-4263390</wp:posOffset>
            </wp:positionV>
            <wp:extent cx="889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-4246245</wp:posOffset>
            </wp:positionV>
            <wp:extent cx="889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-4229100</wp:posOffset>
            </wp:positionV>
            <wp:extent cx="8890"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-4211955</wp:posOffset>
            </wp:positionV>
            <wp:extent cx="889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-4194810</wp:posOffset>
            </wp:positionV>
            <wp:extent cx="889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-4177665</wp:posOffset>
            </wp:positionV>
            <wp:extent cx="889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-4160520</wp:posOffset>
            </wp:positionV>
            <wp:extent cx="889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-4143375</wp:posOffset>
            </wp:positionV>
            <wp:extent cx="8890"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-4126230</wp:posOffset>
            </wp:positionV>
            <wp:extent cx="8890"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-4109085</wp:posOffset>
            </wp:positionV>
            <wp:extent cx="889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-4091940</wp:posOffset>
            </wp:positionV>
            <wp:extent cx="889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-4074795</wp:posOffset>
            </wp:positionV>
            <wp:extent cx="889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-4057650</wp:posOffset>
            </wp:positionV>
            <wp:extent cx="8890"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-4040505</wp:posOffset>
            </wp:positionV>
            <wp:extent cx="8890"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-4023360</wp:posOffset>
            </wp:positionV>
            <wp:extent cx="8890"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-4006215</wp:posOffset>
            </wp:positionV>
            <wp:extent cx="889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-3989070</wp:posOffset>
            </wp:positionV>
            <wp:extent cx="8890"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-3971925</wp:posOffset>
            </wp:positionV>
            <wp:extent cx="8890"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-3954780</wp:posOffset>
            </wp:positionV>
            <wp:extent cx="8890"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-3937635</wp:posOffset>
            </wp:positionV>
            <wp:extent cx="889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-3920490</wp:posOffset>
            </wp:positionV>
            <wp:extent cx="889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-3903345</wp:posOffset>
            </wp:positionV>
            <wp:extent cx="8890"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-3886200</wp:posOffset>
            </wp:positionV>
            <wp:extent cx="8890"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-3869055</wp:posOffset>
            </wp:positionV>
            <wp:extent cx="8890"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-3851910</wp:posOffset>
            </wp:positionV>
            <wp:extent cx="889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-3834765</wp:posOffset>
            </wp:positionV>
            <wp:extent cx="889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-3817620</wp:posOffset>
            </wp:positionV>
            <wp:extent cx="8890"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-3800475</wp:posOffset>
            </wp:positionV>
            <wp:extent cx="8890"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-3783330</wp:posOffset>
            </wp:positionV>
            <wp:extent cx="8890"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-3766185</wp:posOffset>
            </wp:positionV>
            <wp:extent cx="889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-3749040</wp:posOffset>
            </wp:positionV>
            <wp:extent cx="889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-3731895</wp:posOffset>
            </wp:positionV>
            <wp:extent cx="8890"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-3714750</wp:posOffset>
            </wp:positionV>
            <wp:extent cx="8890"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-3697605</wp:posOffset>
            </wp:positionV>
            <wp:extent cx="8890"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-3680460</wp:posOffset>
            </wp:positionV>
            <wp:extent cx="889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-3663315</wp:posOffset>
            </wp:positionV>
            <wp:extent cx="889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-3646170</wp:posOffset>
            </wp:positionV>
            <wp:extent cx="8890"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-3629025</wp:posOffset>
            </wp:positionV>
            <wp:extent cx="889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-3611880</wp:posOffset>
            </wp:positionV>
            <wp:extent cx="889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-3594735</wp:posOffset>
            </wp:positionV>
            <wp:extent cx="889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-3577590</wp:posOffset>
            </wp:positionV>
            <wp:extent cx="889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-3560445</wp:posOffset>
            </wp:positionV>
            <wp:extent cx="8890"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-3543300</wp:posOffset>
            </wp:positionV>
            <wp:extent cx="8890"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-3526155</wp:posOffset>
            </wp:positionV>
            <wp:extent cx="8890"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-3509010</wp:posOffset>
            </wp:positionV>
            <wp:extent cx="889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-3491865</wp:posOffset>
            </wp:positionV>
            <wp:extent cx="889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-3474720</wp:posOffset>
            </wp:positionV>
            <wp:extent cx="8890"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-3457575</wp:posOffset>
            </wp:positionV>
            <wp:extent cx="889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-3440430</wp:posOffset>
            </wp:positionV>
            <wp:extent cx="889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-3423285</wp:posOffset>
            </wp:positionV>
            <wp:extent cx="889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-3406140</wp:posOffset>
            </wp:positionV>
            <wp:extent cx="889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-3388995</wp:posOffset>
            </wp:positionV>
            <wp:extent cx="8890"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-3371850</wp:posOffset>
            </wp:positionV>
            <wp:extent cx="8890"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-3354705</wp:posOffset>
            </wp:positionV>
            <wp:extent cx="88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-3337560</wp:posOffset>
            </wp:positionV>
            <wp:extent cx="889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-3320415</wp:posOffset>
            </wp:positionV>
            <wp:extent cx="8890"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-3303270</wp:posOffset>
            </wp:positionV>
            <wp:extent cx="8890"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-3286125</wp:posOffset>
            </wp:positionV>
            <wp:extent cx="8890"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-3268980</wp:posOffset>
            </wp:positionV>
            <wp:extent cx="889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-3251835</wp:posOffset>
            </wp:positionV>
            <wp:extent cx="889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-3234690</wp:posOffset>
            </wp:positionV>
            <wp:extent cx="8890"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-3217545</wp:posOffset>
            </wp:positionV>
            <wp:extent cx="889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-3200400</wp:posOffset>
            </wp:positionV>
            <wp:extent cx="889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-3183255</wp:posOffset>
            </wp:positionV>
            <wp:extent cx="889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-3166110</wp:posOffset>
            </wp:positionV>
            <wp:extent cx="8890"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-3148965</wp:posOffset>
            </wp:positionV>
            <wp:extent cx="889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-3131820</wp:posOffset>
            </wp:positionV>
            <wp:extent cx="8890"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-3114675</wp:posOffset>
            </wp:positionV>
            <wp:extent cx="889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-3097530</wp:posOffset>
            </wp:positionV>
            <wp:extent cx="889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-3080385</wp:posOffset>
            </wp:positionV>
            <wp:extent cx="889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-3063240</wp:posOffset>
            </wp:positionV>
            <wp:extent cx="889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-3046095</wp:posOffset>
            </wp:positionV>
            <wp:extent cx="889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-3028950</wp:posOffset>
            </wp:positionV>
            <wp:extent cx="889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-3011805</wp:posOffset>
            </wp:positionV>
            <wp:extent cx="889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-2994660</wp:posOffset>
            </wp:positionV>
            <wp:extent cx="889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-2977515</wp:posOffset>
            </wp:positionV>
            <wp:extent cx="889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-2960370</wp:posOffset>
            </wp:positionV>
            <wp:extent cx="8890"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-2943225</wp:posOffset>
            </wp:positionV>
            <wp:extent cx="889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-2926080</wp:posOffset>
            </wp:positionV>
            <wp:extent cx="889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-2908935</wp:posOffset>
            </wp:positionV>
            <wp:extent cx="889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-2891790</wp:posOffset>
            </wp:positionV>
            <wp:extent cx="889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-2874645</wp:posOffset>
            </wp:positionV>
            <wp:extent cx="8890"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-2857500</wp:posOffset>
            </wp:positionV>
            <wp:extent cx="889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-2840355</wp:posOffset>
            </wp:positionV>
            <wp:extent cx="889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-2823210</wp:posOffset>
            </wp:positionV>
            <wp:extent cx="889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-2806065</wp:posOffset>
            </wp:positionV>
            <wp:extent cx="889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-2788920</wp:posOffset>
            </wp:positionV>
            <wp:extent cx="889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-2771775</wp:posOffset>
            </wp:positionV>
            <wp:extent cx="889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-2754630</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-2737485</wp:posOffset>
            </wp:positionV>
            <wp:extent cx="889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-2720340</wp:posOffset>
            </wp:positionV>
            <wp:extent cx="889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-2703195</wp:posOffset>
            </wp:positionV>
            <wp:extent cx="889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-2686050</wp:posOffset>
            </wp:positionV>
            <wp:extent cx="889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-2668905</wp:posOffset>
            </wp:positionV>
            <wp:extent cx="88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-2651760</wp:posOffset>
            </wp:positionV>
            <wp:extent cx="889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-2634615</wp:posOffset>
            </wp:positionV>
            <wp:extent cx="889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-2617470</wp:posOffset>
            </wp:positionV>
            <wp:extent cx="889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-2600325</wp:posOffset>
            </wp:positionV>
            <wp:extent cx="889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-2583180</wp:posOffset>
            </wp:positionV>
            <wp:extent cx="889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-2566035</wp:posOffset>
            </wp:positionV>
            <wp:extent cx="889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-2548890</wp:posOffset>
            </wp:positionV>
            <wp:extent cx="889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-2531745</wp:posOffset>
            </wp:positionV>
            <wp:extent cx="889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-2514600</wp:posOffset>
            </wp:positionV>
            <wp:extent cx="889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-2497455</wp:posOffset>
            </wp:positionV>
            <wp:extent cx="8890"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-2480310</wp:posOffset>
            </wp:positionV>
            <wp:extent cx="889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-2463165</wp:posOffset>
            </wp:positionV>
            <wp:extent cx="8890"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-2446020</wp:posOffset>
            </wp:positionV>
            <wp:extent cx="889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-2428875</wp:posOffset>
            </wp:positionV>
            <wp:extent cx="889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-2411730</wp:posOffset>
            </wp:positionV>
            <wp:extent cx="889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-2394585</wp:posOffset>
            </wp:positionV>
            <wp:extent cx="889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-2377440</wp:posOffset>
            </wp:positionV>
            <wp:extent cx="8890"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-2360295</wp:posOffset>
            </wp:positionV>
            <wp:extent cx="889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-2343150</wp:posOffset>
            </wp:positionV>
            <wp:extent cx="889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-2326005</wp:posOffset>
            </wp:positionV>
            <wp:extent cx="889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-2308860</wp:posOffset>
            </wp:positionV>
            <wp:extent cx="889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-2291715</wp:posOffset>
            </wp:positionV>
            <wp:extent cx="8890"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-2274570</wp:posOffset>
            </wp:positionV>
            <wp:extent cx="889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-2257425</wp:posOffset>
            </wp:positionV>
            <wp:extent cx="889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-2240280</wp:posOffset>
            </wp:positionV>
            <wp:extent cx="889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-2223135</wp:posOffset>
            </wp:positionV>
            <wp:extent cx="889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-2205990</wp:posOffset>
            </wp:positionV>
            <wp:extent cx="8890"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-2188845</wp:posOffset>
            </wp:positionV>
            <wp:extent cx="889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-2171700</wp:posOffset>
            </wp:positionV>
            <wp:extent cx="889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-2154555</wp:posOffset>
            </wp:positionV>
            <wp:extent cx="889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-2137410</wp:posOffset>
            </wp:positionV>
            <wp:extent cx="889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-2120265</wp:posOffset>
            </wp:positionV>
            <wp:extent cx="889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-2103120</wp:posOffset>
            </wp:positionV>
            <wp:extent cx="889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-2085975</wp:posOffset>
            </wp:positionV>
            <wp:extent cx="8890"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-2068830</wp:posOffset>
            </wp:positionV>
            <wp:extent cx="889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-2051685</wp:posOffset>
            </wp:positionV>
            <wp:extent cx="889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-2034540</wp:posOffset>
            </wp:positionV>
            <wp:extent cx="889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-2017395</wp:posOffset>
            </wp:positionV>
            <wp:extent cx="889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-2000250</wp:posOffset>
            </wp:positionV>
            <wp:extent cx="88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-1983105</wp:posOffset>
            </wp:positionV>
            <wp:extent cx="889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-1965960</wp:posOffset>
            </wp:positionV>
            <wp:extent cx="889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-1948815</wp:posOffset>
            </wp:positionV>
            <wp:extent cx="889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-1931670</wp:posOffset>
            </wp:positionV>
            <wp:extent cx="889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-1914525</wp:posOffset>
            </wp:positionV>
            <wp:extent cx="889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-1897380</wp:posOffset>
            </wp:positionV>
            <wp:extent cx="889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-1880235</wp:posOffset>
            </wp:positionV>
            <wp:extent cx="889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-1863090</wp:posOffset>
            </wp:positionV>
            <wp:extent cx="889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-1845945</wp:posOffset>
            </wp:positionV>
            <wp:extent cx="889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-1828800</wp:posOffset>
            </wp:positionV>
            <wp:extent cx="8890"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-1811655</wp:posOffset>
            </wp:positionV>
            <wp:extent cx="889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-1794510</wp:posOffset>
            </wp:positionV>
            <wp:extent cx="889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-1777365</wp:posOffset>
            </wp:positionV>
            <wp:extent cx="889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-1760220</wp:posOffset>
            </wp:positionV>
            <wp:extent cx="889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-1743075</wp:posOffset>
            </wp:positionV>
            <wp:extent cx="889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-1725930</wp:posOffset>
            </wp:positionV>
            <wp:extent cx="889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-1708785</wp:posOffset>
            </wp:positionV>
            <wp:extent cx="8890"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-1691640</wp:posOffset>
            </wp:positionV>
            <wp:extent cx="889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-1674495</wp:posOffset>
            </wp:positionV>
            <wp:extent cx="889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-1657350</wp:posOffset>
            </wp:positionV>
            <wp:extent cx="889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-1640205</wp:posOffset>
            </wp:positionV>
            <wp:extent cx="889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-1623060</wp:posOffset>
            </wp:positionV>
            <wp:extent cx="8890"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-1605915</wp:posOffset>
            </wp:positionV>
            <wp:extent cx="889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-1588770</wp:posOffset>
            </wp:positionV>
            <wp:extent cx="8890"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-1571625</wp:posOffset>
            </wp:positionV>
            <wp:extent cx="8890"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-1554480</wp:posOffset>
            </wp:positionV>
            <wp:extent cx="889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-1537335</wp:posOffset>
            </wp:positionV>
            <wp:extent cx="889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-1520190</wp:posOffset>
            </wp:positionV>
            <wp:extent cx="889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-1503045</wp:posOffset>
            </wp:positionV>
            <wp:extent cx="889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-1485900</wp:posOffset>
            </wp:positionV>
            <wp:extent cx="8890"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-1468755</wp:posOffset>
            </wp:positionV>
            <wp:extent cx="8890"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-1451610</wp:posOffset>
            </wp:positionV>
            <wp:extent cx="889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-1434465</wp:posOffset>
            </wp:positionV>
            <wp:extent cx="889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-1417320</wp:posOffset>
            </wp:positionV>
            <wp:extent cx="889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-1400175</wp:posOffset>
            </wp:positionV>
            <wp:extent cx="8890"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-1383030</wp:posOffset>
            </wp:positionV>
            <wp:extent cx="8890"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-1365885</wp:posOffset>
            </wp:positionV>
            <wp:extent cx="889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-1348740</wp:posOffset>
            </wp:positionV>
            <wp:extent cx="889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-1331595</wp:posOffset>
            </wp:positionV>
            <wp:extent cx="889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-1314450</wp:posOffset>
            </wp:positionV>
            <wp:extent cx="889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-1297305</wp:posOffset>
            </wp:positionV>
            <wp:extent cx="8890"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-1280160</wp:posOffset>
            </wp:positionV>
            <wp:extent cx="8890"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-1263015</wp:posOffset>
            </wp:positionV>
            <wp:extent cx="889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-1245870</wp:posOffset>
            </wp:positionV>
            <wp:extent cx="889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-1228725</wp:posOffset>
            </wp:positionV>
            <wp:extent cx="889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-1211580</wp:posOffset>
            </wp:positionV>
            <wp:extent cx="8890"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-1194435</wp:posOffset>
            </wp:positionV>
            <wp:extent cx="8890"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-1177290</wp:posOffset>
            </wp:positionV>
            <wp:extent cx="8890"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-1160145</wp:posOffset>
            </wp:positionV>
            <wp:extent cx="889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-1143000</wp:posOffset>
            </wp:positionV>
            <wp:extent cx="889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-1125855</wp:posOffset>
            </wp:positionV>
            <wp:extent cx="889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-1108710</wp:posOffset>
            </wp:positionV>
            <wp:extent cx="8890"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-1091565</wp:posOffset>
            </wp:positionV>
            <wp:extent cx="8890"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-1074420</wp:posOffset>
            </wp:positionV>
            <wp:extent cx="889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-1057275</wp:posOffset>
            </wp:positionV>
            <wp:extent cx="889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-1040130</wp:posOffset>
            </wp:positionV>
            <wp:extent cx="889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-1022985</wp:posOffset>
            </wp:positionV>
            <wp:extent cx="8890"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-1005840</wp:posOffset>
            </wp:positionV>
            <wp:extent cx="8890"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-988695</wp:posOffset>
            </wp:positionV>
            <wp:extent cx="8890"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-971550</wp:posOffset>
            </wp:positionV>
            <wp:extent cx="889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-954405</wp:posOffset>
            </wp:positionV>
            <wp:extent cx="889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-937260</wp:posOffset>
            </wp:positionV>
            <wp:extent cx="889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-920115</wp:posOffset>
            </wp:positionV>
            <wp:extent cx="8890"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-902970</wp:posOffset>
            </wp:positionV>
            <wp:extent cx="8890"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-885825</wp:posOffset>
            </wp:positionV>
            <wp:extent cx="889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-868680</wp:posOffset>
            </wp:positionV>
            <wp:extent cx="889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-851535</wp:posOffset>
            </wp:positionV>
            <wp:extent cx="889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-834390</wp:posOffset>
            </wp:positionV>
            <wp:extent cx="889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-817245</wp:posOffset>
            </wp:positionV>
            <wp:extent cx="8890"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-800100</wp:posOffset>
            </wp:positionV>
            <wp:extent cx="8890"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-782955</wp:posOffset>
            </wp:positionV>
            <wp:extent cx="889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-765810</wp:posOffset>
            </wp:positionV>
            <wp:extent cx="889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-748665</wp:posOffset>
            </wp:positionV>
            <wp:extent cx="8890"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-731520</wp:posOffset>
            </wp:positionV>
            <wp:extent cx="8890"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-714375</wp:posOffset>
            </wp:positionV>
            <wp:extent cx="8890"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-697230</wp:posOffset>
            </wp:positionV>
            <wp:extent cx="8890"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-680085</wp:posOffset>
            </wp:positionV>
            <wp:extent cx="8890"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-662940</wp:posOffset>
            </wp:positionV>
            <wp:extent cx="8890"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-645795</wp:posOffset>
            </wp:positionV>
            <wp:extent cx="889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-628650</wp:posOffset>
            </wp:positionV>
            <wp:extent cx="8890"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-611505</wp:posOffset>
            </wp:positionV>
            <wp:extent cx="8890"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-594360</wp:posOffset>
            </wp:positionV>
            <wp:extent cx="8890"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-577215</wp:posOffset>
            </wp:positionV>
            <wp:extent cx="889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-560070</wp:posOffset>
            </wp:positionV>
            <wp:extent cx="8890"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-542925</wp:posOffset>
            </wp:positionV>
            <wp:extent cx="8890"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-525780</wp:posOffset>
            </wp:positionV>
            <wp:extent cx="889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-508635</wp:posOffset>
            </wp:positionV>
            <wp:extent cx="8890"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-491490</wp:posOffset>
            </wp:positionV>
            <wp:extent cx="8890"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-474345</wp:posOffset>
            </wp:positionV>
            <wp:extent cx="8890"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-457200</wp:posOffset>
            </wp:positionV>
            <wp:extent cx="8890"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-440055</wp:posOffset>
            </wp:positionV>
            <wp:extent cx="8890"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-422910</wp:posOffset>
            </wp:positionV>
            <wp:extent cx="8890"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-405765</wp:posOffset>
            </wp:positionV>
            <wp:extent cx="8890"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-388620</wp:posOffset>
            </wp:positionV>
            <wp:extent cx="889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-371475</wp:posOffset>
            </wp:positionV>
            <wp:extent cx="8890"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-354330</wp:posOffset>
            </wp:positionV>
            <wp:extent cx="889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-337185</wp:posOffset>
            </wp:positionV>
            <wp:extent cx="8890"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-320040</wp:posOffset>
            </wp:positionV>
            <wp:extent cx="8890"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-302895</wp:posOffset>
            </wp:positionV>
            <wp:extent cx="889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-285750</wp:posOffset>
            </wp:positionV>
            <wp:extent cx="8890"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-268605</wp:posOffset>
            </wp:positionV>
            <wp:extent cx="8890"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-251460</wp:posOffset>
            </wp:positionV>
            <wp:extent cx="889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-234315</wp:posOffset>
            </wp:positionV>
            <wp:extent cx="889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-217170</wp:posOffset>
            </wp:positionV>
            <wp:extent cx="8890"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-200025</wp:posOffset>
            </wp:positionV>
            <wp:extent cx="8890"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-182880</wp:posOffset>
            </wp:positionV>
            <wp:extent cx="889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-165735</wp:posOffset>
            </wp:positionV>
            <wp:extent cx="889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-148590</wp:posOffset>
            </wp:positionV>
            <wp:extent cx="8890"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-131445</wp:posOffset>
            </wp:positionV>
            <wp:extent cx="889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-114300</wp:posOffset>
            </wp:positionV>
            <wp:extent cx="889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-97155</wp:posOffset>
            </wp:positionV>
            <wp:extent cx="889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-80010</wp:posOffset>
            </wp:positionV>
            <wp:extent cx="889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-62865</wp:posOffset>
            </wp:positionV>
            <wp:extent cx="8890"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978" w:orient="portrait"/>
          <w:cols w:equalWidth="0" w:num="1">
            <w:col w:w="11100"/>
          </w:cols>
          <w:pgMar w:left="400" w:top="1440" w:right="399" w:bottom="0" w:gutter="0" w:footer="0" w:header="0"/>
          <w:type w:val="continuous"/>
        </w:sectPr>
      </w:pPr>
    </w:p>
    <w:bookmarkStart w:id="83" w:name="page84"/>
    <w:bookmarkEnd w:id="83"/>
    <w:p>
      <w:pPr>
        <w:ind w:left="80"/>
        <w:spacing w:after="0" w:line="290" w:lineRule="auto"/>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97790</wp:posOffset>
            </wp:positionV>
            <wp:extent cx="8890"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114935</wp:posOffset>
            </wp:positionV>
            <wp:extent cx="8890"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132080</wp:posOffset>
            </wp:positionV>
            <wp:extent cx="8890"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7">
                      <a:extLst>
                        <a:ext uri="{28A0092B-C50C-407E-A947-70E740481C1C}"/>
                      </a:extLst>
                    </a:blip>
                    <a:srcRect/>
                    <a:stretch>
                      <a:fillRect/>
                    </a:stretch>
                  </pic:blipFill>
                  <pic:spPr bwMode="auto">
                    <a:xfrm>
                      <a:off x="0" y="0"/>
                      <a:ext cx="8890" cy="8255"/>
                    </a:xfrm>
                    <a:prstGeom prst="rect">
                      <a:avLst/>
                    </a:prstGeom>
                    <a:noFill/>
                  </pic:spPr>
                </pic:pic>
              </a:graphicData>
            </a:graphic>
          </wp:anchor>
        </w:drawing>
        <w:t>seeks to revoke their consent, their employment status or service and career with the Employer will not be adversely affected; the only consequence of refusing or withdrawing the Optionee’s consent is that the Company would not be able to grant the Optionee an option or other equity awards or administer or maintain such awards. The Optionee also understands that the Company has no obligation to substitute other forms of awards or compensation in lieu of the option as a consequence of the Optionee’s refusal or withdrawal of their consent. Therefore, the Optionee understands that refusing or withdrawing their consent may affect the Optionee’s ability to participate in the Plan. For more information on the consequences of the Optionee’s refusal to consent or withdrawal of consent, the Optionee understands that he or she may contact their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-2629535</wp:posOffset>
            </wp:positionV>
            <wp:extent cx="3514725" cy="539178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8">
                      <a:extLst>
                        <a:ext uri="{28A0092B-C50C-407E-A947-70E740481C1C}"/>
                      </a:extLst>
                    </a:blip>
                    <a:srcRect/>
                    <a:stretch>
                      <a:fillRect/>
                    </a:stretch>
                  </pic:blipFill>
                  <pic:spPr bwMode="auto">
                    <a:xfrm>
                      <a:off x="0" y="0"/>
                      <a:ext cx="3514725" cy="5391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Opsyen dalam Pelan. Penerima Opsyen memahami bahawa Penerima Opsyen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Penerima Opsyen memahami bahawa Penerima Opsyen memberikan persetujuan di sini secara sukarela. Jikalau, Penerima Opsyen tidak bersetuju, atau sekiranaya Penerima Opsyen kemudiannya membatalkan persetujuannya, status pekerjaan atau perkhidmatan dan kerjaya Penerima Opsyen dengan Majikan tidak akan terjejas; satu-satunya akibat jika Penerima Opsyen tidak bersetuju atau menarik balik persetujuan Penerima Opsyen adalah bahawa Syarikat tidak akan dapat memberikan opsyen atau anugerah-anugerah ekuiti yang lain kepada Penerima Opsyen atau mentadbir atau mengekalkan anugerah tersebut. Penerima Opsyen turut memahami bahawa pihak Syarikat tidak mempunyai sebarang kewajiban untuk menggantikan bentuk anugerah yang lain atau memberikan sebarang bentuk kompensasi sebagai pengganti opsyen disebabkan keengganan atau penarikan balik persetujuan Penerima Opsyen. Oleh kerana itu, Penerima Opsyen memahami bahawa keengganan atau penarikan balik persetujuan Penerima Opsyen boleh menjejaskan keupayaan Penerima Opsyen untuk mengambil bahagian dalam Pelan. Untuk maklumat lanjut mengenai akibat keengganan Penerima Opsyen untuk memberikan keizinan atau penarikan balik keizinan, Penerima Opsyen memahami bahawa Penerima Opsyen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-5299710</wp:posOffset>
            </wp:positionV>
            <wp:extent cx="3617595" cy="545211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9">
                      <a:extLst>
                        <a:ext uri="{28A0092B-C50C-407E-A947-70E740481C1C}"/>
                      </a:extLst>
                    </a:blip>
                    <a:srcRect/>
                    <a:stretch>
                      <a:fillRect/>
                    </a:stretch>
                  </pic:blipFill>
                  <pic:spPr bwMode="auto">
                    <a:xfrm>
                      <a:off x="0" y="0"/>
                      <a:ext cx="3617595" cy="5452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220"/>
            <w:col w:w="5520"/>
          </w:cols>
          <w:pgMar w:left="320" w:top="20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80"/>
          </w:cols>
          <w:pgMar w:left="320" w:top="207" w:right="399" w:bottom="1440" w:gutter="0" w:footer="0" w:header="0"/>
          <w:type w:val="continuous"/>
        </w:sectPr>
      </w:pPr>
    </w:p>
    <w:bookmarkStart w:id="84" w:name="page85"/>
    <w:bookmarkEnd w:id="84"/>
    <w:p>
      <w:pPr>
        <w:spacing w:after="0" w:line="200" w:lineRule="exact"/>
        <w:rPr>
          <w:sz w:val="20"/>
          <w:szCs w:val="20"/>
          <w:color w:val="auto"/>
        </w:rPr>
      </w:pPr>
    </w:p>
    <w:p>
      <w:pPr>
        <w:spacing w:after="0" w:line="22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Exchange Control Compliance. </w:t>
      </w:r>
      <w:r>
        <w:rPr>
          <w:rFonts w:ascii="Times New Roman" w:cs="Times New Roman" w:eastAsia="Times New Roman" w:hAnsi="Times New Roman"/>
          <w:sz w:val="20"/>
          <w:szCs w:val="20"/>
          <w:color w:val="auto"/>
        </w:rPr>
        <w:t>If requested by the Company, the Employer or any third party designated by the Company or the Employer,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Optionee must execute and return a compliance declaration related to the Employee’s foreign investments to such person, as provided by the Company or the Employer in order to participate in the Plan. The Optionee understands that failure to do so may prevent the Employee from being able to participate in the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Obligation. </w:t>
      </w:r>
      <w:r>
        <w:rPr>
          <w:rFonts w:ascii="Times New Roman" w:cs="Times New Roman" w:eastAsia="Times New Roman" w:hAnsi="Times New Roman"/>
          <w:sz w:val="20"/>
          <w:szCs w:val="20"/>
          <w:color w:val="auto"/>
        </w:rPr>
        <w:t>If the Optionee is a director of the Company’s Malaysian subsidiary or affiliate, the Optionee is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certain notification requirements under the Malaysian Companies Act. Among these requirements is an obligation to notify the Malaysian subsidiary or affiliate in writing when the Optionee receives or disposes of an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an Option or shares of Common Stock) in the Company or any related company. Such notifications must be made within 14 days of receiving or disposing of any interest in the Company or any related company.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MEXICO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Labor Law Policy. </w:t>
      </w:r>
      <w:r>
        <w:rPr>
          <w:rFonts w:ascii="Times New Roman" w:cs="Times New Roman" w:eastAsia="Times New Roman" w:hAnsi="Times New Roman"/>
          <w:sz w:val="19"/>
          <w:szCs w:val="19"/>
          <w:color w:val="auto"/>
        </w:rPr>
        <w:t>In accepting the grant of the Option, the Optionee expressly recognizes that Mondelēz International, Inc., with registered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offices at 905 West Fulton Market, Suite 200, Chicago, Illinois 60607, U.S.A., is solely responsible for the administration of the Plan and that the Optionee’s participation in the Plan and acquisition of shares of Common Stock do not constitute an employment relationship between the Optionee and Mondelēz International, Inc. since the Optionee is participating in the Plan on a wholly commercial basis and their sole Employer is Mondelēz México, S. de R.L. de C.V., located at Av. 18 de Noviembre 1028, Camino a Manzanilla, Heroica Puebla de Zaragoza, Puebla, C.P. 72304. Based on the foregoing, the Optionee expressly recognizes that the Plan and the benefits that he or she may derive from participating in the Plan do not establish any rights between the Optionee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Optionee’s employment.</w:t>
      </w:r>
    </w:p>
    <w:p>
      <w:pPr>
        <w:spacing w:after="0" w:line="171"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20"/>
          <w:szCs w:val="20"/>
          <w:color w:val="auto"/>
        </w:rPr>
        <w:t>The Optionee further understands that their participation in the Plan is as a result of a unilateral and discretionary decision of Mondelēz International, Inc.; therefore, Mondelēz International, Inc. reserves the absolute right to amend and/or discontinue the Optionee’s participation at any time without any liability to the Optionee.</w:t>
      </w:r>
    </w:p>
    <w:p>
      <w:pPr>
        <w:spacing w:after="0" w:line="164"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20"/>
          <w:szCs w:val="20"/>
          <w:b w:val="1"/>
          <w:bCs w:val="1"/>
          <w:color w:val="auto"/>
        </w:rPr>
        <w:t>Plan Document Acknowledgment</w:t>
      </w:r>
      <w:r>
        <w:rPr>
          <w:rFonts w:ascii="Times New Roman" w:cs="Times New Roman" w:eastAsia="Times New Roman" w:hAnsi="Times New Roman"/>
          <w:sz w:val="20"/>
          <w:szCs w:val="20"/>
          <w:color w:val="auto"/>
        </w:rPr>
        <w:t>. By accepting the Option, the Optionee acknowledges that Optionee has received copies of the Plan,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reviewed the Plan and the Agreement in their entirety and fully understands and accepts all provisions of the Plan and the Agreement.</w:t>
      </w:r>
    </w:p>
    <w:p>
      <w:pPr>
        <w:spacing w:after="0" w:line="16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In addition, by accepting the Agreement, the Optionee further acknowledges that Optionee has read and specifically and expressly approves the terms and conditions in paragraph 12 of the Agreement (“Grant Confers No Rights to Continued Employment -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37</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color w:val="auto"/>
        </w:rPr>
        <w:t>or affiliate is responsible for any decrease in the value of the shares of Common Stock underlying the Option.</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Finally, the Optionee hereby declares that he or she does not reserve to him- or herself any action or right to bring any claim against Mondelēz International, Inc. for any compensation or damages regarding any provision of the Plan or the benefits derived under the Plan, and the Optionee therefore grants a full and broad release to Mondelēz International, Inc., its affiliates, branches, representation offices, its shareholders, officers, agents or legal representatives with respect to any claim that may arise.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TÉRMINOS Y CONDICIONES</w:t>
      </w:r>
    </w:p>
    <w:p>
      <w:pPr>
        <w:spacing w:after="0" w:line="21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Política Laboral. </w:t>
      </w:r>
      <w:r>
        <w:rPr>
          <w:rFonts w:ascii="Times New Roman" w:cs="Times New Roman" w:eastAsia="Times New Roman" w:hAnsi="Times New Roman"/>
          <w:sz w:val="20"/>
          <w:szCs w:val="20"/>
          <w:color w:val="auto"/>
        </w:rPr>
        <w:t>Al aceptar el otorgamiento de la Opción de Compra de Acciones, el Optionee expresamente reconoce que Mondelēz</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International, Inc., con domicilio registrado ubicado en 905 West Fulton Market, Suite 200, Chicago, Illinois 60607, U.S.A., es la única responsable por la administración del Plan y que la participación del Optionee en el Plan y en su caso la adquisición de Acciones no constituyen ni podrán interpretarse como una relación de trabajo entre el Optionee y Mondelēz International, Inc., ya que el Optionee participa en el Plan en un marco totalmente comercial y su único Patrón lo es Mondelēz México, S. de R.L. de C.V. con domicilio en Avenida Santa Fe 485, Piso 7, Colonia Cruz Manca, Mexico City, C.P. 05349 Mexico. Derivado de lo anterior, el Optionee expresamente reconoce que el Plan y los beneficios que pudieran derivar de la participación en el Plan no establecen derecho alguno entre el Optionee y el Patrón, Mondelēz México, S. de R.L. de C.V. y no forma parte de las condiciones de trabajo y/o las prestaciones otorgadas por Mondelēz México, S. de R.L. de C.V. y que cualquier modificación al Plan o su terminación no constituye un cambio o impedimento de los términos y condiciones de la relación de trabajo del Optionee.</w:t>
      </w:r>
    </w:p>
    <w:p>
      <w:pPr>
        <w:spacing w:after="0" w:line="18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20"/>
          <w:szCs w:val="20"/>
          <w:color w:val="auto"/>
        </w:rPr>
        <w:t>Asimismo, el Optionee reconoce que su participación en el Plan es resultado de una decisión unilateral y discrecional de Mondelēz International, Inc.; por lo tanto, Mondelēz International, Inc. se reserva el absoluto derecho de modificar y/o terminar la participación del Optionee en cualquier momento y sin responsabilidad alguna frente el Optionee.</w:t>
      </w:r>
    </w:p>
    <w:p>
      <w:pPr>
        <w:spacing w:after="0" w:line="164"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20"/>
          <w:szCs w:val="20"/>
          <w:b w:val="1"/>
          <w:bCs w:val="1"/>
          <w:color w:val="auto"/>
        </w:rPr>
        <w:t>Reconocimiento del Plan de Documentos</w:t>
      </w:r>
      <w:r>
        <w:rPr>
          <w:rFonts w:ascii="Times New Roman" w:cs="Times New Roman" w:eastAsia="Times New Roman" w:hAnsi="Times New Roman"/>
          <w:sz w:val="20"/>
          <w:szCs w:val="20"/>
          <w:color w:val="auto"/>
        </w:rPr>
        <w:t>. Al aceptar el Otorgamiento de la Opción de Compra de Acciones, el Optionee reconoce que ha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recibido copias del Plan, que ha revisado el Plan y el Acuerdo en su totalidad y que entiende y acepta completamente todas las disposiciones contenidas en el Plan y en el Acuerdo.</w:t>
      </w:r>
    </w:p>
    <w:p>
      <w:pPr>
        <w:spacing w:after="0" w:line="1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Adicionalmente, al firmar el Acuerdo, el Optionee reconoce que ha leído y que aprueba específica y expresamente los términos y condiciones contenidos en el párrafo 12 del Acuerdo ( “El Otorgamiento No le Confiere Ningún Derecho a Empleo Continuo -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Mondelēz International, Inc. ni de cualqiuer Sociedad controlante, Subsidiaria o Filial son responsables por ninguna disminución en el valor de las Acciones subyacentes de la Opción de Compra de Acciones.</w:t>
      </w:r>
    </w:p>
    <w:p>
      <w:pPr>
        <w:spacing w:after="0" w:line="16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9"/>
          <w:szCs w:val="19"/>
          <w:color w:val="auto"/>
        </w:rPr>
        <w:t>Finalmente, el Optionee por este medio declara que no se reserve derecho o acción alguna que ejercitar en contra de Mondelēz International, Inc. por cualquier compensación o daño en relación con las disposiciones del Plan o de los beneficios derivados del Plan y por lo tanto, el Optionee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38</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13"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The Option and the shares of Common Stock offered under the Plan have not been registered with the National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 of Securities maintained by the Mexican National Banking and Securities Commission and cannot be offered or sold publicly in Mexico. In addition, the Plan, the Agreement and any other document relating to the Option may not be publicly distributed in Mexico. These materials are addressed to the Optionee only because of the Optionee’s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MOROCCO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Cashless Exercise Restriction or Settlement in Cash. </w:t>
      </w:r>
      <w:r>
        <w:rPr>
          <w:rFonts w:ascii="Times New Roman" w:cs="Times New Roman" w:eastAsia="Times New Roman" w:hAnsi="Times New Roman"/>
          <w:sz w:val="20"/>
          <w:szCs w:val="20"/>
          <w:color w:val="auto"/>
        </w:rPr>
        <w:t>Notwithstanding anything to the contrary in the Agreement, due to exchange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requirements in Morocco, the 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Alternatively, when the Optionee exercises the Option, the Company may provide that the value of such Option will be paid to the Optionee in cash by the Employer and not by the Company. In such case, the amount of the cash payment shall be based on the Fair Market Value of the shares of Common Stock on the exercise date less the Grant Price and the Optionee will not be entitled to receive and/or hold shares of Common Stock under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Exercisability Upon Termination of Employment</w:t>
      </w:r>
      <w:r>
        <w:rPr>
          <w:rFonts w:ascii="Times New Roman" w:cs="Times New Roman" w:eastAsia="Times New Roman" w:hAnsi="Times New Roman"/>
          <w:sz w:val="20"/>
          <w:szCs w:val="20"/>
          <w:color w:val="auto"/>
        </w:rPr>
        <w:t>. The following provision replaces in its entirety paragraph 3 of the Agreement:</w:t>
      </w:r>
    </w:p>
    <w:p>
      <w:pPr>
        <w:spacing w:after="0" w:line="23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in paragraph 3 of the Agreement, due to exchange control requirements in Morocco, the Optionee will have no right to exercise the Option after the Optionee’s termination date. Solely for purposes of the foregoing provision and notwithstanding anything in the Agreement to the contrary, the Optionee’s employment shall be deemed to be terminated when he or she is no longer on the payroll of the Mondelēz Group.</w:t>
      </w:r>
    </w:p>
    <w:p>
      <w:pPr>
        <w:spacing w:after="0" w:line="17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Exchange Control Requirements. </w:t>
      </w:r>
      <w:r>
        <w:rPr>
          <w:rFonts w:ascii="Times New Roman" w:cs="Times New Roman" w:eastAsia="Times New Roman" w:hAnsi="Times New Roman"/>
          <w:sz w:val="20"/>
          <w:szCs w:val="20"/>
          <w:color w:val="auto"/>
        </w:rPr>
        <w:t>The Optionee is required to immediately repatriate to Morocco the proceeds from the cashless exercise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Option. Such repatriation may need to be effectuated through a special account established by the Mondelēz Group, including the Employer. By accepting the Option, the Optionee consents and agrees that the cash proceeds may be transferred to such special account prior to being delivered to the Optionee. If repatriation of proceeds is not effectuated through a special account, the Optionee agrees to maintain their own records of repatriation and to provide copies of these records upon request to the Company, the Employer and/or the </w:t>
      </w:r>
      <w:r>
        <w:rPr>
          <w:rFonts w:ascii="Times New Roman" w:cs="Times New Roman" w:eastAsia="Times New Roman" w:hAnsi="Times New Roman"/>
          <w:sz w:val="20"/>
          <w:szCs w:val="20"/>
          <w:i w:val="1"/>
          <w:iCs w:val="1"/>
          <w:color w:val="auto"/>
        </w:rPr>
        <w:t>Office des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Changes</w:t>
      </w:r>
      <w:r>
        <w:rPr>
          <w:rFonts w:ascii="Times New Roman" w:cs="Times New Roman" w:eastAsia="Times New Roman" w:hAnsi="Times New Roman"/>
          <w:sz w:val="20"/>
          <w:szCs w:val="20"/>
          <w:color w:val="auto"/>
        </w:rPr>
        <w:t>. The Optionee is responsible for ensuring compliance with all exchange control laws in Morocco.</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NETHERLANDS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Definitions. </w:t>
      </w:r>
      <w:r>
        <w:rPr>
          <w:rFonts w:ascii="Times New Roman" w:cs="Times New Roman" w:eastAsia="Times New Roman" w:hAnsi="Times New Roman"/>
          <w:sz w:val="20"/>
          <w:szCs w:val="20"/>
          <w:color w:val="auto"/>
        </w:rPr>
        <w:t>The following provision replaces paragraph 15 of the Agreement:</w:t>
      </w:r>
    </w:p>
    <w:p>
      <w:pPr>
        <w:spacing w:after="0" w:line="220" w:lineRule="exact"/>
        <w:rPr>
          <w:sz w:val="20"/>
          <w:szCs w:val="20"/>
          <w:color w:val="auto"/>
        </w:rPr>
      </w:pPr>
    </w:p>
    <w:p>
      <w:pPr>
        <w:ind w:right="780"/>
        <w:spacing w:after="0" w:line="283" w:lineRule="auto"/>
        <w:rPr>
          <w:sz w:val="20"/>
          <w:szCs w:val="20"/>
          <w:color w:val="auto"/>
        </w:rPr>
      </w:pPr>
      <w:r>
        <w:rPr>
          <w:rFonts w:ascii="Times New Roman" w:cs="Times New Roman" w:eastAsia="Times New Roman" w:hAnsi="Times New Roman"/>
          <w:sz w:val="20"/>
          <w:szCs w:val="20"/>
          <w:color w:val="auto"/>
        </w:rPr>
        <w:t>For the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the procedures established by the Company for purposes of the Plan.</w:t>
      </w:r>
    </w:p>
    <w:p>
      <w:pPr>
        <w:spacing w:after="0" w:line="1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NEW ZEALAND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WARNING: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The Optionee is being offered an Option which allows the Optionee to purchase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Common Stock in accordance with the terms of the Plan and the Agreement. The shares of Common Stock, if purchased, give the Optionee a stake in the ownership of the Company. The Optionee may receive a return if dividends are paid.</w:t>
      </w:r>
    </w:p>
    <w:p>
      <w:pPr>
        <w:spacing w:after="0" w:line="182"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20"/>
          <w:szCs w:val="20"/>
          <w:i w:val="1"/>
          <w:iCs w:val="1"/>
          <w:color w:val="auto"/>
        </w:rPr>
        <w:t>If the Company runs into financial difficulties and is wound up, the Optionee will be paid only after all creditors and holders of preferred shares have been paid. The Optionee may lose some or all of their investment.</w:t>
      </w:r>
    </w:p>
    <w:p>
      <w:pPr>
        <w:spacing w:after="0" w:line="15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3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The usual rules do not apply to this offer because it is made under an employee share purchase scheme. As a result, the Optionee may not be given all the information usually required. The Optionee will also have fewer other legal protections for this investment.</w:t>
      </w:r>
    </w:p>
    <w:p>
      <w:pPr>
        <w:spacing w:after="0" w:line="165"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20"/>
          <w:szCs w:val="20"/>
          <w:i w:val="1"/>
          <w:iCs w:val="1"/>
          <w:color w:val="auto"/>
        </w:rPr>
        <w:t>The Optionee understands that he or she should ask questions, read all documents carefully, and seek independent financial advice before exercising any Options under the Plan.</w:t>
      </w:r>
    </w:p>
    <w:p>
      <w:pPr>
        <w:spacing w:after="0" w:line="1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i w:val="1"/>
          <w:iCs w:val="1"/>
          <w:color w:val="auto"/>
        </w:rPr>
        <w:t>The shares of Common Stock are quoted and approved for trading on the Nasdaq Global Select Market in the United States of America. This means that, if the Optionee purchases shares of Common Stock under the Plan, the Optionee may be able to sell their investment on the Nasdaq if there are interested buyers. The Optionee understands that the Optionee may get less than their investment. The price will depend on the demand for the shares of Common Stock.</w:t>
      </w:r>
    </w:p>
    <w:p>
      <w:pPr>
        <w:spacing w:after="0" w:line="18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For information on risk factors impacting the Company’s business that may affect the value of the shares of Common Stock, the Optionee should refer to the risk factors discussion in the Company’s Annual Report on Form 10-K and Quarterly Reports on Form 10-Q, which are filed with the U.S. Securities and Exchange Commission and are available online at </w:t>
      </w:r>
      <w:r>
        <w:rPr>
          <w:rFonts w:ascii="Times New Roman" w:cs="Times New Roman" w:eastAsia="Times New Roman" w:hAnsi="Times New Roman"/>
          <w:sz w:val="20"/>
          <w:szCs w:val="20"/>
          <w:i w:val="1"/>
          <w:iCs w:val="1"/>
          <w:u w:val="single" w:color="auto"/>
          <w:color w:val="0000FF"/>
        </w:rPr>
        <w:t>www.sec.gov</w:t>
      </w:r>
      <w:r>
        <w:rPr>
          <w:rFonts w:ascii="Times New Roman" w:cs="Times New Roman" w:eastAsia="Times New Roman" w:hAnsi="Times New Roman"/>
          <w:sz w:val="20"/>
          <w:szCs w:val="20"/>
          <w:i w:val="1"/>
          <w:iCs w:val="1"/>
          <w:color w:val="auto"/>
        </w:rPr>
        <w:t xml:space="preserve">, as well as on the Company’s website at </w:t>
      </w:r>
      <w:r>
        <w:rPr>
          <w:rFonts w:ascii="Times New Roman" w:cs="Times New Roman" w:eastAsia="Times New Roman" w:hAnsi="Times New Roman"/>
          <w:sz w:val="20"/>
          <w:szCs w:val="20"/>
          <w:u w:val="single" w:color="auto"/>
          <w:color w:val="0000FF"/>
        </w:rPr>
        <w:t>http://ir.mondelezinternational.com/sec.cfm</w:t>
      </w:r>
      <w:r>
        <w:rPr>
          <w:rFonts w:ascii="Times New Roman" w:cs="Times New Roman" w:eastAsia="Times New Roman" w:hAnsi="Times New Roman"/>
          <w:sz w:val="20"/>
          <w:szCs w:val="20"/>
          <w:color w:val="000000"/>
        </w:rPr>
        <w:t>.</w:t>
      </w:r>
    </w:p>
    <w:p>
      <w:pPr>
        <w:spacing w:after="0" w:line="1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NIGERIA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NORWAY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In general, Norwegian residents should not be subject to any foreign exchange requirements in connection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acquisition or sale of shares of Common Stock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60"/>
          </w:cols>
          <w:pgMar w:left="320" w:top="1409" w:right="419" w:bottom="1440" w:gutter="0" w:footer="0" w:header="0"/>
        </w:sectPr>
      </w:pPr>
    </w:p>
    <w:bookmarkStart w:id="88" w:name="page89"/>
    <w:bookmarkEnd w:id="88"/>
    <w:p>
      <w:pPr>
        <w:ind w:right="500"/>
        <w:spacing w:after="0" w:line="269" w:lineRule="auto"/>
        <w:rPr>
          <w:sz w:val="20"/>
          <w:szCs w:val="20"/>
          <w:color w:val="auto"/>
        </w:rPr>
      </w:pPr>
      <w:r>
        <w:rPr>
          <w:rFonts w:ascii="Times New Roman" w:cs="Times New Roman" w:eastAsia="Times New Roman" w:hAnsi="Times New Roman"/>
          <w:sz w:val="20"/>
          <w:szCs w:val="20"/>
          <w:color w:val="auto"/>
        </w:rPr>
        <w:t>Plan, except normal reporting requirements to the Norwegian Currency Registry. If the transfer of funds into or out of Norway is made through a Norwegian bank, the bank will make the registration.</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PAKISTAN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b w:val="1"/>
          <w:bCs w:val="1"/>
          <w:color w:val="auto"/>
        </w:rPr>
        <w:t>Cashless Exercise Restriction</w:t>
      </w:r>
      <w:r>
        <w:rPr>
          <w:rFonts w:ascii="Times New Roman" w:cs="Times New Roman" w:eastAsia="Times New Roman" w:hAnsi="Times New Roman"/>
          <w:sz w:val="20"/>
          <w:szCs w:val="20"/>
          <w:color w:val="auto"/>
        </w:rPr>
        <w:t>. Notwithstanding anything to the contrary in the Agreement, due to regulatory requirements in Pakistan,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Optionee is required immediately to repatriate to Pakistan the proceeds from the sale of any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acquired from participation in Plan, including the proceeds from the cashless exercise of the Option. The proceeds must be converted into local currency and the receipt of proceeds must be reported to the State Bank of Pakistan (the “</w:t>
      </w:r>
      <w:r>
        <w:rPr>
          <w:rFonts w:ascii="Times New Roman" w:cs="Times New Roman" w:eastAsia="Times New Roman" w:hAnsi="Times New Roman"/>
          <w:sz w:val="20"/>
          <w:szCs w:val="20"/>
          <w:u w:val="single" w:color="auto"/>
          <w:color w:val="auto"/>
        </w:rPr>
        <w:t>SBP</w:t>
      </w:r>
      <w:r>
        <w:rPr>
          <w:rFonts w:ascii="Times New Roman" w:cs="Times New Roman" w:eastAsia="Times New Roman" w:hAnsi="Times New Roman"/>
          <w:sz w:val="20"/>
          <w:szCs w:val="20"/>
          <w:color w:val="auto"/>
        </w:rPr>
        <w:t>”) by filing a “Proceeds Realization Certificate” issued by the bank converting the proceeds with the SBP. The repatriated amounts cannot be credited to a foreign currency account. The Optionee should consult their personal advisor prior to repatriation of the sale proceeds to ensure compliance with applicable exchange control regulations in Pakistan, as such regulations are subject to frequent change. The Optionee is responsible for ensuring compliance with all exchange control laws in Pakistan.</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PANAMA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3"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Neither the Options nor any shares of Common Stock that the Employee may acquire upon exercise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Options constitute a public offering of securities, as they are available only to eligible employees of the Mondelēz Group.</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PERU</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Labor Law Acknowledgement. </w:t>
      </w:r>
      <w:r>
        <w:rPr>
          <w:rFonts w:ascii="Times New Roman" w:cs="Times New Roman" w:eastAsia="Times New Roman" w:hAnsi="Times New Roman"/>
          <w:sz w:val="20"/>
          <w:szCs w:val="20"/>
          <w:color w:val="auto"/>
        </w:rPr>
        <w:t>The following provision supplements the acknowledgment contained in paragraph 12 of the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accepting the Option, the Optionee acknowledges, understands and agrees that the Option is being granted </w:t>
      </w:r>
      <w:r>
        <w:rPr>
          <w:rFonts w:ascii="Times New Roman" w:cs="Times New Roman" w:eastAsia="Times New Roman" w:hAnsi="Times New Roman"/>
          <w:sz w:val="20"/>
          <w:szCs w:val="20"/>
          <w:i w:val="1"/>
          <w:iCs w:val="1"/>
          <w:color w:val="auto"/>
        </w:rPr>
        <w:t>ex gratia</w:t>
      </w:r>
      <w:r>
        <w:rPr>
          <w:rFonts w:ascii="Times New Roman" w:cs="Times New Roman" w:eastAsia="Times New Roman" w:hAnsi="Times New Roman"/>
          <w:sz w:val="20"/>
          <w:szCs w:val="20"/>
          <w:color w:val="auto"/>
        </w:rPr>
        <w:t xml:space="preserve"> to the Optionee.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grant of Options is considered a private offering in Peru; therefore, it is not subject to registration.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more information concerning this offer, the Optionee should refer to the Plan, the Agreement and any other grant documents made available by the Company. For more information regarding the Company, the Optionee may refer to the Company’s most recent annual report on Form 10-K and quarterly report on Form 10-Q available at </w:t>
      </w:r>
      <w:r>
        <w:rPr>
          <w:rFonts w:ascii="Times New Roman" w:cs="Times New Roman" w:eastAsia="Times New Roman" w:hAnsi="Times New Roman"/>
          <w:sz w:val="20"/>
          <w:szCs w:val="20"/>
          <w:u w:val="single" w:color="auto"/>
          <w:color w:val="0000FF"/>
        </w:rPr>
        <w:t>www.sec.gov</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80"/>
          </w:cols>
          <w:pgMar w:left="320" w:top="1413" w:right="399" w:bottom="1440" w:gutter="0" w:footer="0" w:header="0"/>
        </w:sectPr>
      </w:pPr>
    </w:p>
    <w:bookmarkStart w:id="89" w:name="page90"/>
    <w:bookmarkEnd w:id="89"/>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PHILIPPINES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Cashless Exercise Restriction. </w:t>
      </w:r>
      <w:r>
        <w:rPr>
          <w:rFonts w:ascii="Times New Roman" w:cs="Times New Roman" w:eastAsia="Times New Roman" w:hAnsi="Times New Roman"/>
          <w:sz w:val="20"/>
          <w:szCs w:val="20"/>
          <w:color w:val="auto"/>
        </w:rPr>
        <w:t>Notwithstanding anything to the contrary in the Agreement, due to regulatory requirements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Philippines,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POLAND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Optionee transfers funds in excess of €15,000 (or PLN 15,000 if the transfer of funds is connected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business activity of an entrepreneur) in connection with the sale of shares of Common Stock or the receipt of dividends or dividend equivalents under the Plan, the funds must be transferred via a Polish bank account. The Optionee is required to retain the documents connected with a foreign exchange transaction for a period of five (5) years, as measured from the end of the year in which such transaction occurred. Penalties may apply for failure to comply with exchange control requirements.</w:t>
      </w:r>
    </w:p>
    <w:p>
      <w:pPr>
        <w:spacing w:after="0" w:line="188"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Polish residents holding foreign securities (e.g., shares of Common Stock)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maintaining accounts abroad must report information to the National Bank of Poland on transactions and balances of the securities and cash deposited in such accounts if the value of such securities and cash (when combined with all other assets possessed abroad) exceeds PLN 7 million. If required, the reports must be filed on a quarterly basis on special forms that are available on the website of the National Bank of Poland. The Optionee should consult with their personal legal advisor to determine their personal reporting obligations.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PORTUGAL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7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Language Consent. </w:t>
      </w:r>
      <w:r>
        <w:rPr>
          <w:rFonts w:ascii="Times New Roman" w:cs="Times New Roman" w:eastAsia="Times New Roman" w:hAnsi="Times New Roman"/>
          <w:sz w:val="20"/>
          <w:szCs w:val="20"/>
          <w:color w:val="auto"/>
        </w:rPr>
        <w:t>The Optionee hereby expressly declares that he or she has full knowledge of the English language and has read,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understood and fully accepted and agreed with the terms and conditions established in the Plan and the Agreement.</w:t>
      </w:r>
    </w:p>
    <w:p>
      <w:pPr>
        <w:spacing w:after="0" w:line="1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Conhecimento da Lingua. </w:t>
      </w:r>
      <w:r>
        <w:rPr>
          <w:rFonts w:ascii="Times New Roman" w:cs="Times New Roman" w:eastAsia="Times New Roman" w:hAnsi="Times New Roman"/>
          <w:sz w:val="20"/>
          <w:szCs w:val="20"/>
          <w:i w:val="1"/>
          <w:iCs w:val="1"/>
          <w:color w:val="auto"/>
        </w:rPr>
        <w:t>O Contratado, pelo presente instrumento, declara expressamente que tem pleno conhecimento da língua inglesa 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que leu, compreendeu e livremente aceitou e concordou com os termos e condições estabelecidas no Plano e no Acordo de Atribuição (“Agreement” em inglês)</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If the Optionee acquires shares of Common Stock under the Plan and does not hold the shares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with a Portuguese financial intermediary, the Optionee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40" w:right="359" w:bottom="1440" w:gutter="0" w:footer="0" w:header="0"/>
        </w:sectPr>
      </w:pPr>
    </w:p>
    <w:bookmarkStart w:id="90" w:name="page91"/>
    <w:bookmarkEnd w:id="90"/>
    <w:p>
      <w:pPr>
        <w:ind w:right="40"/>
        <w:spacing w:after="0" w:line="269" w:lineRule="auto"/>
        <w:rPr>
          <w:sz w:val="20"/>
          <w:szCs w:val="20"/>
          <w:color w:val="auto"/>
        </w:rPr>
      </w:pPr>
      <w:r>
        <w:rPr>
          <w:rFonts w:ascii="Times New Roman" w:cs="Times New Roman" w:eastAsia="Times New Roman" w:hAnsi="Times New Roman"/>
          <w:sz w:val="20"/>
          <w:szCs w:val="20"/>
          <w:color w:val="auto"/>
        </w:rPr>
        <w:t>need to file a report with the Portuguese Central Bank. If the shares of Common Stock are held by a Portuguese financial intermediary, it will file the report for the Optionee.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PUERTO RICO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ROMANIA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Optionee deposits proceeds from the sale of Common Stock in a bank account in Romania,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may be required to provide the Romanian bank assisting with the transaction with appropriate documentation explaining the source of the income. The Optionee should consult with a personal legal advisor to determine whether the Optionee will be required to submit such documentation to the Romanian bank.</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SAUDI ARABIA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The grant of the Option is not subject to the regulations concerning public offers and private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placements under the Law on Capital Markets.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SERBIA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Pursuant to the Law on Foreign Exchange Transactions, the Optionee is permitted to acquire shares of</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Common Stock under the Plan and hold the shares and any proceeds from the sale of shares of Common Stock in a U.S. brokerage account or other foreign brokerage account. However, the Optionee needs permission from the National Bank of Serbia to hold any proceeds from the sale of shares of Common Stock in an offshore bank account. Because the exchange control regulations in Serbia may change without notice, the Optionee should consult with their personal advisor to ensure compliance with applicable exchange control laws.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Sale Restriction. </w:t>
      </w:r>
      <w:r>
        <w:rPr>
          <w:rFonts w:ascii="Times New Roman" w:cs="Times New Roman" w:eastAsia="Times New Roman" w:hAnsi="Times New Roman"/>
          <w:sz w:val="20"/>
          <w:szCs w:val="20"/>
          <w:color w:val="auto"/>
        </w:rPr>
        <w:t>The Optionee agrees that any shares of Common Stock acquired pursuant to the Option will not be offered for sale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grant of the Option is being made pursuant to the “Qualifying Person” exemption under section 273(1)(f)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SFA and is not made to the Optionee with a view to the Option being subsequently offered for sale to any other party. The Plan has not been lodged or registered as a prospectus with the Monetary Authority of 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91" w:name="page92"/>
    <w:bookmarkEnd w:id="91"/>
    <w:p>
      <w:pPr>
        <w:ind w:right="4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Requirement. </w:t>
      </w:r>
      <w:r>
        <w:rPr>
          <w:rFonts w:ascii="Times New Roman" w:cs="Times New Roman" w:eastAsia="Times New Roman" w:hAnsi="Times New Roman"/>
          <w:sz w:val="20"/>
          <w:szCs w:val="20"/>
          <w:color w:val="auto"/>
        </w:rPr>
        <w:t>The directors, associate directors and shadow directors of a Singapore subsidiary or affiliate are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certain notification requirements under the Singapore Companies Act. The directors, associate directors and shadow directors must notify the Singapore subsidiary or affiliate in writing of an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Options, shares of Common Stock, etc.) in the Company or any related companies within two business days of (i) its acquisition or disposal, (ii) any change in a previously disclosed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when the shares of Common Stock are sold), or (iii) becoming a director, associate director or shadow director.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SLOVAK REPUBLIC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SLOVENIA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Slovenian residents may be required to report the opening of bank and/or brokerage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accounts to tax authorities within eight (8) days of opening such account. The Optionee should consult with their personal tax advisor to determine whether this requirement will be applicable to any accounts opened in connection with the Optionee’s participation in the Plan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the Optionee’s brokerage account with the Company’s designated broker).</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SOUTH AFRICA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Securities Law Notice</w:t>
      </w:r>
      <w:r>
        <w:rPr>
          <w:rFonts w:ascii="Times New Roman" w:cs="Times New Roman" w:eastAsia="Times New Roman" w:hAnsi="Times New Roman"/>
          <w:sz w:val="20"/>
          <w:szCs w:val="20"/>
          <w:color w:val="auto"/>
        </w:rPr>
        <w:t>. In compliance with South African Securities Law, the documents listed below are available for the Optionee’s review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Company’s public site or intranet site, as applicable, as listed below:</w:t>
      </w:r>
    </w:p>
    <w:p>
      <w:pPr>
        <w:spacing w:after="0" w:line="196" w:lineRule="exact"/>
        <w:rPr>
          <w:sz w:val="20"/>
          <w:szCs w:val="20"/>
          <w:color w:val="auto"/>
        </w:rPr>
      </w:pPr>
    </w:p>
    <w:p>
      <w:pPr>
        <w:ind w:left="660" w:right="960" w:hanging="328"/>
        <w:spacing w:after="0" w:line="269"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Company’s most recent Annual Report (Form 10-K): from the investor relations section of the Company’s website at </w:t>
      </w:r>
      <w:r>
        <w:rPr>
          <w:rFonts w:ascii="Times New Roman" w:cs="Times New Roman" w:eastAsia="Times New Roman" w:hAnsi="Times New Roman"/>
          <w:sz w:val="20"/>
          <w:szCs w:val="20"/>
          <w:u w:val="single" w:color="auto"/>
          <w:color w:val="0000FF"/>
        </w:rPr>
        <w:t>http://www.mondelezinternational.com/investors</w:t>
      </w:r>
      <w:r>
        <w:rPr>
          <w:rFonts w:ascii="Times New Roman" w:cs="Times New Roman" w:eastAsia="Times New Roman" w:hAnsi="Times New Roman"/>
          <w:sz w:val="20"/>
          <w:szCs w:val="20"/>
          <w:color w:val="000000"/>
        </w:rPr>
        <w:t>.</w:t>
      </w:r>
    </w:p>
    <w:p>
      <w:pPr>
        <w:spacing w:after="0" w:line="186" w:lineRule="exact"/>
        <w:rPr>
          <w:rFonts w:ascii="Times New Roman" w:cs="Times New Roman" w:eastAsia="Times New Roman" w:hAnsi="Times New Roman"/>
          <w:sz w:val="20"/>
          <w:szCs w:val="20"/>
          <w:color w:val="auto"/>
        </w:rPr>
      </w:pPr>
    </w:p>
    <w:p>
      <w:pPr>
        <w:ind w:left="660" w:right="1280" w:hanging="328"/>
        <w:spacing w:after="0" w:line="283" w:lineRule="auto"/>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most recent Plan prospectus: a copy of which can be found on the Company’s Intranet site located at: https://intranet.mdlz.com/sites/globalhr/comp/Pages/Legal-Documents.aspx.</w:t>
      </w:r>
    </w:p>
    <w:p>
      <w:pPr>
        <w:spacing w:after="0" w:line="14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The Optionee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spacing w:after="0" w:line="164"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Exchange Control Obligations. </w:t>
      </w:r>
      <w:r>
        <w:rPr>
          <w:rFonts w:ascii="Times New Roman" w:cs="Times New Roman" w:eastAsia="Times New Roman" w:hAnsi="Times New Roman"/>
          <w:sz w:val="20"/>
          <w:szCs w:val="20"/>
          <w:color w:val="auto"/>
        </w:rPr>
        <w:t>The Optionee is solely responsible for complying with applicable South African exchange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regulations. In particular, the Optionee may be required to obtain approval from the South African Reserve Bank for payments (including shares of Common Stock received pursuant to the Plan) that the Optionee receives into accounts based outside of South Africa (e.g., a U.S. brokerage account). Since the exchange control regulations change frequently and without notice, the Optionee should consult their legal advisor prior to the acquisition or sale of the shares of Common Stock under the Plan to ensure compliance with current regulations. As noted, it is the Optionee’s responsibility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92" w:name="page93"/>
    <w:bookmarkEnd w:id="92"/>
    <w:p>
      <w:pPr>
        <w:ind w:right="620"/>
        <w:spacing w:after="0" w:line="269" w:lineRule="auto"/>
        <w:rPr>
          <w:sz w:val="20"/>
          <w:szCs w:val="20"/>
          <w:color w:val="auto"/>
        </w:rPr>
      </w:pPr>
      <w:r>
        <w:rPr>
          <w:rFonts w:ascii="Times New Roman" w:cs="Times New Roman" w:eastAsia="Times New Roman" w:hAnsi="Times New Roman"/>
          <w:sz w:val="20"/>
          <w:szCs w:val="20"/>
          <w:color w:val="auto"/>
        </w:rPr>
        <w:t>comply with South African exchange control laws, and neither the Company nor the Employer will be liable for any fines or penalties resulting from failure to comply with applicable 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Tax Clearance Certificate for Cash Exercises. </w:t>
      </w:r>
      <w:r>
        <w:rPr>
          <w:rFonts w:ascii="Times New Roman" w:cs="Times New Roman" w:eastAsia="Times New Roman" w:hAnsi="Times New Roman"/>
          <w:sz w:val="20"/>
          <w:szCs w:val="20"/>
          <w:color w:val="auto"/>
        </w:rPr>
        <w:t>If the Optionee exercises the Option by a cash purchase exercise, the Optionee is required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obtain and provide to the Employer, or any third party designated by the Employer or the Company, a Tax Clearance Certificate (with respect to Foreign Investments) bearing the official stamp and signature of the Exchange Control Department of the South African Revenue Service (“</w:t>
      </w:r>
      <w:r>
        <w:rPr>
          <w:rFonts w:ascii="Times New Roman" w:cs="Times New Roman" w:eastAsia="Times New Roman" w:hAnsi="Times New Roman"/>
          <w:sz w:val="20"/>
          <w:szCs w:val="20"/>
          <w:u w:val="single" w:color="auto"/>
          <w:color w:val="auto"/>
        </w:rPr>
        <w:t>SARS</w:t>
      </w:r>
      <w:r>
        <w:rPr>
          <w:rFonts w:ascii="Times New Roman" w:cs="Times New Roman" w:eastAsia="Times New Roman" w:hAnsi="Times New Roman"/>
          <w:sz w:val="20"/>
          <w:szCs w:val="20"/>
          <w:color w:val="auto"/>
        </w:rPr>
        <w:t>”). The Optionee must renew this Tax Clearance Certificate each twelve (12) months or in such other period as may be required by the SARS.</w:t>
      </w:r>
    </w:p>
    <w:p>
      <w:pPr>
        <w:spacing w:after="0" w:line="19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If the Optionee exercises the Option by a cashless exercise whereby no funds are remitted offshore for the purchase of shares, he or she is not required to obtain a Tax Clearance Certificate.</w:t>
      </w:r>
    </w:p>
    <w:p>
      <w:pPr>
        <w:spacing w:after="0" w:line="15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Under current South African exchange control policy, if the Optionee is a South African resident, he or she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invest a maximum of a certain amount (currently, ZAR11,000,000) per annum in offshore investments, including in shares of Common Stock. The first ZAR1,000,000 annual discretionary allowance requires no prior authorization. The next ZAR10,000,000 requires tax clearance. This limit does not apply to non-resident employees. It is the Optionee’s responsibility to ensure that he or she does not exceed this limit and obtains the necessary tax clearance for remittances exceeding a certain amount (currently, ZAR1,000,000). This limit is a cumulative allowance; therefore, the Optionee’s ability to remit funds for the exercise of an Option will be reduced if the Optionee’s foreign investment limit is utilized to make a transfer of funds offshore that is unrelated to the Option. If the ZAR11,000,000 limit will be exceeded as a result of an Option exercise, the Optionee may still exercise the Option and participate in the Plan, however the Optionee will be required to immediately sell the shares of Common Stock underlying the exercised Option and repatriate the proceeds to South Africa. If the ZAR11,000,000 limit is not exceeded, the Optionee will not be required to immediately repatriate the sale proceeds to South Africa.</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SOUTH KOREA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a Korean resident sells shares of Common Stock and deposits sale proceeds in excess of a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threshold (currently, US $5,000) into a non-Korean bank account, the Korean resident must file a report with a Korean foreign exchange bank. This reporting is not required if sale proceeds are instead deposited into a non-Korean brokerage account. It is the Optionee’s responsibility to comply with any applicable exchange control reporting obligations in Korea and the Optionee should consult with a personal legal advisor to determine the Optionee’s reporting obligations.</w:t>
      </w:r>
    </w:p>
    <w:p>
      <w:pPr>
        <w:spacing w:after="0" w:line="20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b w:val="1"/>
          <w:bCs w:val="1"/>
          <w:color w:val="auto"/>
        </w:rPr>
        <w:t>Foreign Asset/Account Reporting Information</w:t>
      </w:r>
      <w:r>
        <w:rPr>
          <w:rFonts w:ascii="Times New Roman" w:cs="Times New Roman" w:eastAsia="Times New Roman" w:hAnsi="Times New Roman"/>
          <w:sz w:val="19"/>
          <w:szCs w:val="19"/>
          <w:color w:val="auto"/>
        </w:rPr>
        <w:t>. South Korean residents must declare all foreign financial accounts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non-South Korean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bank accounts, brokerage accounts, etc.) to the South Korean tax authority and file a report with respect to such accounts if the value of such accounts exceeds a certain threshold (currently, KRW 500 million (or an equivalent amount in foreign currency)) on any month-end date during a calendar year. The Optionee should consult with their personal tax advisor to determine how to value the Optionee’s foreign accounts for purposes of this reporting requirement and whether the Optionee is required to file a report with respect to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SPAIN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Nature of the Grant. </w:t>
      </w:r>
      <w:r>
        <w:rPr>
          <w:rFonts w:ascii="Times New Roman" w:cs="Times New Roman" w:eastAsia="Times New Roman" w:hAnsi="Times New Roman"/>
          <w:sz w:val="20"/>
          <w:szCs w:val="20"/>
          <w:color w:val="auto"/>
        </w:rPr>
        <w:t>The following provision supplements paragraph 12 of the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accepting the Option, the Optionee consents to participation in the Plan and acknowledges that he or she has received a copy of the Plan.</w:t>
      </w:r>
    </w:p>
    <w:p>
      <w:pPr>
        <w:spacing w:after="0" w:line="21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20"/>
          <w:szCs w:val="20"/>
          <w:color w:val="auto"/>
        </w:rPr>
        <w:t>The Optionee understands and agrees that, as a condition of the grant of the Option, except as provided for in paragraph 2 of the Agreement, the termination of the Optionee’s employment for any reason (including for the reasons listed below) will automatically result in the loss of the Option that may have been granted to the Optionee and that have not vested on the date of termination.</w:t>
      </w:r>
    </w:p>
    <w:p>
      <w:pPr>
        <w:spacing w:after="0" w:line="168"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In particular, the Optionee understands and agrees that any unvested Option as of Optionee’s termination date and any vested Option not exercised within the period set forth in the Agreement following Optionee’s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subject to a “</w:t>
      </w:r>
      <w:r>
        <w:rPr>
          <w:rFonts w:ascii="Times New Roman" w:cs="Times New Roman" w:eastAsia="Times New Roman" w:hAnsi="Times New Roman"/>
          <w:sz w:val="20"/>
          <w:szCs w:val="20"/>
          <w:i w:val="1"/>
          <w:iCs w:val="1"/>
          <w:color w:val="auto"/>
        </w:rPr>
        <w:t>despido improcedente</w:t>
      </w:r>
      <w:r>
        <w:rPr>
          <w:rFonts w:ascii="Times New Roman" w:cs="Times New Roman" w:eastAsia="Times New Roman" w:hAnsi="Times New Roman"/>
          <w:sz w:val="20"/>
          <w:szCs w:val="20"/>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Furthermore, the Optionee understands that the Company has unilaterally, gratuitously and discretionally decided to grant the Option under the Plan to individuals who may be employees of the Mondelēz Group. The decision is a limited decision that is entered into upon the express assumption and condition that;</w:t>
      </w:r>
    </w:p>
    <w:p>
      <w:pPr>
        <w:spacing w:after="0" w:line="195" w:lineRule="exact"/>
        <w:rPr>
          <w:sz w:val="20"/>
          <w:szCs w:val="20"/>
          <w:color w:val="auto"/>
        </w:rPr>
      </w:pPr>
    </w:p>
    <w:p>
      <w:pPr>
        <w:ind w:left="660" w:right="200" w:hanging="328"/>
        <w:spacing w:after="0" w:line="269" w:lineRule="auto"/>
        <w:tabs>
          <w:tab w:leader="none" w:pos="65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Grant will not economically or otherwise bind the Mondelēz Group on an ongoing basis other than to the extent set forth in the Agreement;</w:t>
      </w:r>
    </w:p>
    <w:p>
      <w:pPr>
        <w:spacing w:after="0" w:line="199" w:lineRule="exact"/>
        <w:rPr>
          <w:rFonts w:ascii="Times New Roman" w:cs="Times New Roman" w:eastAsia="Times New Roman" w:hAnsi="Times New Roman"/>
          <w:sz w:val="20"/>
          <w:szCs w:val="20"/>
          <w:color w:val="auto"/>
        </w:rPr>
      </w:pPr>
    </w:p>
    <w:p>
      <w:pPr>
        <w:ind w:left="660" w:right="260" w:hanging="328"/>
        <w:spacing w:after="0" w:line="254" w:lineRule="auto"/>
        <w:tabs>
          <w:tab w:leader="none" w:pos="65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and the shares of Common Stock issued upon exercise shall not become a part of any employment or contract (with the Mondelēz Group, including the Employer) and shall not be considered a mandatory benefit, salary for any purposes (including severance compensation) or any other right whatsoever; and</w:t>
      </w:r>
    </w:p>
    <w:p>
      <w:pPr>
        <w:spacing w:after="0" w:line="214" w:lineRule="exact"/>
        <w:rPr>
          <w:rFonts w:ascii="Times New Roman" w:cs="Times New Roman" w:eastAsia="Times New Roman" w:hAnsi="Times New Roman"/>
          <w:sz w:val="20"/>
          <w:szCs w:val="20"/>
          <w:color w:val="auto"/>
        </w:rPr>
      </w:pPr>
    </w:p>
    <w:p>
      <w:pPr>
        <w:ind w:left="700" w:hanging="368"/>
        <w:spacing w:after="0"/>
        <w:tabs>
          <w:tab w:leader="none" w:pos="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will cease vesting upon termination of the Optionee’s employment, as detailed in the paragraph above.</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Furthermore, the Optionee understands and freely accepts that there is no guarantee that any benefit whatsoever will arise from the Option, which is gratuitous and discretionary, since the future value of the Option and the underlying shares of Common Stock is unknown and unpredictable. In addition, the Optionee understands that the grant of the Option would not be made to the Optionee but for the assumptions and conditions referred to above; thus, the Optionee acknowledges and freely accepts that should any or all of the assumptions be mistaken or should any of the conditions not be met for any reason, then any grant to the Optionee of the Option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No “offer of securities to the public”, as defined under Spanish law, has taken place or will take place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Spanish territory. The Agreement (including this Appendix) has not been nor will it be registered with the </w:t>
      </w:r>
      <w:r>
        <w:rPr>
          <w:rFonts w:ascii="Times New Roman" w:cs="Times New Roman" w:eastAsia="Times New Roman" w:hAnsi="Times New Roman"/>
          <w:sz w:val="20"/>
          <w:szCs w:val="20"/>
          <w:i w:val="1"/>
          <w:iCs w:val="1"/>
          <w:color w:val="auto"/>
        </w:rPr>
        <w:t>Comisión Nacional del Mercado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 Valores</w:t>
      </w:r>
      <w:r>
        <w:rPr>
          <w:rFonts w:ascii="Times New Roman" w:cs="Times New Roman" w:eastAsia="Times New Roman" w:hAnsi="Times New Roman"/>
          <w:sz w:val="20"/>
          <w:szCs w:val="20"/>
          <w:color w:val="auto"/>
        </w:rPr>
        <w:t>, and does not constitute a public offering prospectus.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Optionee holds 10% or more of the Company’s share capital, the Optionee must declare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acquisition, ownership and disposition of shares of Common Stock to the Spanish </w:t>
      </w:r>
      <w:r>
        <w:rPr>
          <w:rFonts w:ascii="Times New Roman" w:cs="Times New Roman" w:eastAsia="Times New Roman" w:hAnsi="Times New Roman"/>
          <w:sz w:val="20"/>
          <w:szCs w:val="20"/>
          <w:i w:val="1"/>
          <w:iCs w:val="1"/>
          <w:color w:val="auto"/>
        </w:rPr>
        <w:t>Dirección General de Comercio e Inversiones</w:t>
      </w:r>
      <w:r>
        <w:rPr>
          <w:rFonts w:ascii="Times New Roman" w:cs="Times New Roman" w:eastAsia="Times New Roman" w:hAnsi="Times New Roman"/>
          <w:sz w:val="20"/>
          <w:szCs w:val="20"/>
          <w:color w:val="auto"/>
        </w:rPr>
        <w:t xml:space="preserve">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DGCI</w:t>
      </w:r>
      <w:r>
        <w:rPr>
          <w:rFonts w:ascii="Times New Roman" w:cs="Times New Roman" w:eastAsia="Times New Roman" w:hAnsi="Times New Roman"/>
          <w:sz w:val="20"/>
          <w:szCs w:val="20"/>
          <w:color w:val="auto"/>
        </w:rPr>
        <w:t>”) of the Ministry of Economy and Competitiveness. The declaration (via Form 6) must be made in January for shares of Common</w:t>
      </w:r>
    </w:p>
    <w:p>
      <w:pPr>
        <w:spacing w:after="0"/>
        <w:rPr>
          <w:sz w:val="20"/>
          <w:szCs w:val="20"/>
          <w:color w:val="auto"/>
        </w:rPr>
      </w:pPr>
      <w:r>
        <w:rPr>
          <w:rFonts w:ascii="Times New Roman" w:cs="Times New Roman" w:eastAsia="Times New Roman" w:hAnsi="Times New Roman"/>
          <w:sz w:val="20"/>
          <w:szCs w:val="20"/>
          <w:color w:val="auto"/>
        </w:rPr>
        <w:t>Stock acquired or disposed of during the prior calendar year and/or for shares of Common Stock owned as of December 31 of the prior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calendar year; provided, if the value of the shares of Common Stock acquired or sold exceeds a certain threshold (currently, €1,502,530),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declaration must be filed within one month of the acquisition or disposition of the shares of Common Stock, as applicable.</w:t>
      </w:r>
    </w:p>
    <w:p>
      <w:pPr>
        <w:spacing w:after="0" w:line="19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9"/>
          <w:szCs w:val="19"/>
          <w:color w:val="auto"/>
        </w:rPr>
        <w:t>In addition, the Optionee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Optionee by the Company) depending on the value of such accounts and instruments and the amount of the transactions during the relevant year as of December 31 of the relevant year.</w:t>
      </w:r>
    </w:p>
    <w:p>
      <w:pPr>
        <w:spacing w:after="0" w:line="17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Foreign Asset/Accounting Reporting Information. </w:t>
      </w:r>
      <w:r>
        <w:rPr>
          <w:rFonts w:ascii="Times New Roman" w:cs="Times New Roman" w:eastAsia="Times New Roman" w:hAnsi="Times New Roman"/>
          <w:sz w:val="20"/>
          <w:szCs w:val="20"/>
          <w:color w:val="auto"/>
        </w:rPr>
        <w:t>If the Optionee holds rights or 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of Common Stock or cash held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or brokerage account) outside Spain with a value in excess of a certain threshold (currently, €50,000) per type of right or asset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of Common Stock, cash, etc.) as of December 31 each year, the Optionee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a certain threshold (currently, €20,000), or if ownership of the asset is transferred or relinquished during the year. If the value of such rights and/or assets does not exceed a certain threshold (currently, €50,000), a summarized form of declaration may be presented. The Optionee should consult their personal tax advisor for details regarding this requirement.</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SWAZILAND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SWEDEN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Withholding Taxes. </w:t>
      </w:r>
      <w:r>
        <w:rPr>
          <w:rFonts w:ascii="Times New Roman" w:cs="Times New Roman" w:eastAsia="Times New Roman" w:hAnsi="Times New Roman"/>
          <w:sz w:val="20"/>
          <w:szCs w:val="20"/>
          <w:color w:val="auto"/>
        </w:rPr>
        <w:t>The following provision supplements paragraph 4 of the Agreement:</w:t>
      </w:r>
    </w:p>
    <w:p>
      <w:pPr>
        <w:spacing w:after="0" w:line="22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Without limiting the Company’s and the Employer’s authority to satisfy their withholding obligations for Tax-Related Items as set forth in paragraph 4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47</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40"/>
          </w:cols>
          <w:pgMar w:left="320" w:top="1409" w:right="4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SWITZERLAND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Option is not intended to be publicly offered in or from Switzerland and is therefore not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registration in Switzerland. Neither this document nor any other materials relating to the Option (i) constitutes a prospectus according 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TAIWAN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Data Privacy Consent. </w:t>
      </w:r>
      <w:r>
        <w:rPr>
          <w:rFonts w:ascii="Times New Roman" w:cs="Times New Roman" w:eastAsia="Times New Roman" w:hAnsi="Times New Roman"/>
          <w:sz w:val="19"/>
          <w:szCs w:val="19"/>
          <w:color w:val="auto"/>
        </w:rPr>
        <w:t>The Optionee hereby acknowledges that he or she has read and understood the terms regarding collection, processing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transfer of Data contained in paragraph 13 of the Agreement and by participating in the Plan, the Optionee agrees to such terms. In this regard, upon request of the Company or the Employer, the Optionee agrees to provide an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Option and the shares of Common Stock to be issued pursuant to the Plan are available only to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Mondelēz Group. The grant of the Option does not constitute a public offer of securities.</w:t>
      </w:r>
    </w:p>
    <w:p>
      <w:pPr>
        <w:spacing w:after="0" w:line="1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Optionee may acquire and remit foreign currency (including the Grant Price, proceeds from the sale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into and out of Taiwan up to a certain threshold (currently, US$10,000,000) per year. If the transaction amount equals or exceeds a certain threshold (currently, TWD$500,000) in a single transaction, the Optionee must submit a foreign exchange transaction form and also provide supporting documentation to the satisfaction of the remitting bank. The Optionee should consult his or her personal advisor to ensure compliance with applicable exchange control laws in Taiwan.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THAILAND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b w:val="1"/>
          <w:bCs w:val="1"/>
          <w:color w:val="auto"/>
        </w:rPr>
        <w:t>Cashless Exercise Restriction</w:t>
      </w:r>
      <w:r>
        <w:rPr>
          <w:rFonts w:ascii="Times New Roman" w:cs="Times New Roman" w:eastAsia="Times New Roman" w:hAnsi="Times New Roman"/>
          <w:sz w:val="20"/>
          <w:szCs w:val="20"/>
          <w:color w:val="auto"/>
        </w:rPr>
        <w:t>. Notwithstanding anything to the contrary in the Agreement, due to regulatory requirements in Thailand,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48</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96" w:name="page97"/>
    <w:bookmarkEnd w:id="96"/>
    <w:p>
      <w:pPr>
        <w:ind w:right="10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proceeds from the sale of shares of Common Stock are equal to or greater than a certain threshold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(currently, US$1,000,000) in a single transaction, the Optionee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Optionee must provide details of the transaction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identification information and purposes of the transaction) to the receiving bank.</w:t>
      </w:r>
    </w:p>
    <w:p>
      <w:pPr>
        <w:spacing w:after="0" w:line="183" w:lineRule="exact"/>
        <w:rPr>
          <w:sz w:val="20"/>
          <w:szCs w:val="20"/>
          <w:color w:val="auto"/>
        </w:rPr>
      </w:pPr>
    </w:p>
    <w:p>
      <w:pPr>
        <w:jc w:val="both"/>
        <w:ind w:right="40"/>
        <w:spacing w:after="0" w:line="278" w:lineRule="auto"/>
        <w:rPr>
          <w:sz w:val="20"/>
          <w:szCs w:val="20"/>
          <w:color w:val="auto"/>
        </w:rPr>
      </w:pPr>
      <w:r>
        <w:rPr>
          <w:rFonts w:ascii="Times New Roman" w:cs="Times New Roman" w:eastAsia="Times New Roman" w:hAnsi="Times New Roman"/>
          <w:sz w:val="19"/>
          <w:szCs w:val="19"/>
          <w:color w:val="auto"/>
        </w:rPr>
        <w:t>If the Optionee does not repatriate such funds and utilizes them offshore for permissible purposes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19"/>
          <w:szCs w:val="19"/>
          <w:color w:val="auto"/>
        </w:rPr>
        <w:t>, purposes not listed in the negative list prescribed by the Bank of Thailand), the Optioneee must obtain a waiver of the repatriation requirement from a commercial bank in Thailand by submitting an application and supporting documents evidencing that such funds will be utilized offshore for permissible purposes.</w:t>
      </w:r>
    </w:p>
    <w:p>
      <w:pPr>
        <w:spacing w:after="0" w:line="19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Optionee should consult their personal advisor prior to taking any action with respect to remittance of proceeds from the sale of shares of Common Stock into Thailand. The Optionee is responsible for ensuring compliance with all exchange control laws in Thailand.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TÜRKIYE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Under Turkish law, the Optionee is not permitted to sell shares of Common Stock acquired under the Plan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Turkey. The shares of Common Stock are currently traded on the Nasdaq Global Select Market, which is located outside Turkey and the shares of Common Stock may be sold through this exchange.</w:t>
      </w:r>
    </w:p>
    <w:p>
      <w:pPr>
        <w:spacing w:after="0" w:line="16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Optionee may be required to engage a Turkish financial intermediary to assist with the cash exercise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Option or the sale of shares of Common Stock acquired under the Plan. To the extent a Turkish financial intermediary is required in connection with the Option exercise or the sale of any shares of Common Stock acquired upon exercise of the Option, the Optionee is solely responsible for engaging such Turkish financial intermediary. The Optionee should consult their personal legal advisor prior to the exercise of Options or any sale of shares of Common Stock to ensure compliance with the current requirements.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UKRAINE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Cashless Exercise Restriction. </w:t>
      </w:r>
      <w:r>
        <w:rPr>
          <w:rFonts w:ascii="Times New Roman" w:cs="Times New Roman" w:eastAsia="Times New Roman" w:hAnsi="Times New Roman"/>
          <w:sz w:val="19"/>
          <w:szCs w:val="19"/>
          <w:color w:val="auto"/>
        </w:rPr>
        <w:t>Notwithstanding anything to the contrary in the Agreement, due to regulatory requirements in the Ukraine,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w:t>
      </w:r>
    </w:p>
    <w:p>
      <w:pPr>
        <w:spacing w:after="0" w:line="3" w:lineRule="exact"/>
        <w:rPr>
          <w:sz w:val="20"/>
          <w:szCs w:val="20"/>
          <w:color w:val="auto"/>
        </w:rPr>
      </w:pPr>
    </w:p>
    <w:p>
      <w:pPr>
        <w:ind w:right="760"/>
        <w:spacing w:after="0" w:line="267" w:lineRule="auto"/>
        <w:rPr>
          <w:sz w:val="20"/>
          <w:szCs w:val="20"/>
          <w:color w:val="auto"/>
        </w:rPr>
      </w:pPr>
      <w:r>
        <w:rPr>
          <w:rFonts w:ascii="Times New Roman" w:cs="Times New Roman" w:eastAsia="Times New Roman" w:hAnsi="Times New Roman"/>
          <w:sz w:val="20"/>
          <w:szCs w:val="20"/>
          <w:color w:val="auto"/>
        </w:rPr>
        <w:t>laws and regulations. The Company reserves the right to provide the Optionee with additional methods of exercise depending on the development of local law.</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UNITED ARAB EMIRATES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97" w:name="page98"/>
    <w:bookmarkEnd w:id="97"/>
    <w:p>
      <w:pPr>
        <w:ind w:right="320"/>
        <w:spacing w:after="0" w:line="255"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Participation in the Plan is being offered only to selected Optionees and is in the nature of providing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incentives to Optionees in the United Arab Emirates (“</w:t>
      </w:r>
      <w:r>
        <w:rPr>
          <w:rFonts w:ascii="Times New Roman" w:cs="Times New Roman" w:eastAsia="Times New Roman" w:hAnsi="Times New Roman"/>
          <w:sz w:val="21"/>
          <w:szCs w:val="21"/>
          <w:u w:val="single" w:color="auto"/>
          <w:color w:val="auto"/>
        </w:rPr>
        <w:t>UAE</w:t>
      </w:r>
      <w:r>
        <w:rPr>
          <w:rFonts w:ascii="Times New Roman" w:cs="Times New Roman" w:eastAsia="Times New Roman" w:hAnsi="Times New Roman"/>
          <w:sz w:val="20"/>
          <w:szCs w:val="20"/>
          <w:color w:val="auto"/>
        </w:rPr>
        <w:t>”). The Plan and the Agreement are intended for distribution only to such Optionees and must not be delivered to, or relied on by, any other person. Prospective purchasers of the securities offered should conduct their own due diligence on the securities.</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If the Optionee does not understand the contents of the Plan and the Agreement, the Optionee should consult an authorized financial adviser. The Emirates Securities and Commodities Authority has no responsibility for reviewing or verifying any documents in connection with the Plan. No other UAE authority or governmental agency has approved the Plan or the Agreement nor taken steps to verify the information set out therein, and have no responsibility for such documents.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 (“U.K.”)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Miscellaneous Definitions. </w:t>
      </w:r>
      <w:r>
        <w:rPr>
          <w:rFonts w:ascii="Times New Roman" w:cs="Times New Roman" w:eastAsia="Times New Roman" w:hAnsi="Times New Roman"/>
          <w:sz w:val="20"/>
          <w:szCs w:val="20"/>
          <w:color w:val="auto"/>
        </w:rPr>
        <w:t>The following provision replaces paragraph 15 of the Agreement:</w:t>
      </w:r>
    </w:p>
    <w:p>
      <w:pPr>
        <w:spacing w:after="0" w:line="233" w:lineRule="exact"/>
        <w:rPr>
          <w:sz w:val="20"/>
          <w:szCs w:val="20"/>
          <w:color w:val="auto"/>
        </w:rPr>
      </w:pPr>
    </w:p>
    <w:p>
      <w:pPr>
        <w:ind w:right="840"/>
        <w:spacing w:after="0" w:line="269" w:lineRule="auto"/>
        <w:rPr>
          <w:sz w:val="20"/>
          <w:szCs w:val="20"/>
          <w:color w:val="auto"/>
        </w:rPr>
      </w:pPr>
      <w:r>
        <w:rPr>
          <w:rFonts w:ascii="Times New Roman" w:cs="Times New Roman" w:eastAsia="Times New Roman" w:hAnsi="Times New Roman"/>
          <w:sz w:val="20"/>
          <w:szCs w:val="20"/>
          <w:color w:val="auto"/>
        </w:rPr>
        <w:t>For the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permanent and total disability as determined under the procedures established by the Company for purposes of the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Withholding Taxes. </w:t>
      </w:r>
      <w:r>
        <w:rPr>
          <w:rFonts w:ascii="Times New Roman" w:cs="Times New Roman" w:eastAsia="Times New Roman" w:hAnsi="Times New Roman"/>
          <w:sz w:val="20"/>
          <w:szCs w:val="20"/>
          <w:color w:val="auto"/>
        </w:rPr>
        <w:t>The following provision supplements paragraph 4 of the Agreement:</w:t>
      </w:r>
    </w:p>
    <w:p>
      <w:pPr>
        <w:spacing w:after="0" w:line="23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Without limitation to paragraph 4 of the Agreement, the Optionee hereby agrees that he or she is liable for all Tax-Related Items and hereby covenants to pay all such Tax-Related Items, as and when requested by the Company or the Employer, as applicable, or by HM Revenue &amp; Customs (“</w:t>
      </w:r>
      <w:r>
        <w:rPr>
          <w:rFonts w:ascii="Times New Roman" w:cs="Times New Roman" w:eastAsia="Times New Roman" w:hAnsi="Times New Roman"/>
          <w:sz w:val="20"/>
          <w:szCs w:val="20"/>
          <w:u w:val="single" w:color="auto"/>
          <w:color w:val="auto"/>
        </w:rPr>
        <w:t>HMRC</w:t>
      </w:r>
      <w:r>
        <w:rPr>
          <w:rFonts w:ascii="Times New Roman" w:cs="Times New Roman" w:eastAsia="Times New Roman" w:hAnsi="Times New Roman"/>
          <w:sz w:val="20"/>
          <w:szCs w:val="20"/>
          <w:color w:val="auto"/>
        </w:rPr>
        <w:t>”) (or any other tax authority or any other relevant authority). The Optionee also hereby agrees to indemnify and keep indemnified the Company and the Employer, as applicable, against any Tax-Related Items that they are required to pay or withhold or have paid or will pay to HMRC (or any other tax authority or any other relevant authority) on the Optionee’s behalf.</w:t>
      </w:r>
    </w:p>
    <w:p>
      <w:pPr>
        <w:spacing w:after="0" w:line="17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Notwithstanding the foregoing, if the Optionee is a director or executive officer of the Company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Optionee by any of the means referred to in paragraph 4 of the Agreement.</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In addition, the Optionee agrees that the Company and/or the Employer may calculate the Tax-Related Items to be withheld and accounted for by reference to the maximum applicable rates, without prejudice to any right the Optionee may have to recover any overpayment from the relevant tax authorities.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UNITED STATES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ALL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50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09"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Information</w:t>
      </w:r>
      <w:r>
        <w:rPr>
          <w:rFonts w:ascii="Times New Roman" w:cs="Times New Roman" w:eastAsia="Times New Roman" w:hAnsi="Times New Roman"/>
          <w:sz w:val="20"/>
          <w:szCs w:val="20"/>
          <w:color w:val="auto"/>
        </w:rPr>
        <w:t>. The Option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incentive stock option within the meaning of the Code.</w:t>
      </w:r>
    </w:p>
    <w:p>
      <w:pPr>
        <w:spacing w:after="0" w:line="2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b w:val="1"/>
          <w:bCs w:val="1"/>
          <w:color w:val="auto"/>
        </w:rPr>
        <w:t>Foreign Asset/Accounting Reporting Information</w:t>
      </w:r>
      <w:r>
        <w:rPr>
          <w:rFonts w:ascii="Times New Roman" w:cs="Times New Roman" w:eastAsia="Times New Roman" w:hAnsi="Times New Roman"/>
          <w:sz w:val="20"/>
          <w:szCs w:val="20"/>
          <w:color w:val="auto"/>
        </w:rPr>
        <w:t>. If the Optionee holds assets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0"/>
          <w:szCs w:val="20"/>
          <w:color w:val="auto"/>
        </w:rPr>
        <w:t>., Option or Common Stock) or other financial assets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account outside the United States and the aggregate amount of said assets is a certain threshold (currently, US$10,000) or more, the Optionee is required to submit a report of Foreign Bank and Financial Account with the United States Internal Revenue Service by June 30 of the year following the year in which the assets in the Optionee’s account meet the threshold.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CALIFORNIA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If the Optionee is a resident of California:</w:t>
      </w:r>
    </w:p>
    <w:p>
      <w:pPr>
        <w:spacing w:after="0" w:line="247" w:lineRule="exact"/>
        <w:rPr>
          <w:sz w:val="20"/>
          <w:szCs w:val="20"/>
          <w:color w:val="auto"/>
        </w:rPr>
      </w:pPr>
    </w:p>
    <w:p>
      <w:pPr>
        <w:ind w:left="660" w:right="60" w:hanging="328"/>
        <w:spacing w:after="0" w:line="295" w:lineRule="auto"/>
        <w:tabs>
          <w:tab w:leader="none" w:pos="66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Paragraph 6(a), which includes post-termination noncompetition, employee nonsolicitation and customer nonsolicitation restrictions, shall not apply. Paragraph 6(a) shall be deleted and the other sub-sections of paragraph 6 shall be renumbered accordingly.</w:t>
      </w:r>
    </w:p>
    <w:p>
      <w:pPr>
        <w:spacing w:after="0" w:line="178"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language shall be added as a new sub-section at the end of paragraph 6:</w:t>
      </w:r>
    </w:p>
    <w:p>
      <w:pPr>
        <w:spacing w:after="0" w:line="242" w:lineRule="exact"/>
        <w:rPr>
          <w:rFonts w:ascii="Times New Roman" w:cs="Times New Roman" w:eastAsia="Times New Roman" w:hAnsi="Times New Roman"/>
          <w:sz w:val="20"/>
          <w:szCs w:val="20"/>
          <w:color w:val="auto"/>
        </w:rPr>
      </w:pPr>
    </w:p>
    <w:p>
      <w:pPr>
        <w:ind w:left="660" w:right="4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is intended to interfere with the Optionee’s rights to discuss the Optionee’s wages and working conditions under the California Labor Code or the Optionee’s rights under California Code of Civil Procedure § 1670.11 or California Government Code § 12964.5. Moreover, nothing in this Agreement prevents the Optionee from discussing or disclosing information about unlawful acts in the workplace, such as harassment or discrimination or any other conduct that the Optionee has reason to believe is unlawful.</w:t>
      </w:r>
    </w:p>
    <w:p>
      <w:pPr>
        <w:spacing w:after="0" w:line="220" w:lineRule="exact"/>
        <w:rPr>
          <w:sz w:val="20"/>
          <w:szCs w:val="20"/>
          <w:color w:val="auto"/>
        </w:rPr>
      </w:pPr>
    </w:p>
    <w:p>
      <w:pPr>
        <w:ind w:left="660" w:right="360" w:hanging="328"/>
        <w:spacing w:after="0" w:line="269" w:lineRule="auto"/>
        <w:tabs>
          <w:tab w:leader="none" w:pos="65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during employment, the Optionee primarily resided in California, this Agreement shall be governed by California law and any disputes arising under this Agreement shall be heard in a California state or federal court.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Terms</w:t>
      </w:r>
      <w:r>
        <w:rPr>
          <w:rFonts w:ascii="Times New Roman" w:cs="Times New Roman" w:eastAsia="Times New Roman" w:hAnsi="Times New Roman"/>
          <w:sz w:val="20"/>
          <w:szCs w:val="20"/>
          <w:color w:val="auto"/>
        </w:rPr>
        <w:t>. This provision supplements paragraph 13 of the Agreement:</w:t>
      </w:r>
    </w:p>
    <w:p>
      <w:pPr>
        <w:spacing w:after="0" w:line="24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9"/>
          <w:szCs w:val="19"/>
          <w:color w:val="auto"/>
        </w:rPr>
        <w:t>Pursuant to applicable data protection laws, the Optionee is hereby notified that the Company collects, processes, uses and transfers certain personally-identifiable information about the Optionee for the exclusive legitimate purpose of administering the Plan and implementing,</w:t>
      </w:r>
    </w:p>
    <w:p>
      <w:pPr>
        <w:spacing w:after="0" w:line="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administering and managing your participation in the Plan. For California residents, the categories of personal,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Company does not sell the Optionee’s Personal Data or share it for cross-context behavioral advertising. If the Optionee would like a copy of the Company’s privacy policy, please contact a local human resources representative.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COLORADO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51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99" w:name="page100"/>
    <w:bookmarkEnd w:id="99"/>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If the Optionee is a resident of Colorado:</w:t>
      </w:r>
    </w:p>
    <w:p>
      <w:pPr>
        <w:spacing w:after="0" w:line="274" w:lineRule="exact"/>
        <w:rPr>
          <w:sz w:val="20"/>
          <w:szCs w:val="20"/>
          <w:color w:val="auto"/>
        </w:rPr>
      </w:pPr>
    </w:p>
    <w:p>
      <w:pPr>
        <w:ind w:left="660" w:right="100" w:hanging="328"/>
        <w:spacing w:after="0" w:line="242"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post-termination noncompetition restrictions in paragraph 6(a)(1) shall not apply unless the Optionee’s annualized cash compensation exceeds the statutory “highly compensated worker” threshold either at the time the Agreement is entered into or at the time of enforcement. The highly compensated worker threshold is US$127,091 for 2025 and is adjusted annually for inflation.</w:t>
      </w:r>
    </w:p>
    <w:p>
      <w:pPr>
        <w:spacing w:after="0" w:line="240" w:lineRule="exact"/>
        <w:rPr>
          <w:sz w:val="20"/>
          <w:szCs w:val="20"/>
          <w:color w:val="auto"/>
        </w:rPr>
      </w:pPr>
    </w:p>
    <w:p>
      <w:pPr>
        <w:ind w:left="660" w:right="140" w:hanging="328"/>
        <w:spacing w:after="0" w:line="245" w:lineRule="auto"/>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post-termination customer nonsolicitaton restrictions in paragraph 6(a)(3) shall not apply unless the Optionee’s annualized cash compensation exceeds 60% of the statutory “highly compensated worker threshold” (“</w:t>
      </w:r>
      <w:r>
        <w:rPr>
          <w:rFonts w:ascii="Times New Roman" w:cs="Times New Roman" w:eastAsia="Times New Roman" w:hAnsi="Times New Roman"/>
          <w:sz w:val="20"/>
          <w:szCs w:val="20"/>
          <w:u w:val="single" w:color="auto"/>
          <w:color w:val="auto"/>
        </w:rPr>
        <w:t>Nonsolicitation Compensation Threshold</w:t>
      </w:r>
      <w:r>
        <w:rPr>
          <w:rFonts w:ascii="Times New Roman" w:cs="Times New Roman" w:eastAsia="Times New Roman" w:hAnsi="Times New Roman"/>
          <w:sz w:val="20"/>
          <w:szCs w:val="20"/>
          <w:color w:val="auto"/>
        </w:rPr>
        <w:t>”) either at the time the Agreement is entered into or at the time of enforcement. The Nonsolicitation Compensation Threshold is US$76,254.60 for 2025.</w:t>
      </w:r>
    </w:p>
    <w:p>
      <w:pPr>
        <w:spacing w:after="0" w:line="225" w:lineRule="exact"/>
        <w:rPr>
          <w:sz w:val="20"/>
          <w:szCs w:val="20"/>
          <w:color w:val="auto"/>
        </w:rPr>
      </w:pPr>
    </w:p>
    <w:p>
      <w:pPr>
        <w:ind w:left="660" w:right="140" w:hanging="328"/>
        <w:spacing w:after="0" w:line="245"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Optionee acknowledges that the post-termination noncompetition and customer nonsolicitation restrictions in paragraph 6(a)(1) and 6(a)(3) of the Agreement are no broader than is reasonably necessary to protect the Employer’s trade secrets.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DISTRICT OF COLOMBIA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b w:val="1"/>
          <w:bCs w:val="1"/>
          <w:color w:val="auto"/>
        </w:rPr>
        <w:t>Restrictions and Covenants</w:t>
      </w:r>
      <w:r>
        <w:rPr>
          <w:rFonts w:ascii="Times New Roman" w:cs="Times New Roman" w:eastAsia="Times New Roman" w:hAnsi="Times New Roman"/>
          <w:sz w:val="19"/>
          <w:szCs w:val="19"/>
          <w:color w:val="auto"/>
        </w:rPr>
        <w:t>. If the Optionee is a resident of the District of Colombia, the post-termination noncompetition restrictions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paragraph 6(a)(1) shall not apply unless the Optionee’s compensation (including wages, bonus, commissions, vested stock and other payments in connection with employment) is reasonably expected to equal or exceed in a consecutive twelve (12) month period, or does equal or exceed in the consecutive twelve (12) month period preceding the date of the Optionee’s termination of employment with the Employer, the statutory threshold for a “highly compensated employee”, which is US$158,363 for 2025 and is adjusted annually for inflation.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ILLINOIS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If the Optionee is a resident of Illinois:</w:t>
      </w:r>
    </w:p>
    <w:p>
      <w:pPr>
        <w:spacing w:after="0" w:line="260" w:lineRule="exact"/>
        <w:rPr>
          <w:sz w:val="20"/>
          <w:szCs w:val="20"/>
          <w:color w:val="auto"/>
        </w:rPr>
      </w:pPr>
    </w:p>
    <w:p>
      <w:pPr>
        <w:ind w:left="660" w:right="20" w:hanging="328"/>
        <w:spacing w:after="0" w:line="254" w:lineRule="auto"/>
        <w:tabs>
          <w:tab w:leader="none" w:pos="66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post-termination noncompetition restrictions in paragraph 6(a)(1) shall not apply unless the Optionee’s annualized rate of earnings at the time the restrictions are entered into exceeds the statutory minimum, which is US$75,000 per year until December 31,</w:t>
      </w:r>
    </w:p>
    <w:p>
      <w:pPr>
        <w:spacing w:after="0" w:line="1" w:lineRule="exact"/>
        <w:rPr>
          <w:sz w:val="20"/>
          <w:szCs w:val="20"/>
          <w:color w:val="auto"/>
        </w:rPr>
      </w:pPr>
    </w:p>
    <w:p>
      <w:pPr>
        <w:ind w:left="660" w:right="20"/>
        <w:spacing w:after="0" w:line="241" w:lineRule="auto"/>
        <w:rPr>
          <w:sz w:val="20"/>
          <w:szCs w:val="20"/>
          <w:color w:val="auto"/>
        </w:rPr>
      </w:pPr>
      <w:r>
        <w:rPr>
          <w:rFonts w:ascii="Times New Roman" w:cs="Times New Roman" w:eastAsia="Times New Roman" w:hAnsi="Times New Roman"/>
          <w:sz w:val="20"/>
          <w:szCs w:val="20"/>
          <w:color w:val="auto"/>
        </w:rPr>
        <w:t>2026 and is scheduled to increase to US$80,000 per year on January 1, 2027, US$85,000 per year on January 1, 2032 and US$90,000 per year on January 1, 2037.</w:t>
      </w:r>
    </w:p>
    <w:p>
      <w:pPr>
        <w:spacing w:after="0" w:line="1" w:lineRule="exact"/>
        <w:rPr>
          <w:sz w:val="20"/>
          <w:szCs w:val="20"/>
          <w:color w:val="auto"/>
        </w:rPr>
      </w:pPr>
    </w:p>
    <w:p>
      <w:pPr>
        <w:ind w:left="660" w:right="380" w:hanging="328"/>
        <w:spacing w:after="0" w:line="264" w:lineRule="auto"/>
        <w:tabs>
          <w:tab w:leader="none" w:pos="6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post-termination employee nonsolicitation restrictions in paragraph 6(a)(2) and the post-termination customer nonsolicitaton restrictions in paragraph 6(a)(3) shall not apply unless the Optionee’s annualized rate of earnings at the time the restrictions are entered into exceed the statutory minimum, which is US$45,000 per year until December 31, 2026 and is scheduled to</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52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00" w:name="page101"/>
    <w:bookmarkEnd w:id="100"/>
    <w:p>
      <w:pPr>
        <w:ind w:left="660" w:right="220"/>
        <w:spacing w:after="0" w:line="269" w:lineRule="auto"/>
        <w:rPr>
          <w:sz w:val="20"/>
          <w:szCs w:val="20"/>
          <w:color w:val="auto"/>
        </w:rPr>
      </w:pPr>
      <w:r>
        <w:rPr>
          <w:rFonts w:ascii="Times New Roman" w:cs="Times New Roman" w:eastAsia="Times New Roman" w:hAnsi="Times New Roman"/>
          <w:sz w:val="20"/>
          <w:szCs w:val="20"/>
          <w:color w:val="auto"/>
        </w:rPr>
        <w:t>increase to US$47,500 per year on January 1, 2027, US$50,000 per year on January 1, 2032 and US$52,500 per year on January 1, 2037.</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MINNESOTA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If the Optionee is a resident of Minnesota, the post-termination noncompetition restrictions in paragraph 6(a)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shall not apply.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WASHINGTON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If the Optionee is a resident of Washington:</w:t>
      </w:r>
    </w:p>
    <w:p>
      <w:pPr>
        <w:spacing w:after="0" w:line="260" w:lineRule="exact"/>
        <w:rPr>
          <w:sz w:val="20"/>
          <w:szCs w:val="20"/>
          <w:color w:val="auto"/>
        </w:rPr>
      </w:pPr>
    </w:p>
    <w:p>
      <w:pPr>
        <w:jc w:val="both"/>
        <w:ind w:left="660" w:right="140" w:hanging="328"/>
        <w:spacing w:after="0" w:line="267" w:lineRule="auto"/>
        <w:tabs>
          <w:tab w:leader="none" w:pos="6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post-termination noncompetition restrictions in paragraph 6(a)(1) and the post-termination customer nonsolicitation restrictions in paragraph 6(a)(3) shall not apply unless the Optionee’s earnings from the Employer exceed the statutory threshold for Box 1 W-2 annual compensation, which is US$126,858.83 for 2026 and is adjusted annually for inflation (“</w:t>
      </w:r>
      <w:r>
        <w:rPr>
          <w:rFonts w:ascii="Times New Roman" w:cs="Times New Roman" w:eastAsia="Times New Roman" w:hAnsi="Times New Roman"/>
          <w:sz w:val="19"/>
          <w:szCs w:val="19"/>
          <w:u w:val="single" w:color="auto"/>
          <w:color w:val="auto"/>
        </w:rPr>
        <w:t>Earnings Threshold</w:t>
      </w:r>
      <w:r>
        <w:rPr>
          <w:rFonts w:ascii="Times New Roman" w:cs="Times New Roman" w:eastAsia="Times New Roman" w:hAnsi="Times New Roman"/>
          <w:sz w:val="19"/>
          <w:szCs w:val="19"/>
          <w:color w:val="auto"/>
        </w:rPr>
        <w:t>”).</w:t>
      </w:r>
    </w:p>
    <w:p>
      <w:pPr>
        <w:spacing w:after="0" w:line="204" w:lineRule="exact"/>
        <w:rPr>
          <w:sz w:val="20"/>
          <w:szCs w:val="20"/>
          <w:color w:val="auto"/>
        </w:rPr>
      </w:pPr>
    </w:p>
    <w:p>
      <w:pPr>
        <w:ind w:left="660" w:right="240" w:hanging="328"/>
        <w:spacing w:after="0" w:line="245" w:lineRule="auto"/>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Optionee agrees that if, at the time the Optionee signs this Agreement, the Optionee’s earnings do not exceed the Earnings Threshold, the post-termination noncompetition restrictions in paragraph 6(a)(1) and the post-termination customer nonsolicitation restrictions in paragraph 6(a)(3) will automatically become enforceable against the Optionee if and when the Optionee’s earnings exceed the Earnings Threshold.</w:t>
      </w:r>
    </w:p>
    <w:p>
      <w:pPr>
        <w:spacing w:after="0" w:line="212" w:lineRule="exact"/>
        <w:rPr>
          <w:sz w:val="20"/>
          <w:szCs w:val="20"/>
          <w:color w:val="auto"/>
        </w:rPr>
      </w:pPr>
    </w:p>
    <w:p>
      <w:pPr>
        <w:ind w:left="660" w:hanging="328"/>
        <w:spacing w:after="0" w:line="249" w:lineRule="auto"/>
        <w:tabs>
          <w:tab w:leader="none" w:pos="65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post-termination noncompetition restrictions in paragraph 6(a)(1) and the post-termination customer nonsolicitaton restrictions in paragraph 6(a)(3) shall not apply if the Optionee is terminated as the result of a layoff unless, during the period of enforcement, the Employer pays the Optionee compensation equivalent to the Optionee’s final base pay at the time of termination of employment minus the amount of any compensation the Optionee earns through employment after the end of the Optionee’s employment with the Employer, which the Optionee agrees to promptly disclose. For the purposes of this paragraph, “layoff” means termination of the Optionee’s employment by the Employer for reasons of the Employer’s insolvency or decline in business, the elimination of the Optionee’s position or other purely economic factors, and excludes termination of the Optionee’s employment due to the Optionee’s performance, misconduct or any other reason, whether with or without cause.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URUGUAY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Data Privacy Consent. </w:t>
      </w:r>
      <w:r>
        <w:rPr>
          <w:rFonts w:ascii="Times New Roman" w:cs="Times New Roman" w:eastAsia="Times New Roman" w:hAnsi="Times New Roman"/>
          <w:sz w:val="20"/>
          <w:szCs w:val="20"/>
          <w:color w:val="auto"/>
        </w:rPr>
        <w:t>The Optionee understands that the Data will be collected by the Company and will be transferred to the Company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905 West Fulton Market, Suite 200, Chicago, Illinois 60607, U.S.A. and/or any financial institutions or brokers involved in the management and administration of the Plan. The Optionee further understands that any of these entities may store the Data for purposes of administering the Optionee’s participation in the Plan.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VENEZUELA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53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0"/>
          <w:szCs w:val="20"/>
          <w:b w:val="1"/>
          <w:bCs w:val="1"/>
          <w:color w:val="auto"/>
        </w:rPr>
        <w:t>Investment Representation</w:t>
      </w:r>
      <w:r>
        <w:rPr>
          <w:rFonts w:ascii="Times New Roman" w:cs="Times New Roman" w:eastAsia="Times New Roman" w:hAnsi="Times New Roman"/>
          <w:sz w:val="20"/>
          <w:szCs w:val="20"/>
          <w:color w:val="auto"/>
        </w:rPr>
        <w:t>. As a condition of the grant of the Option, the Optionee acknowledges and agrees that any shares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the Optionee may acquire upon exercise of the Option are acquired as and intended to be an investment rather than for the resale of the shares of Common Stock and conversion of such shares into foreign currency.</w:t>
      </w:r>
    </w:p>
    <w:p>
      <w:pPr>
        <w:spacing w:after="0" w:line="16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b w:val="1"/>
          <w:bCs w:val="1"/>
          <w:color w:val="auto"/>
        </w:rPr>
        <w:t>Exchange Control Information</w:t>
      </w:r>
      <w:r>
        <w:rPr>
          <w:rFonts w:ascii="Times New Roman" w:cs="Times New Roman" w:eastAsia="Times New Roman" w:hAnsi="Times New Roman"/>
          <w:sz w:val="19"/>
          <w:szCs w:val="19"/>
          <w:color w:val="auto"/>
        </w:rPr>
        <w:t>. Exchange control restrictions may limit the ability to exercise the Option or remit funds into Venezuela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the receipt of the cash payment upon the cashless exercise of the Option or cash proceeds from the sale of shares of Common Stock acquired under the Plan. The Company reserves the right to further restrict the exercise of the Option or to amend or cancel the Option at any time in order to comply with the applicable exchange control laws in Venezuela. The Optionee is responsible for complying with exchange control laws in Venezuela and neither the Company nor the Employer will be liable for any fines or penalties resulting from the Optionee’s failure to comply with applicable laws. Because exchange control laws and regulations change frequently and without notice, the Optionee should consult with their personal legal advisor before accepting the Option to ensure compliance with current regulations.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Option granted under the Plan and the shares of Common Stock issued under the Plan are offered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 private, exclusive transaction and are not subject to Venezuelan government securities regulations. The Option granted under the Plan does not qualify as a public offering under the laws of the Bolivarian Republic of Venezuela and, therefore, it is not required to request the previous authorization of the National Superintendent of Securities.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VIETNAM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Cashless Exercise Restriction or Settlement in Cash. </w:t>
      </w:r>
      <w:r>
        <w:rPr>
          <w:rFonts w:ascii="Times New Roman" w:cs="Times New Roman" w:eastAsia="Times New Roman" w:hAnsi="Times New Roman"/>
          <w:sz w:val="19"/>
          <w:szCs w:val="19"/>
          <w:color w:val="auto"/>
        </w:rPr>
        <w:t>Notwithstanding anything to the contrary in the Agreement, due to exchange control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requirements in Vietnam, the 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Alternatively, when the Optionee exercises the Option, the Company may provide that the value of such Option will be paid to the Optionee</w:t>
      </w:r>
    </w:p>
    <w:p>
      <w:pPr>
        <w:spacing w:after="0" w:line="1" w:lineRule="exact"/>
        <w:rPr>
          <w:sz w:val="20"/>
          <w:szCs w:val="20"/>
          <w:color w:val="auto"/>
        </w:rPr>
      </w:pPr>
    </w:p>
    <w:p>
      <w:pPr>
        <w:jc w:val="both"/>
        <w:ind w:right="240"/>
        <w:spacing w:after="0" w:line="253" w:lineRule="auto"/>
        <w:rPr>
          <w:sz w:val="20"/>
          <w:szCs w:val="20"/>
          <w:color w:val="auto"/>
        </w:rPr>
      </w:pPr>
      <w:r>
        <w:rPr>
          <w:rFonts w:ascii="Times New Roman" w:cs="Times New Roman" w:eastAsia="Times New Roman" w:hAnsi="Times New Roman"/>
          <w:sz w:val="20"/>
          <w:szCs w:val="20"/>
          <w:color w:val="auto"/>
        </w:rPr>
        <w:t>in cash by the Employer and not by the Company. In such case, the amount of the cash payment shall be based on the Fair Market Value of the shares of Common Stock on the exercise date less the Grant Price and the Optionee will not be entitled to receive and/or hold shares of Common Stock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54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MONDELĒZ INTERNATIONAL,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2024 PERFORMANCE INCENTIVE PLAN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LONG-TERM INCENTIVE GRANT AGREEMENT</w:t>
      </w:r>
    </w:p>
    <w:p>
      <w:pPr>
        <w:spacing w:after="0" w:line="220" w:lineRule="exact"/>
        <w:rPr>
          <w:sz w:val="20"/>
          <w:szCs w:val="20"/>
          <w:color w:val="auto"/>
        </w:rPr>
      </w:pPr>
    </w:p>
    <w:p>
      <w:pPr>
        <w:ind w:right="80" w:firstLine="396"/>
        <w:spacing w:after="0" w:line="248" w:lineRule="auto"/>
        <w:rPr>
          <w:sz w:val="20"/>
          <w:szCs w:val="20"/>
          <w:color w:val="auto"/>
        </w:rPr>
      </w:pPr>
      <w:r>
        <w:rPr>
          <w:rFonts w:ascii="Times New Roman" w:cs="Times New Roman" w:eastAsia="Times New Roman" w:hAnsi="Times New Roman"/>
          <w:sz w:val="20"/>
          <w:szCs w:val="20"/>
          <w:color w:val="auto"/>
        </w:rPr>
        <w:t>MONDELĒZ INTERNATIONAL, INC., a Virginia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hereby grants to the individual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named in the Long-Term Incentive Grant Notice (the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 Long-Term Incentive Grant (the “</w:t>
      </w:r>
      <w:r>
        <w:rPr>
          <w:rFonts w:ascii="Times New Roman" w:cs="Times New Roman" w:eastAsia="Times New Roman" w:hAnsi="Times New Roman"/>
          <w:sz w:val="20"/>
          <w:szCs w:val="20"/>
          <w:u w:val="single" w:color="auto"/>
          <w:color w:val="auto"/>
        </w:rPr>
        <w:t>LTI Grant</w:t>
      </w:r>
      <w:r>
        <w:rPr>
          <w:rFonts w:ascii="Times New Roman" w:cs="Times New Roman" w:eastAsia="Times New Roman" w:hAnsi="Times New Roman"/>
          <w:sz w:val="20"/>
          <w:szCs w:val="20"/>
          <w:color w:val="auto"/>
        </w:rPr>
        <w:t>”) with respect to the Performance Cycle and Performance Goals set forth in the Notice, subject to the terms and provisions of the Notice, this Global Long-Term Incentive Grant Agreement, including any country-specific appendix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Mondelēz International, Inc. 2024 Performance Incentive Plan, as may be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Unless and until the Committee determines that an Award is payable with respect to the LTI Grant, in the manner set forth in paragraphs 4 or 5 hereof, the Participant shall have no right to payment based on the LTI Grant. Prior to payment of an Award based on the LTI Grant, the LTI Grant represents an unsecured obligation of the Company payable, if at all, from the general assets of the Company. All references to action of or approval by the Committee shall be deemed to include action of or approval by any other person(s) to whom the Committee has delegated authority to act.</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LTI Grant is subject to the following terms and conditions (including the country-specific terms set forth in Appendix A to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2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color w:val="auto"/>
        </w:rPr>
        <w:t>The Participant must either execute and deliver an acceptance of the terms set forth in this Agreement or electronically accept the terms set forth in this Agreement, in the manner and within a period specified by the Committee. The Committee may, in its sole discretion, cancel the LTI Grant if the Participant fails to accept this Agreement and related documents within the specified period or using the procedures for acceptance established by the Committee.</w:t>
      </w:r>
    </w:p>
    <w:p>
      <w:pPr>
        <w:spacing w:after="0" w:line="193" w:lineRule="exact"/>
        <w:rPr>
          <w:sz w:val="20"/>
          <w:szCs w:val="20"/>
          <w:color w:val="auto"/>
        </w:rPr>
      </w:pPr>
    </w:p>
    <w:p>
      <w:pPr>
        <w:ind w:right="680" w:firstLine="8"/>
        <w:spacing w:after="0" w:line="254" w:lineRule="auto"/>
        <w:tabs>
          <w:tab w:leader="none" w:pos="6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the Plan, the following terms shall have the meanings specified below, unless the context clearly indicates otherwise. The singular pronoun shall include the plural where the context so indicates. All capitalized terms used in this Agreement without definition shall have the same meaning as defined under the Plan and the Notice.</w:t>
      </w:r>
    </w:p>
    <w:p>
      <w:pPr>
        <w:spacing w:after="0" w:line="187" w:lineRule="exact"/>
        <w:rPr>
          <w:rFonts w:ascii="Times New Roman" w:cs="Times New Roman" w:eastAsia="Times New Roman" w:hAnsi="Times New Roman"/>
          <w:sz w:val="20"/>
          <w:szCs w:val="20"/>
          <w:color w:val="auto"/>
        </w:rPr>
      </w:pPr>
    </w:p>
    <w:p>
      <w:pPr>
        <w:ind w:right="140" w:firstLine="656"/>
        <w:spacing w:after="0" w:line="269" w:lineRule="auto"/>
        <w:tabs>
          <w:tab w:leader="none" w:pos="128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“Affiliate” means any entity that directly or indirectly through one or more intermediaries controls or is controlled by the Company, in each case, as determined by the Committee.</w:t>
      </w:r>
    </w:p>
    <w:p>
      <w:pPr>
        <w:spacing w:after="0" w:line="159" w:lineRule="exact"/>
        <w:rPr>
          <w:rFonts w:ascii="Times New Roman" w:cs="Times New Roman" w:eastAsia="Times New Roman" w:hAnsi="Times New Roman"/>
          <w:sz w:val="20"/>
          <w:szCs w:val="20"/>
          <w:color w:val="auto"/>
        </w:rPr>
      </w:pPr>
    </w:p>
    <w:p>
      <w:pPr>
        <w:ind w:right="20" w:firstLine="656"/>
        <w:spacing w:after="0" w:line="283" w:lineRule="auto"/>
        <w:tabs>
          <w:tab w:leader="none" w:pos="128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“Disability” means permanent and total disability as determined under procedures established by the Company for purposes of the Plan.</w:t>
      </w:r>
    </w:p>
    <w:p>
      <w:pPr>
        <w:spacing w:after="0" w:line="146" w:lineRule="exact"/>
        <w:rPr>
          <w:rFonts w:ascii="Times New Roman" w:cs="Times New Roman" w:eastAsia="Times New Roman" w:hAnsi="Times New Roman"/>
          <w:sz w:val="20"/>
          <w:szCs w:val="20"/>
          <w:color w:val="auto"/>
        </w:rPr>
      </w:pPr>
    </w:p>
    <w:p>
      <w:pPr>
        <w:ind w:right="120" w:firstLine="656"/>
        <w:spacing w:after="0" w:line="267" w:lineRule="auto"/>
        <w:tabs>
          <w:tab w:leader="none" w:pos="1286"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LTI Award Payout</w:t>
      </w:r>
      <w:r>
        <w:rPr>
          <w:rFonts w:ascii="Times New Roman" w:cs="Times New Roman" w:eastAsia="Times New Roman" w:hAnsi="Times New Roman"/>
          <w:sz w:val="19"/>
          <w:szCs w:val="19"/>
          <w:color w:val="auto"/>
        </w:rPr>
        <w:t>. “LTI Award Payout” means the number of shares of Common Stock (if the Award is settled in shares) or the amount (if the Award is settled in cash) in either case with the value determined as the product of (a) the LTI Grant Target multiplied by</w:t>
      </w:r>
    </w:p>
    <w:p>
      <w:pPr>
        <w:spacing w:after="0" w:line="1" w:lineRule="exact"/>
        <w:rPr>
          <w:rFonts w:ascii="Times New Roman" w:cs="Times New Roman" w:eastAsia="Times New Roman" w:hAnsi="Times New Roman"/>
          <w:sz w:val="19"/>
          <w:szCs w:val="19"/>
          <w:color w:val="auto"/>
        </w:rPr>
      </w:pPr>
    </w:p>
    <w:p>
      <w:pPr>
        <w:ind w:right="64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the Performance Goal Attainment Factor (subject to the Committee’s discretion specified in paragraph 4(c)), and, in the case of a Participant who terminates employment before the last day of the Performance Cycle and is otherwise eligible for a pro rata payout in accordance with the terms of this Agreement, further multiplied by (c) the Participation Period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369" w:right="339" w:bottom="1440" w:gutter="0" w:footer="0" w:header="0"/>
        </w:sectPr>
      </w:pPr>
    </w:p>
    <w:bookmarkStart w:id="103" w:name="page104"/>
    <w:bookmarkEnd w:id="103"/>
    <w:p>
      <w:pPr>
        <w:ind w:left="1300" w:hanging="644"/>
        <w:spacing w:after="0"/>
        <w:tabs>
          <w:tab w:leader="none" w:pos="1300"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LTI Grant Target</w:t>
      </w:r>
      <w:r>
        <w:rPr>
          <w:rFonts w:ascii="Times New Roman" w:cs="Times New Roman" w:eastAsia="Times New Roman" w:hAnsi="Times New Roman"/>
          <w:sz w:val="19"/>
          <w:szCs w:val="19"/>
          <w:color w:val="auto"/>
        </w:rPr>
        <w:t>. “LTI Grant Target” means the target number of shares of Common Stock or amount set forth in the Notice.</w:t>
      </w:r>
    </w:p>
    <w:p>
      <w:pPr>
        <w:spacing w:after="0" w:line="227"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Maximum Goal Factor</w:t>
      </w:r>
      <w:r>
        <w:rPr>
          <w:rFonts w:ascii="Times New Roman" w:cs="Times New Roman" w:eastAsia="Times New Roman" w:hAnsi="Times New Roman"/>
          <w:sz w:val="20"/>
          <w:szCs w:val="20"/>
          <w:color w:val="auto"/>
        </w:rPr>
        <w:t>. “Maximum Goal Factor” means the maximum percentage set forth in the Notice.</w:t>
      </w:r>
    </w:p>
    <w:p>
      <w:pPr>
        <w:spacing w:after="0" w:line="229" w:lineRule="exact"/>
        <w:rPr>
          <w:rFonts w:ascii="Times New Roman" w:cs="Times New Roman" w:eastAsia="Times New Roman" w:hAnsi="Times New Roman"/>
          <w:sz w:val="20"/>
          <w:szCs w:val="20"/>
          <w:color w:val="auto"/>
        </w:rPr>
      </w:pPr>
    </w:p>
    <w:p>
      <w:pPr>
        <w:ind w:right="60" w:firstLine="656"/>
        <w:spacing w:after="0" w:line="254" w:lineRule="auto"/>
        <w:tabs>
          <w:tab w:leader="none" w:pos="1291"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 Period Factor</w:t>
      </w:r>
      <w:r>
        <w:rPr>
          <w:rFonts w:ascii="Times New Roman" w:cs="Times New Roman" w:eastAsia="Times New Roman" w:hAnsi="Times New Roman"/>
          <w:sz w:val="20"/>
          <w:szCs w:val="20"/>
          <w:color w:val="auto"/>
        </w:rPr>
        <w:t>. “Participation Period Factor” means a fraction, the numerator of which is the number of months (including partial months, rounded up to the next whole month) the Participant participates during the Performance Cycle and the denominator of which is the number of months in the Performance Cycle. The Committee, in its sole discretion, may adjust the Participation Period Factor.</w:t>
      </w:r>
    </w:p>
    <w:p>
      <w:pPr>
        <w:spacing w:after="0" w:line="173"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Cycle</w:t>
      </w:r>
      <w:r>
        <w:rPr>
          <w:rFonts w:ascii="Times New Roman" w:cs="Times New Roman" w:eastAsia="Times New Roman" w:hAnsi="Times New Roman"/>
          <w:sz w:val="20"/>
          <w:szCs w:val="20"/>
          <w:color w:val="auto"/>
        </w:rPr>
        <w:t>. “Performance Cycle” means the performance period set forth in the Notice over which the attainment of the Performance Goals will be measured for the purpose of determining the LTI Award Payout.</w:t>
      </w:r>
    </w:p>
    <w:p>
      <w:pPr>
        <w:spacing w:after="0" w:line="172" w:lineRule="exact"/>
        <w:rPr>
          <w:rFonts w:ascii="Times New Roman" w:cs="Times New Roman" w:eastAsia="Times New Roman" w:hAnsi="Times New Roman"/>
          <w:sz w:val="20"/>
          <w:szCs w:val="20"/>
          <w:color w:val="auto"/>
        </w:rPr>
      </w:pPr>
    </w:p>
    <w:p>
      <w:pPr>
        <w:ind w:right="240" w:firstLine="656"/>
        <w:spacing w:after="0" w:line="269" w:lineRule="auto"/>
        <w:tabs>
          <w:tab w:leader="none" w:pos="128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Goal Attainment Factor</w:t>
      </w:r>
      <w:r>
        <w:rPr>
          <w:rFonts w:ascii="Times New Roman" w:cs="Times New Roman" w:eastAsia="Times New Roman" w:hAnsi="Times New Roman"/>
          <w:sz w:val="20"/>
          <w:szCs w:val="20"/>
          <w:color w:val="auto"/>
        </w:rPr>
        <w:t>. “Performance Goal Attainment Factor” means a percentage ranging from 0% to the Maximum Goal Factor representing the level at which the Performance Goals have been attained as determined by the Committee.</w:t>
      </w:r>
    </w:p>
    <w:p>
      <w:pPr>
        <w:spacing w:after="0" w:line="159" w:lineRule="exact"/>
        <w:rPr>
          <w:rFonts w:ascii="Times New Roman" w:cs="Times New Roman" w:eastAsia="Times New Roman" w:hAnsi="Times New Roman"/>
          <w:sz w:val="20"/>
          <w:szCs w:val="20"/>
          <w:color w:val="auto"/>
        </w:rPr>
      </w:pPr>
    </w:p>
    <w:p>
      <w:pPr>
        <w:ind w:right="260" w:firstLine="656"/>
        <w:spacing w:after="0" w:line="254" w:lineRule="auto"/>
        <w:tabs>
          <w:tab w:leader="none" w:pos="129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“Retirement” means, unless otherwise determined by the Committee, in its sole discretion, the termination of employment on or after either (i) the date the Participant is age 55 or older with at least ten (10) or more years of active continuous employment with the Mondelēz Group or (ii) the date the Participant is age 65 or older with at least five (5) or more years of active continuous employment with the Mondelēz Group.</w:t>
      </w:r>
    </w:p>
    <w:p>
      <w:pPr>
        <w:spacing w:after="0" w:line="187" w:lineRule="exact"/>
        <w:rPr>
          <w:rFonts w:ascii="Times New Roman" w:cs="Times New Roman" w:eastAsia="Times New Roman" w:hAnsi="Times New Roman"/>
          <w:sz w:val="20"/>
          <w:szCs w:val="20"/>
          <w:color w:val="auto"/>
        </w:rPr>
      </w:pPr>
    </w:p>
    <w:p>
      <w:pPr>
        <w:jc w:val="both"/>
        <w:ind w:right="340" w:firstLine="8"/>
        <w:spacing w:after="0" w:line="254" w:lineRule="auto"/>
        <w:tabs>
          <w:tab w:leader="none" w:pos="64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LTI Grant is subject to the terms and conditions of the Plan, which is incorporated herein by reference. In the event of any inconsistency between the Plan and this Agreement, the terms of the Plan shall control except as otherwise expressly set forth in this Agreement.</w:t>
      </w:r>
    </w:p>
    <w:p>
      <w:pPr>
        <w:spacing w:after="0" w:line="174"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Forfeiture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right="180" w:firstLine="656"/>
        <w:spacing w:after="0" w:line="250" w:lineRule="auto"/>
        <w:tabs>
          <w:tab w:leader="none" w:pos="128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Except as expressly provided in this Agreement, if the Committee determines that the Performance Goals for the Performance Cycle have been met, the Participant is continuously and actively employed by a member of the Mondelēz Group from the Grant Date until the shares of Common Stock are distributed (unless the Committee determines otherwise or in connection with the Participant’s Retirement, death or Disability), and the other terms and conditions set forth in the Plan have been satisfied, an Award will be made to the Participant based on the Participant’s LTI Award Payout.</w:t>
      </w:r>
    </w:p>
    <w:p>
      <w:pPr>
        <w:spacing w:after="0" w:line="206" w:lineRule="exact"/>
        <w:rPr>
          <w:rFonts w:ascii="Times New Roman" w:cs="Times New Roman" w:eastAsia="Times New Roman" w:hAnsi="Times New Roman"/>
          <w:sz w:val="20"/>
          <w:szCs w:val="20"/>
          <w:color w:val="auto"/>
        </w:rPr>
      </w:pPr>
    </w:p>
    <w:p>
      <w:pPr>
        <w:ind w:right="80" w:firstLine="656"/>
        <w:spacing w:after="0" w:line="249" w:lineRule="auto"/>
        <w:tabs>
          <w:tab w:leader="none" w:pos="128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w:t>
      </w:r>
      <w:r>
        <w:rPr>
          <w:rFonts w:ascii="Times New Roman" w:cs="Times New Roman" w:eastAsia="Times New Roman" w:hAnsi="Times New Roman"/>
          <w:sz w:val="20"/>
          <w:szCs w:val="20"/>
          <w:color w:val="auto"/>
        </w:rPr>
        <w:t>. Unless determined otherwise by the Committee or except as expressly provided in this Agreement, if the Participant has not been continuously and actively employed with a member of the Mondelēz Group that employs the Participant (the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from the date of the Notice through the last date of the Performance Cycle or if the Participant is not an employee in good standing with the Employer on the date of payment described in paragraph 4(a) hereof, the LTI Grant will be forfeited immediately and without any further action by the Company or the Committee. For purposes of the preceding sentence, the Participant will not be considered to be continuously and actively employed with the Employer once he or she has stopped providing services, notwithstanding any notice period mandated under the employment laws of the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80"/>
          </w:cols>
          <w:pgMar w:left="320" w:top="1440" w:right="399" w:bottom="1440" w:gutter="0" w:footer="0" w:header="0"/>
        </w:sectPr>
      </w:pPr>
    </w:p>
    <w:bookmarkStart w:id="104" w:name="page105"/>
    <w:bookmarkEnd w:id="104"/>
    <w:p>
      <w:pPr>
        <w:ind w:right="80"/>
        <w:spacing w:after="0" w:line="251" w:lineRule="auto"/>
        <w:rPr>
          <w:sz w:val="20"/>
          <w:szCs w:val="20"/>
          <w:color w:val="auto"/>
        </w:rPr>
      </w:pPr>
      <w:r>
        <w:rPr>
          <w:rFonts w:ascii="Times New Roman" w:cs="Times New Roman" w:eastAsia="Times New Roman" w:hAnsi="Times New Roman"/>
          <w:sz w:val="20"/>
          <w:szCs w:val="20"/>
          <w:color w:val="auto"/>
        </w:rPr>
        <w:t>where the Participant resides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active employment would not include a period of “garden leave” or similar period pursuant to the employment laws of the country where the Participant resides), unless otherwise determined by the Company on a country-by-country basis. Unless otherwise determined by the Committee, a leave of absence shall not constitute a termination of continuous service. The Committee has the exclusive discretion to determine when a Participant is no longer actively employed for purposes of the LTI Grant, subject to compliance with Section 409A of the Code.</w:t>
      </w:r>
    </w:p>
    <w:p>
      <w:pPr>
        <w:spacing w:after="0" w:line="192" w:lineRule="exact"/>
        <w:rPr>
          <w:sz w:val="20"/>
          <w:szCs w:val="20"/>
          <w:color w:val="auto"/>
        </w:rPr>
      </w:pPr>
    </w:p>
    <w:p>
      <w:pPr>
        <w:ind w:firstLine="1304"/>
        <w:spacing w:after="0" w:line="254" w:lineRule="auto"/>
        <w:tabs>
          <w:tab w:leader="none" w:pos="194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If the Participant terminates active employment with the Mondelēz Group due to Disability, the vesting of the LTI Grant will occur on a pro rata basis calculated pursuant to paragraph 1(c) of this Agreement. The LTI Award Payout will be made to the Participant by using a Performance Goal Attainment Factor equal to 100%, subject to compliance with the payment timing provisions set forth in paragraph 4(a)(iii) hereof.</w:t>
      </w:r>
    </w:p>
    <w:p>
      <w:pPr>
        <w:spacing w:after="0" w:line="173" w:lineRule="exact"/>
        <w:rPr>
          <w:rFonts w:ascii="Times New Roman" w:cs="Times New Roman" w:eastAsia="Times New Roman" w:hAnsi="Times New Roman"/>
          <w:sz w:val="20"/>
          <w:szCs w:val="20"/>
          <w:color w:val="auto"/>
        </w:rPr>
      </w:pPr>
    </w:p>
    <w:p>
      <w:pPr>
        <w:ind w:right="80" w:firstLine="1304"/>
        <w:spacing w:after="0" w:line="261" w:lineRule="auto"/>
        <w:tabs>
          <w:tab w:leader="none" w:pos="199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color w:val="auto"/>
        </w:rPr>
        <w:t>. If the Participant dies, the restrictions on the LTI Grant shall lapse and the LTI Grant shall become fully vested on the date of the Participant’s death. The LTI Award Payout will be made to the Participant by using a Performance Goal Attainment Factor equal to 100%, subject to compliance with the payment timing provisions set forth in paragraph 4(a)(iii) hereof.</w:t>
      </w:r>
    </w:p>
    <w:p>
      <w:pPr>
        <w:spacing w:after="0" w:line="194" w:lineRule="exact"/>
        <w:rPr>
          <w:rFonts w:ascii="Times New Roman" w:cs="Times New Roman" w:eastAsia="Times New Roman" w:hAnsi="Times New Roman"/>
          <w:sz w:val="20"/>
          <w:szCs w:val="20"/>
          <w:color w:val="auto"/>
        </w:rPr>
      </w:pPr>
    </w:p>
    <w:p>
      <w:pPr>
        <w:ind w:firstLine="1304"/>
        <w:spacing w:after="0" w:line="248" w:lineRule="auto"/>
        <w:tabs>
          <w:tab w:leader="none" w:pos="194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Retirement. If a Participant terminates active employment with the Mondelēz Group prior to the potential payment of an Award as a result of the Participant’s Retirement and the LTI Grant is not otherwise accounted for, or included in, the Participant’s severance or retirement arrangement with the Mondelēz Group and the Participant timely executes a general release and waiver of claims in a form and manner determined by the Company in its sole discretion, then, unless otherwise determined by the Committee:</w:t>
      </w:r>
    </w:p>
    <w:p>
      <w:pPr>
        <w:spacing w:after="0" w:line="2" w:lineRule="exact"/>
        <w:rPr>
          <w:rFonts w:ascii="Times New Roman" w:cs="Times New Roman" w:eastAsia="Times New Roman" w:hAnsi="Times New Roman"/>
          <w:sz w:val="20"/>
          <w:szCs w:val="20"/>
          <w:color w:val="auto"/>
        </w:rPr>
      </w:pPr>
    </w:p>
    <w:p>
      <w:pPr>
        <w:jc w:val="both"/>
        <w:ind w:right="220" w:firstLine="1952"/>
        <w:spacing w:after="0" w:line="246" w:lineRule="auto"/>
        <w:tabs>
          <w:tab w:leader="none" w:pos="258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that the Participant’s Retirement occurs because the Participant is age 65 or older with at least five (5) or more years of active continuous employment with the Mondelēz Group and the Retirement date occurs on or after the 181st day following the Grant Date, the Participant shall remain eligible to receive a LTI Award Payout with a Participation Period Factor equal to 100% (the LTI Award Payout will not be prorated) based on actual attainment of the Performance Goals, payable in accordance with the payment timing provisions set forth in paragraph 4(a)(iii) hereof</w:t>
      </w:r>
      <w:r>
        <w:rPr>
          <w:rFonts w:ascii="Times New Roman" w:cs="Times New Roman" w:eastAsia="Times New Roman" w:hAnsi="Times New Roman"/>
          <w:sz w:val="21"/>
          <w:szCs w:val="21"/>
          <w:color w:val="auto"/>
        </w:rPr>
        <w:t>.</w:t>
      </w:r>
    </w:p>
    <w:p>
      <w:pPr>
        <w:spacing w:after="0" w:line="191" w:lineRule="exact"/>
        <w:rPr>
          <w:rFonts w:ascii="Times New Roman" w:cs="Times New Roman" w:eastAsia="Times New Roman" w:hAnsi="Times New Roman"/>
          <w:sz w:val="18"/>
          <w:szCs w:val="18"/>
          <w:color w:val="auto"/>
        </w:rPr>
      </w:pPr>
    </w:p>
    <w:p>
      <w:pPr>
        <w:jc w:val="both"/>
        <w:ind w:right="60" w:firstLine="1952"/>
        <w:spacing w:after="0" w:line="250" w:lineRule="auto"/>
        <w:tabs>
          <w:tab w:leader="none" w:pos="258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that the Participant’s Retirement occurs because the Participant is age 55 or older with at least ten (10) or more years of active continuous employment with the Mondelēz Group and the Retirement date occurs on or after the 181st day following the Grant Date, the Participant shall remain eligible to receive a prorated LTI Award Payout (calculated pursuant to paragraph 1(c) of this Agreement) based on actual attainment of the Performance Goals, payable in accordance with the payment timing provisions set forth in paragraph 4(a)(iii) hereof.</w:t>
      </w:r>
    </w:p>
    <w:p>
      <w:pPr>
        <w:spacing w:after="0" w:line="1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For the purposes of this paragraph 3(b), any prorated LTI Award Payout will be calculated by applying the Participant’s Participation Period Factor as determined in the sole discretion of the Committee, subject to compliance with the payment timing provisions set forth in paragraph 4 hereof.</w:t>
      </w:r>
    </w:p>
    <w:p>
      <w:pPr>
        <w:spacing w:after="0" w:line="16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Notwithstanding the above, if the Committee receives an opinion of counsel that there has been a legal judgment and/or legal development in the Participant’s jurisdiction that likely would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36" w:right="359" w:bottom="1440" w:gutter="0" w:footer="0" w:header="0"/>
        </w:sectPr>
      </w:pPr>
    </w:p>
    <w:bookmarkStart w:id="105" w:name="page106"/>
    <w:bookmarkEnd w:id="105"/>
    <w:p>
      <w:pPr>
        <w:ind w:right="260"/>
        <w:spacing w:after="0" w:line="281" w:lineRule="auto"/>
        <w:rPr>
          <w:sz w:val="20"/>
          <w:szCs w:val="20"/>
          <w:color w:val="auto"/>
        </w:rPr>
      </w:pPr>
      <w:r>
        <w:rPr>
          <w:rFonts w:ascii="Times New Roman" w:cs="Times New Roman" w:eastAsia="Times New Roman" w:hAnsi="Times New Roman"/>
          <w:sz w:val="19"/>
          <w:szCs w:val="19"/>
          <w:color w:val="auto"/>
        </w:rPr>
        <w:t>the favorable treatment on Retirement described in this section that applies to the LTI Grant being deemed unlawful and/or discriminatory, then the Company will not apply the favorable Retirement treatment at the time of the termination and the LTI Grant will be treated as it would under the rules that apply if the Participant’s employment is terminated for reasons other than Retirement, death or Disability.</w:t>
      </w:r>
    </w:p>
    <w:p>
      <w:pPr>
        <w:spacing w:after="0" w:line="151"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and Time of Payment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firstLine="1304"/>
        <w:spacing w:after="0" w:line="266" w:lineRule="auto"/>
        <w:tabs>
          <w:tab w:leader="none" w:pos="1942" w:val="left"/>
        </w:tabs>
        <w:numPr>
          <w:ilvl w:val="2"/>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Form of Payment</w:t>
      </w:r>
      <w:r>
        <w:rPr>
          <w:rFonts w:ascii="Times New Roman" w:cs="Times New Roman" w:eastAsia="Times New Roman" w:hAnsi="Times New Roman"/>
          <w:sz w:val="19"/>
          <w:szCs w:val="19"/>
          <w:color w:val="auto"/>
        </w:rPr>
        <w:t>. Subject to the terms of the Plan, the Notice and this Agreement, and except as otherwise expressly provided and subject to the terms of this Agreement (including Appendix A hereto), any Award that becomes payable in accordance with paragraph 3 hereof shall be paid in whole shares of Common Stock, which shall be issued in book-entry form, registered in the Participant’s name. In the event the LTI Award Payout results in less than a whole number of shares of Common Stock, the LTI Award Payout shall be rounded up to the next whole share of Common Stock (no fractional shares of Common Stock shall be issued in payment of an Award).</w:t>
      </w:r>
    </w:p>
    <w:p>
      <w:pPr>
        <w:spacing w:after="0" w:line="166" w:lineRule="exact"/>
        <w:rPr>
          <w:rFonts w:ascii="Times New Roman" w:cs="Times New Roman" w:eastAsia="Times New Roman" w:hAnsi="Times New Roman"/>
          <w:sz w:val="19"/>
          <w:szCs w:val="19"/>
          <w:color w:val="auto"/>
        </w:rPr>
      </w:pPr>
    </w:p>
    <w:p>
      <w:pPr>
        <w:ind w:right="80" w:firstLine="1304"/>
        <w:spacing w:after="0" w:line="254" w:lineRule="auto"/>
        <w:tabs>
          <w:tab w:leader="none" w:pos="1943"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Performance Goal Attainment Factor Determination</w:t>
      </w:r>
      <w:r>
        <w:rPr>
          <w:rFonts w:ascii="Times New Roman" w:cs="Times New Roman" w:eastAsia="Times New Roman" w:hAnsi="Times New Roman"/>
          <w:sz w:val="20"/>
          <w:szCs w:val="20"/>
          <w:color w:val="auto"/>
        </w:rPr>
        <w:t>. Following the completion of the Performance Cycle and, subject to paragraphs 3(b)(i)-(ii) and paragraph 5 hereof, prior to the payment of an Award, the Committee shall certify in writing whether the applicable Performance Goals were achieved for the Performance Cycle and shall determine the Performance Goal Attainment Factor with respect to the Award.</w:t>
      </w:r>
    </w:p>
    <w:p>
      <w:pPr>
        <w:spacing w:after="0" w:line="187"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Timing</w:t>
      </w:r>
      <w:r>
        <w:rPr>
          <w:rFonts w:ascii="Times New Roman" w:cs="Times New Roman" w:eastAsia="Times New Roman" w:hAnsi="Times New Roman"/>
          <w:sz w:val="19"/>
          <w:szCs w:val="19"/>
          <w:color w:val="auto"/>
        </w:rPr>
        <w:t>. Subject to the terms of this Agreement, including paragraph 22, the Award shall be paid as follows:</w:t>
      </w:r>
    </w:p>
    <w:p>
      <w:pPr>
        <w:spacing w:after="0" w:line="227" w:lineRule="exact"/>
        <w:rPr>
          <w:rFonts w:ascii="Times New Roman" w:cs="Times New Roman" w:eastAsia="Times New Roman" w:hAnsi="Times New Roman"/>
          <w:sz w:val="19"/>
          <w:szCs w:val="19"/>
          <w:color w:val="auto"/>
        </w:rPr>
      </w:pPr>
    </w:p>
    <w:p>
      <w:pPr>
        <w:ind w:right="20" w:firstLine="1952"/>
        <w:spacing w:after="0" w:line="250" w:lineRule="auto"/>
        <w:tabs>
          <w:tab w:leader="none" w:pos="2585"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LTI Award Payout, including a payout upon a Participant’s Retirement described under paragraph 3(b) (iii)(A) hereof or paragraph 3(b)(iii)(B) hereof shall be paid as soon as practicable between January 1 and March 15 of the calendar year immediately following or coinciding with the end of the Performance Cycle following the date the Committee determines that the Performance Goals for the Performance Cycle have been attained and determines an LTI Grant has vested and is payable for the Performance Cycle.</w:t>
      </w:r>
    </w:p>
    <w:p>
      <w:pPr>
        <w:spacing w:after="0" w:line="179" w:lineRule="exact"/>
        <w:rPr>
          <w:rFonts w:ascii="Times New Roman" w:cs="Times New Roman" w:eastAsia="Times New Roman" w:hAnsi="Times New Roman"/>
          <w:sz w:val="18"/>
          <w:szCs w:val="18"/>
          <w:color w:val="auto"/>
        </w:rPr>
      </w:pPr>
    </w:p>
    <w:p>
      <w:pPr>
        <w:ind w:right="360" w:firstLine="1952"/>
        <w:spacing w:after="0" w:line="283" w:lineRule="auto"/>
        <w:tabs>
          <w:tab w:leader="none" w:pos="2589"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Award that becomes payable under paragraph 3(b)(ii) hereof in connection with a Participant’s death shall be paid within 75 days following the Participant’s death.</w:t>
      </w:r>
    </w:p>
    <w:p>
      <w:pPr>
        <w:spacing w:after="0" w:line="146" w:lineRule="exact"/>
        <w:rPr>
          <w:rFonts w:ascii="Times New Roman" w:cs="Times New Roman" w:eastAsia="Times New Roman" w:hAnsi="Times New Roman"/>
          <w:sz w:val="18"/>
          <w:szCs w:val="18"/>
          <w:color w:val="auto"/>
        </w:rPr>
      </w:pPr>
    </w:p>
    <w:p>
      <w:pPr>
        <w:ind w:right="20" w:firstLine="1952"/>
        <w:spacing w:after="0" w:line="251" w:lineRule="auto"/>
        <w:tabs>
          <w:tab w:leader="none" w:pos="2589"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Award that becomes payable in connection with the Participant’s termination resulting from Disability as described under paragraph 3(b)(i) shall be paid within 75 days following such Disability, provided that if the Participant is subject to taxation under the laws of the U.S., the Award is considered Deferred Compensation (as defined in paragraph 22 hereof) and is payable upon a termination resulting from Disability and the Disability experienced by the Participant does not constitute a “disability” within the meaning of Section 409A of the Code (in each case as determined by the Company in its sole discretion), then such payment shall be made in accordance with the payment timing described under paragraph 4(a)(iii)(A)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40" w:right="359" w:bottom="1440" w:gutter="0" w:footer="0" w:header="0"/>
        </w:sectPr>
      </w:pPr>
    </w:p>
    <w:bookmarkStart w:id="106" w:name="page107"/>
    <w:bookmarkEnd w:id="106"/>
    <w:p>
      <w:pPr>
        <w:ind w:right="300" w:firstLine="656"/>
        <w:spacing w:after="0" w:line="269" w:lineRule="auto"/>
        <w:tabs>
          <w:tab w:leader="none" w:pos="128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Payment of an Award</w:t>
      </w:r>
      <w:r>
        <w:rPr>
          <w:rFonts w:ascii="Times New Roman" w:cs="Times New Roman" w:eastAsia="Times New Roman" w:hAnsi="Times New Roman"/>
          <w:sz w:val="20"/>
          <w:szCs w:val="20"/>
          <w:color w:val="auto"/>
        </w:rPr>
        <w:t>. Notwithstanding any other provision of this Agreement (including without limitation paragraph 3(a) hereof):</w:t>
      </w:r>
    </w:p>
    <w:p>
      <w:pPr>
        <w:spacing w:after="0" w:line="172" w:lineRule="exact"/>
        <w:rPr>
          <w:rFonts w:ascii="Times New Roman" w:cs="Times New Roman" w:eastAsia="Times New Roman" w:hAnsi="Times New Roman"/>
          <w:sz w:val="20"/>
          <w:szCs w:val="20"/>
          <w:color w:val="auto"/>
        </w:rPr>
      </w:pPr>
    </w:p>
    <w:p>
      <w:pPr>
        <w:ind w:right="40" w:firstLine="1304"/>
        <w:spacing w:after="0" w:line="254" w:lineRule="auto"/>
        <w:tabs>
          <w:tab w:leader="none" w:pos="1942" w:val="left"/>
        </w:tabs>
        <w:numPr>
          <w:ilvl w:val="3"/>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shall not become payable to the Participant or their legal representative unless and until the Participant or their legal representative shall have satisfied all applicable withholding obligations for Tax-Related Items (as defined in paragraph 8 below), if any, in accordance with paragraph 8 hereof.</w:t>
      </w:r>
    </w:p>
    <w:p>
      <w:pPr>
        <w:spacing w:after="0" w:line="187" w:lineRule="exact"/>
        <w:rPr>
          <w:rFonts w:ascii="Times New Roman" w:cs="Times New Roman" w:eastAsia="Times New Roman" w:hAnsi="Times New Roman"/>
          <w:sz w:val="20"/>
          <w:szCs w:val="20"/>
          <w:color w:val="auto"/>
        </w:rPr>
      </w:pPr>
    </w:p>
    <w:p>
      <w:pPr>
        <w:ind w:firstLine="1304"/>
        <w:spacing w:after="0" w:line="247" w:lineRule="auto"/>
        <w:tabs>
          <w:tab w:leader="none" w:pos="1943" w:val="left"/>
        </w:tabs>
        <w:numPr>
          <w:ilvl w:val="3"/>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to issue or deliver any certificate or certificates (whether in electronic or other form) for any shares of Common Stock in payment of the Award prior to the fulfillment of all of the following conditions: (A) the admission of the Common Stock to listing on all stock exchanges on which the Common Stock is then listed, (B) the completion of any registration or other qualification of the Common Stock under any state or federal law or under rulings or regulations of the Commission or other governmental regulatory body, which the Committee shall, in its sole and absolute discretion, deem necessary and advisable, or if the offering of the Common Stock is not so registered, a determination by the Company that the issuance of the Common Stock would be exempt from any such registration or qualification requirements, (C) the obtaining of any approval or other clearance from any state, federal or foreign governmental agency that the Committee shall, in its absolute discretion, determine to be necessary or advisable and (D) the lapse of any such reasonable period of time following the date the Award becomes payable as the Committee may from time to time establish for reasons of administrative convenience, subject to compliance with Section 409A of the Code.</w:t>
      </w:r>
    </w:p>
    <w:p>
      <w:pPr>
        <w:spacing w:after="0" w:line="184" w:lineRule="exact"/>
        <w:rPr>
          <w:rFonts w:ascii="Times New Roman" w:cs="Times New Roman" w:eastAsia="Times New Roman" w:hAnsi="Times New Roman"/>
          <w:sz w:val="20"/>
          <w:szCs w:val="20"/>
          <w:color w:val="auto"/>
        </w:rPr>
      </w:pPr>
    </w:p>
    <w:p>
      <w:pPr>
        <w:ind w:right="80" w:firstLine="656"/>
        <w:spacing w:after="0" w:line="254" w:lineRule="auto"/>
        <w:tabs>
          <w:tab w:leader="none" w:pos="128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Amount</w:t>
      </w:r>
      <w:r>
        <w:rPr>
          <w:rFonts w:ascii="Times New Roman" w:cs="Times New Roman" w:eastAsia="Times New Roman" w:hAnsi="Times New Roman"/>
          <w:sz w:val="20"/>
          <w:szCs w:val="20"/>
          <w:color w:val="auto"/>
        </w:rPr>
        <w:t>. The Committee shall retain the right, in its sole discretion, to modify the Performance Goal Attainment Factors (resulting in a reduction, an increase or elimination (including to zero) of,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w:t>
      </w:r>
    </w:p>
    <w:p>
      <w:pPr>
        <w:spacing w:after="0" w:line="173" w:lineRule="exact"/>
        <w:rPr>
          <w:rFonts w:ascii="Times New Roman" w:cs="Times New Roman" w:eastAsia="Times New Roman" w:hAnsi="Times New Roman"/>
          <w:sz w:val="20"/>
          <w:szCs w:val="20"/>
          <w:color w:val="auto"/>
        </w:rPr>
      </w:pPr>
    </w:p>
    <w:p>
      <w:pPr>
        <w:ind w:right="260" w:firstLine="8"/>
        <w:spacing w:after="0" w:line="269" w:lineRule="auto"/>
        <w:tabs>
          <w:tab w:leader="none" w:pos="64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Upon a Change in Control</w:t>
      </w:r>
      <w:r>
        <w:rPr>
          <w:rFonts w:ascii="Times New Roman" w:cs="Times New Roman" w:eastAsia="Times New Roman" w:hAnsi="Times New Roman"/>
          <w:sz w:val="20"/>
          <w:szCs w:val="20"/>
          <w:color w:val="auto"/>
        </w:rPr>
        <w:t>. In the event of a Change in Control (as defined in Section 6(b) of the Plan), the LTI Grant is subject to the terms provided in Section 6 of the Plan.</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and Covenants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140" w:firstLine="656"/>
        <w:spacing w:after="0" w:line="261" w:lineRule="auto"/>
        <w:tabs>
          <w:tab w:leader="none" w:pos="1286"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such other conditions as may be established by the Company or the Committee, in consideration for making a Grant under the terms of the Plan, the Participant agrees and covenants as follows for a period of twelve (12) months following the date of the Participant’s termination of employment from the Mondelēz Group:</w:t>
      </w:r>
    </w:p>
    <w:p>
      <w:pPr>
        <w:spacing w:after="0" w:line="167" w:lineRule="exact"/>
        <w:rPr>
          <w:rFonts w:ascii="Times New Roman" w:cs="Times New Roman" w:eastAsia="Times New Roman" w:hAnsi="Times New Roman"/>
          <w:sz w:val="20"/>
          <w:szCs w:val="20"/>
          <w:color w:val="auto"/>
        </w:rPr>
      </w:pPr>
    </w:p>
    <w:p>
      <w:pPr>
        <w:ind w:left="1300" w:right="40" w:hanging="320"/>
        <w:spacing w:after="0" w:line="249" w:lineRule="auto"/>
        <w:tabs>
          <w:tab w:leader="none" w:pos="1300"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Participant, without the express written permission of the Company’s chief human resources officer, will not engage in any conduct in which the Participant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5</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07" w:name="page108"/>
    <w:bookmarkEnd w:id="107"/>
    <w:p>
      <w:pPr>
        <w:ind w:left="1300" w:right="80"/>
        <w:spacing w:after="0" w:line="266" w:lineRule="auto"/>
        <w:rPr>
          <w:sz w:val="20"/>
          <w:szCs w:val="20"/>
          <w:color w:val="auto"/>
        </w:rPr>
      </w:pPr>
      <w:r>
        <w:rPr>
          <w:rFonts w:ascii="Times New Roman" w:cs="Times New Roman" w:eastAsia="Times New Roman" w:hAnsi="Times New Roman"/>
          <w:sz w:val="19"/>
          <w:szCs w:val="19"/>
          <w:color w:val="auto"/>
        </w:rPr>
        <w:t>business as the Mondelēz Group, including those engaged in the business of production, sale or marketing of snack foods (including, but not limited to gum, chocolate, confectionary products, biscuits or any other product or service the Participant has reason to know has been under development by the Mondelēz Group during the Participant’s employment with the Mondelēz Group). The Participant will not engage in any activity that may require or inevitably require the Participant’s use or disclosure of the Mondelēz Group’s confidential information, proprietary information and/or trade secrets;</w:t>
      </w:r>
    </w:p>
    <w:p>
      <w:pPr>
        <w:spacing w:after="0" w:line="180" w:lineRule="exact"/>
        <w:rPr>
          <w:sz w:val="20"/>
          <w:szCs w:val="20"/>
          <w:color w:val="auto"/>
        </w:rPr>
      </w:pPr>
    </w:p>
    <w:p>
      <w:pPr>
        <w:ind w:left="1300" w:right="360" w:hanging="320"/>
        <w:spacing w:after="0" w:line="254" w:lineRule="auto"/>
        <w:tabs>
          <w:tab w:leader="none" w:pos="13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investment in its employees and to ensure the long-term success of the business, the Participant, without the express written permission of the Company’s chief human resources officer, will not directly or indirectly solicit, hire, recruit, attempt to hire or recruit, or induce the termination of employment of any employee of the Mondelēz Group; and</w:t>
      </w:r>
    </w:p>
    <w:p>
      <w:pPr>
        <w:spacing w:after="0" w:line="173" w:lineRule="exact"/>
        <w:rPr>
          <w:rFonts w:ascii="Times New Roman" w:cs="Times New Roman" w:eastAsia="Times New Roman" w:hAnsi="Times New Roman"/>
          <w:sz w:val="20"/>
          <w:szCs w:val="20"/>
          <w:color w:val="auto"/>
        </w:rPr>
      </w:pPr>
    </w:p>
    <w:p>
      <w:pPr>
        <w:ind w:left="1300" w:hanging="320"/>
        <w:spacing w:after="0" w:line="250" w:lineRule="auto"/>
        <w:tabs>
          <w:tab w:leader="none" w:pos="13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investment in its development of goodwill and customers and to ensure the long-term success of the business, the Participant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9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0"/>
          <w:szCs w:val="20"/>
          <w:color w:val="auto"/>
        </w:rPr>
        <w:t xml:space="preserve">The provisions contained herein in paragraph 6 are not in lieu of, but are in addition to, the Participant’s confidentiality obligations to the </w:t>
      </w:r>
      <w:r>
        <w:rPr>
          <w:rFonts w:ascii="Times New Roman" w:cs="Times New Roman" w:eastAsia="Times New Roman" w:hAnsi="Times New Roman"/>
          <w:sz w:val="21"/>
          <w:szCs w:val="21"/>
          <w:color w:val="auto"/>
        </w:rPr>
        <w:t>Mondelēz Group</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56"/>
        <w:spacing w:after="0" w:line="246" w:lineRule="auto"/>
        <w:tabs>
          <w:tab w:leader="none" w:pos="112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is under a continuing obligation (which the Participant acknowledges by accepting any Grant under the Plan) to not use or disclose the Mondelēz Group’s trade secrets or Confidential Information known to the Participant until any particular trade secret or Confidential Information becomes generally known (through no fault of the Participant), whereupon the restriction on use and disclosure shall cease as to that item. For purposes of this agreement,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includes, but is not limited to, certain sales, marketing, strategy, financial, product, personnel, manufacturing, technical and other proprietary information and material which are the property of the Mondelēz Group. The Participant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The Participant understands and agrees that Confidential Information developed by the Participant in the course of the Participant’s employment by the Employer shall be subject to the terms and conditions of this Agreement as if the Employer furnished the same Confidential Information to the Participant in the first instance.</w:t>
      </w:r>
    </w:p>
    <w:p>
      <w:pPr>
        <w:spacing w:after="0" w:line="228" w:lineRule="exact"/>
        <w:rPr>
          <w:rFonts w:ascii="Times New Roman" w:cs="Times New Roman" w:eastAsia="Times New Roman" w:hAnsi="Times New Roman"/>
          <w:sz w:val="20"/>
          <w:szCs w:val="20"/>
          <w:color w:val="auto"/>
        </w:rPr>
      </w:pPr>
    </w:p>
    <w:p>
      <w:pPr>
        <w:ind w:right="580" w:firstLine="656"/>
        <w:spacing w:after="0" w:line="269" w:lineRule="auto"/>
        <w:tabs>
          <w:tab w:leader="none" w:pos="106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acceptance of any Grant (including the LTI Grant) under the Plan, the Participant acknowledges and agrees that if the Participant breaches any of the covenants set forth in paragraph 6:</w:t>
      </w:r>
    </w:p>
    <w:p>
      <w:pPr>
        <w:spacing w:after="0" w:line="18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unvested or unearned Grants (including any unearned portion of the LTI Grant) shall be immediately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40" w:right="359" w:bottom="1440" w:gutter="0" w:footer="0" w:header="0"/>
        </w:sectPr>
      </w:pPr>
    </w:p>
    <w:bookmarkStart w:id="108" w:name="page109"/>
    <w:bookmarkEnd w:id="108"/>
    <w:p>
      <w:pPr>
        <w:ind w:left="1300" w:right="140" w:hanging="320"/>
        <w:spacing w:after="0" w:line="261" w:lineRule="auto"/>
        <w:tabs>
          <w:tab w:leader="none" w:pos="13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cancel, rescind, suspend, withhold or otherwise limit or restrict any unexpired, unpaid or deferred Grants at any time if the Participant is not in compliance with all terms and conditions set forth in the Plan and this Agreement including, but not limited to, paragraph 6;</w:t>
      </w:r>
    </w:p>
    <w:p>
      <w:pPr>
        <w:spacing w:after="0" w:line="167" w:lineRule="exact"/>
        <w:rPr>
          <w:rFonts w:ascii="Times New Roman" w:cs="Times New Roman" w:eastAsia="Times New Roman" w:hAnsi="Times New Roman"/>
          <w:sz w:val="20"/>
          <w:szCs w:val="20"/>
          <w:color w:val="auto"/>
        </w:rPr>
      </w:pPr>
    </w:p>
    <w:p>
      <w:pPr>
        <w:ind w:left="1300" w:hanging="320"/>
        <w:spacing w:after="0" w:line="247" w:lineRule="auto"/>
        <w:tabs>
          <w:tab w:leader="none" w:pos="13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shall repay to the Mondelēz Group the net proceeds of any Plan benefit that occurs at any time after the earlier of the following two dates: (i) the date twelve (12) months immediately preceding any such violation; or (ii) the date six (6) months prior to the Participant’s termination of employment with the Mondelēz Group. The Participant shall repay to the Mondelēz Group the net proceeds in such a manner and on such terms and conditions as may be required by the Mondelēz Group, and the Mondelēz Group shall be entitled to set-off against the amount of any such net proceeds any amount owed to the Participant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spacing w:after="0" w:line="199" w:lineRule="exact"/>
        <w:rPr>
          <w:rFonts w:ascii="Times New Roman" w:cs="Times New Roman" w:eastAsia="Times New Roman" w:hAnsi="Times New Roman"/>
          <w:sz w:val="20"/>
          <w:szCs w:val="20"/>
          <w:color w:val="auto"/>
        </w:rPr>
      </w:pPr>
    </w:p>
    <w:p>
      <w:pPr>
        <w:ind w:left="1300" w:right="40" w:hanging="320"/>
        <w:spacing w:after="0" w:line="248" w:lineRule="auto"/>
        <w:tabs>
          <w:tab w:leader="none" w:pos="13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Participant acknowledges that such breach would cause the Mondelēz Group to suffer irreparable harm. The aforementioned equitable relief shall be in addition to, not in lieu of, legal remedies, monetary damages or other available forms of relief.</w:t>
      </w:r>
    </w:p>
    <w:p>
      <w:pPr>
        <w:spacing w:after="0" w:line="180" w:lineRule="exact"/>
        <w:rPr>
          <w:rFonts w:ascii="Times New Roman" w:cs="Times New Roman" w:eastAsia="Times New Roman" w:hAnsi="Times New Roman"/>
          <w:sz w:val="20"/>
          <w:szCs w:val="20"/>
          <w:color w:val="auto"/>
        </w:rPr>
      </w:pPr>
    </w:p>
    <w:p>
      <w:pPr>
        <w:ind w:right="140" w:firstLine="656"/>
        <w:spacing w:after="0" w:line="254" w:lineRule="auto"/>
        <w:tabs>
          <w:tab w:leader="none" w:pos="107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contained in this paragraph 6 shall for any reason, whether by application of existing law or law which may develop after the Participant’s acceptance of a Grant under the Plan be determined by a court of competent jurisdiction to be overly broad as to scope of activity, duration or territory, the Participant agrees to join the Mondelēz Group in requesting such court to construe such provision by limiting or reducing it so as to be enforceable to the extent compatible with then applicable law.</w:t>
      </w:r>
    </w:p>
    <w:p>
      <w:pPr>
        <w:spacing w:after="0" w:line="187" w:lineRule="exact"/>
        <w:rPr>
          <w:rFonts w:ascii="Times New Roman" w:cs="Times New Roman" w:eastAsia="Times New Roman" w:hAnsi="Times New Roman"/>
          <w:sz w:val="20"/>
          <w:szCs w:val="20"/>
          <w:color w:val="auto"/>
        </w:rPr>
      </w:pPr>
    </w:p>
    <w:p>
      <w:pPr>
        <w:ind w:right="140" w:firstLine="656"/>
        <w:spacing w:after="0" w:line="246" w:lineRule="auto"/>
        <w:tabs>
          <w:tab w:leader="none" w:pos="106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no section of this Agreement is intended to or shall limit, prevent, impede or interfere with the Participant’s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Participant does not need prior authorization from the Mondelēz Group to make any such reports or disclosures and is not required to notify the Mondelēz Group that the Participant has made such reports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7</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09" w:name="page110"/>
    <w:bookmarkEnd w:id="109"/>
    <w:p>
      <w:pPr>
        <w:ind w:firstLine="656"/>
        <w:spacing w:after="0" w:line="247" w:lineRule="auto"/>
        <w:tabs>
          <w:tab w:leader="none" w:pos="10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is hereby advised in writing to consult with an attorney before entering into the covenants outlined in this paragraph 6. The Participant acknowledges that prior to acceptance of this Agreement, the Participant has been advised by the Company of the Participant’s right to seek independent advice from an attorney of the Participant’s own selection regarding this Agreement, including the restraints imposed upon him or her pursuant to this paragraph 6. The Participant acknowledges that they have entered into this Agreement knowingly and voluntarily and with full knowledge and understanding of the provisions of this Agreement after being given the opportunity to consult with counsel. The Participant further represents that in entering into this Agreement, the Participant is not relying on any statements or representations made by any of the Company’s directors, officers, employees or agents which are not expressly set forth herein, and that the Participant is relying only upon their own judgment and any advice provided by the Participant’s attorney. The Participant acknowledges he or she has been provided at minimum 14 calendar days to review the provisions contained herein but may voluntarily waive this period and sign prior to the 14 calendar day period lapsing.</w:t>
      </w:r>
    </w:p>
    <w:p>
      <w:pPr>
        <w:spacing w:after="0" w:line="184" w:lineRule="exact"/>
        <w:rPr>
          <w:rFonts w:ascii="Times New Roman" w:cs="Times New Roman" w:eastAsia="Times New Roman" w:hAnsi="Times New Roman"/>
          <w:sz w:val="20"/>
          <w:szCs w:val="20"/>
          <w:color w:val="auto"/>
        </w:rPr>
      </w:pPr>
    </w:p>
    <w:p>
      <w:pPr>
        <w:ind w:right="480" w:firstLine="656"/>
        <w:spacing w:after="0" w:line="261" w:lineRule="auto"/>
        <w:tabs>
          <w:tab w:leader="none" w:pos="1077"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paragraph 6, the Company and any member of the Mondelēz Group shall be deemed to be third-party beneficiaries with the right to seek enforcement of any of the provisions of this paragraph 6. Further, for purposes of this paragraph6, references to acting directly or indirectly include acting jointly with or through another person.</w:t>
      </w:r>
    </w:p>
    <w:p>
      <w:pPr>
        <w:spacing w:after="0" w:line="167" w:lineRule="exact"/>
        <w:rPr>
          <w:rFonts w:ascii="Times New Roman" w:cs="Times New Roman" w:eastAsia="Times New Roman" w:hAnsi="Times New Roman"/>
          <w:sz w:val="20"/>
          <w:szCs w:val="20"/>
          <w:color w:val="auto"/>
        </w:rPr>
      </w:pPr>
    </w:p>
    <w:p>
      <w:pPr>
        <w:ind w:firstLine="8"/>
        <w:spacing w:after="0" w:line="261" w:lineRule="auto"/>
        <w:tabs>
          <w:tab w:leader="none" w:pos="648"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Clawback Policy/Forfeiture</w:t>
      </w:r>
      <w:r>
        <w:rPr>
          <w:rFonts w:ascii="Times New Roman" w:cs="Times New Roman" w:eastAsia="Times New Roman" w:hAnsi="Times New Roman"/>
          <w:sz w:val="19"/>
          <w:szCs w:val="19"/>
          <w:color w:val="auto"/>
        </w:rPr>
        <w:t>. The Participant understands and agrees that in the Committee’s sole discretion, the Company may cancel all or part of the LTI Grant or require repayment by the Participant to the Company of all or part of any LTI Award Payout underlying any vested LTI Grant pursuant to any recovery, recoupment, clawback and/or other forfeiture policy maintained by the Company, including the Company’s Dodd-Frank Clawback Policy, the Company’s Compensation Recoupment Policy, and a violation of paragraph 6 above, from time to time. In addition, any payments or benefits the Participant may receive hereunder shall be subject to repayment or forfeiture as may be required to comply with the requirements under the U.S. Securities Act of 1933, as amended (the “</w:t>
      </w:r>
      <w:r>
        <w:rPr>
          <w:rFonts w:ascii="Times New Roman" w:cs="Times New Roman" w:eastAsia="Times New Roman" w:hAnsi="Times New Roman"/>
          <w:sz w:val="19"/>
          <w:szCs w:val="19"/>
          <w:u w:val="single" w:color="auto"/>
          <w:color w:val="auto"/>
        </w:rPr>
        <w:t>Securities Act</w:t>
      </w:r>
      <w:r>
        <w:rPr>
          <w:rFonts w:ascii="Times New Roman" w:cs="Times New Roman" w:eastAsia="Times New Roman" w:hAnsi="Times New Roman"/>
          <w:sz w:val="19"/>
          <w:szCs w:val="19"/>
          <w:color w:val="auto"/>
        </w:rPr>
        <w:t>”), the Exchange Act, rules promulgated by the Commission, any other applicable law, or any securities exchange on which the Common Stock is listed or traded, as may be in effect from time to time. In connection with the enforcement of such clawback policy, the Participant hereby expressly acknowledges and agrees that the Company shall have the right to reduce, cancel, or withhold against outstanding, unvested, vested, or future cash or equity-based compensation owed or due to the Participant, to the maximum extent permitted under applicable law. No such recovery will be an event giving rise to a right to resign for Good Reason or be deemed a “constructive termination” (or any similar term) as such terms are used in any agreement between the Participant and the Company or under any severance plans applicable to the Participant.</w:t>
      </w:r>
    </w:p>
    <w:p>
      <w:pPr>
        <w:spacing w:after="0" w:line="172" w:lineRule="exact"/>
        <w:rPr>
          <w:rFonts w:ascii="Times New Roman" w:cs="Times New Roman" w:eastAsia="Times New Roman" w:hAnsi="Times New Roman"/>
          <w:sz w:val="19"/>
          <w:szCs w:val="19"/>
          <w:color w:val="auto"/>
        </w:rPr>
      </w:pPr>
    </w:p>
    <w:p>
      <w:pPr>
        <w:ind w:right="40" w:firstLine="8"/>
        <w:spacing w:after="0" w:line="264" w:lineRule="auto"/>
        <w:tabs>
          <w:tab w:leader="none" w:pos="648"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 Taxes</w:t>
      </w:r>
      <w:r>
        <w:rPr>
          <w:rFonts w:ascii="Times New Roman" w:cs="Times New Roman" w:eastAsia="Times New Roman" w:hAnsi="Times New Roman"/>
          <w:sz w:val="19"/>
          <w:szCs w:val="19"/>
          <w:color w:val="auto"/>
        </w:rPr>
        <w:t>. The Participant acknowledges that regardless of any action taken by the Company or, if different, the Employer, the ultimate liability for all income tax, social insurance, payroll tax, fringe benefits tax, payment on account or other tax-related items related to the Participant’s participation in the Plan and legally applicable to the Participant or deemed by the Company or the Employer, in their discretion, to be an appropriate charge to the Participant even if legally applicable to the Company or the Employer (“</w:t>
      </w:r>
      <w:r>
        <w:rPr>
          <w:rFonts w:ascii="Times New Roman" w:cs="Times New Roman" w:eastAsia="Times New Roman" w:hAnsi="Times New Roman"/>
          <w:sz w:val="19"/>
          <w:szCs w:val="19"/>
          <w:u w:val="single" w:color="auto"/>
          <w:color w:val="auto"/>
        </w:rPr>
        <w:t>Tax-Related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Items</w:t>
      </w:r>
      <w:r>
        <w:rPr>
          <w:rFonts w:ascii="Times New Roman" w:cs="Times New Roman" w:eastAsia="Times New Roman" w:hAnsi="Times New Roman"/>
          <w:sz w:val="19"/>
          <w:szCs w:val="19"/>
          <w:color w:val="auto"/>
        </w:rPr>
        <w:t>”) is and remains their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LTI Grant, including the vesting or payment of any Award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8</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40" w:right="359" w:bottom="1440" w:gutter="0" w:footer="0" w:header="0"/>
        </w:sectPr>
      </w:pPr>
    </w:p>
    <w:bookmarkStart w:id="110" w:name="page111"/>
    <w:bookmarkEnd w:id="110"/>
    <w:p>
      <w:pPr>
        <w:ind w:right="40"/>
        <w:spacing w:after="0" w:line="266" w:lineRule="auto"/>
        <w:rPr>
          <w:sz w:val="20"/>
          <w:szCs w:val="20"/>
          <w:color w:val="auto"/>
        </w:rPr>
      </w:pPr>
      <w:r>
        <w:rPr>
          <w:rFonts w:ascii="Times New Roman" w:cs="Times New Roman" w:eastAsia="Times New Roman" w:hAnsi="Times New Roman"/>
          <w:sz w:val="19"/>
          <w:szCs w:val="19"/>
          <w:color w:val="auto"/>
        </w:rPr>
        <w:t>LTI Grant, the receipt of any dividends or cash payments in lieu of dividends, or the subsequent sale of shares of Common Stock; and (b) do not commit to and are under no obligation to structure the terms of the LTI Grant or any aspect of the Participant’s participation in the Plan to reduce or eliminate their liability for Tax-Related Items or achieve any particular tax result. Further, if the Participant becomes subject to any Tax-Related Items in more than one jurisdiction, the Participant acknowledges that the Company and/or the Employer (or former employer, as applicable) may be required to withhold or account for (including report) Tax-Related Items in more than one jurisdiction.</w:t>
      </w:r>
    </w:p>
    <w:p>
      <w:pPr>
        <w:spacing w:after="0" w:line="180"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The Company is authorized to satisfy the withholding for any or all Tax-Related Items arising from the vesting or payment of any Award relating to the LTI Grant or sale of shares of Common Stock issued pursuant to the Award, as the case may be, by deducting the number of shares of Common Stock having an aggregate value equal to the amount of Tax-Related Items withholding due from the LTI Award Payout or otherwise becoming subject to current taxation. If the Company satisfies the Tax-Related Items obligation by withholding a number of shares of Common Stock as described herein, for tax purposes, the Participant will be deemed to have been issued the full number of shares of Common Stock due to the Participant at vesting, notwithstanding that a number of shares of Common Stock is held back solely for the purpose of such Tax-Related Items withholding.</w:t>
      </w:r>
    </w:p>
    <w:p>
      <w:pPr>
        <w:spacing w:after="0" w:line="17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Company is also authorized to satisfy the actual Tax-Related Items arising from the vesting or payment of any Award relating to the LTI Grant, the sale of shares of Common Stock issued pursuant to the Award or hypothetical withholding tax amounts if the Participant is covered under a Company tax equalization policy, as the case may be, by the remittance of the required amounts from any proceeds realized upon the open-market sale of the Common Stock received by the Participant. Such open-market sale is on the Participant’s behalf and at the Participant’s direction pursuant to this authorization without further consent.</w:t>
      </w:r>
    </w:p>
    <w:p>
      <w:pPr>
        <w:spacing w:after="0" w:line="179"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9"/>
          <w:szCs w:val="19"/>
          <w:color w:val="auto"/>
        </w:rPr>
        <w:t>Furthermore, the Company and/or the Employer are authorized to satisfy any withholding obligations with regard to all Tax-Related Items arising from the vesting or payment of any Award relating to the LTI Grant, or sale of shares issued pursuant to the Award, as the case may be, by withholding from the Participant’s wages or other cash compensation paid to the Participant by the Company and/or the Employer.</w:t>
      </w:r>
    </w:p>
    <w:p>
      <w:pPr>
        <w:ind w:right="60"/>
        <w:spacing w:after="0" w:line="246" w:lineRule="auto"/>
        <w:rPr>
          <w:sz w:val="20"/>
          <w:szCs w:val="20"/>
          <w:color w:val="auto"/>
        </w:rPr>
      </w:pPr>
      <w:r>
        <w:rPr>
          <w:rFonts w:ascii="Times New Roman" w:cs="Times New Roman" w:eastAsia="Times New Roman" w:hAnsi="Times New Roman"/>
          <w:sz w:val="20"/>
          <w:szCs w:val="20"/>
          <w:color w:val="auto"/>
        </w:rPr>
        <w:t>Shares of Common Stock deducted from the LTI Award Payout in satisfaction of any Tax-Related Items shall be valued at the Fair Market Value of the Common Stock received in payment of the Award on the date as of which the amount giving rise to the withholding requirement first became includible in the gross income of the Participant under applicable tax laws. If the Participant is covered by a Company tax equalization policy, the Participant also agrees to pay to the Company any additional hypothetical tax obligation calculated and paid under the terms and conditions of such tax equalization policy. Finally, the Participant shall pay to the Company or the Employer any amount of Tax-Related Items that the Company or the Employer may be required to withhold as a result of their participation in the Plan that cannot be satisfied by the means previously described. The Company may refuse to issue or deliver the Common Stock if the Participant fails to comply with their Tax-Related Items obligations.</w:t>
      </w:r>
    </w:p>
    <w:p>
      <w:pPr>
        <w:spacing w:after="0" w:line="185"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20"/>
          <w:szCs w:val="20"/>
          <w:color w:val="auto"/>
        </w:rPr>
        <w:t>If the Participant is subject to the short-swing profit rules of Section 16(b) of the Exchange Act, the Company will deduct the number of shares of Common Stock having an aggregate value equal to the amount of Tax-Related Items due from the LTI Award Payout, or the Committee may determine that a particular method be used to satisfy any Tax 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51" w:lineRule="auto"/>
        <w:rPr>
          <w:sz w:val="20"/>
          <w:szCs w:val="20"/>
          <w:color w:val="auto"/>
        </w:rPr>
      </w:pPr>
      <w:r>
        <w:rPr>
          <w:rFonts w:ascii="Times New Roman" w:cs="Times New Roman" w:eastAsia="Times New Roman" w:hAnsi="Times New Roman"/>
          <w:sz w:val="20"/>
          <w:szCs w:val="20"/>
          <w:color w:val="auto"/>
        </w:rPr>
        <w:t>The Company may withhold or account for Tax-Related Items and any hypothetical taxes by considering statutory withholding rates or other applicable withholding rates in the Participant’s jurisdiction(s), including minimum or maximum applicable withholding rates, in which case the Participant may receive a refund of any over-withheld amount in cash and will have no entitlement to the equivalent shares of Common Stock or, if not refunded, the Participant may be able to seek a refund from the applicable tax authorities. In the event of under-withholding, the Participant may be required to pay any additional Tax-Related Items directly to the applicable tax authority or to the Company and/or the Employer.</w:t>
      </w:r>
    </w:p>
    <w:p>
      <w:pPr>
        <w:spacing w:after="0" w:line="177" w:lineRule="exact"/>
        <w:rPr>
          <w:sz w:val="20"/>
          <w:szCs w:val="20"/>
          <w:color w:val="auto"/>
        </w:rPr>
      </w:pPr>
    </w:p>
    <w:p>
      <w:pPr>
        <w:ind w:right="680" w:firstLine="8"/>
        <w:spacing w:after="0" w:line="269" w:lineRule="auto"/>
        <w:tabs>
          <w:tab w:leader="none" w:pos="64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the Grant</w:t>
      </w:r>
      <w:r>
        <w:rPr>
          <w:rFonts w:ascii="Times New Roman" w:cs="Times New Roman" w:eastAsia="Times New Roman" w:hAnsi="Times New Roman"/>
          <w:sz w:val="20"/>
          <w:szCs w:val="20"/>
          <w:color w:val="auto"/>
        </w:rPr>
        <w:t>. By participating in the Plan and in exchange for receiving the LTI Grant, the Participant acknowledges, understands and agrees that:</w:t>
      </w:r>
    </w:p>
    <w:p>
      <w:pPr>
        <w:spacing w:after="0" w:line="172"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59" w:lineRule="exact"/>
        <w:rPr>
          <w:sz w:val="20"/>
          <w:szCs w:val="20"/>
          <w:color w:val="auto"/>
        </w:rPr>
      </w:pPr>
    </w:p>
    <w:p>
      <w:pPr>
        <w:ind w:right="300" w:firstLine="656"/>
        <w:spacing w:after="0" w:line="283" w:lineRule="auto"/>
        <w:tabs>
          <w:tab w:leader="none" w:pos="128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LTI Grant is exceptional, voluntary and occasional and does not create any contractual or other right to receive future awards, or benefits in lieu of LTI Grants, even if LTI Grants have been made in the past;</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LTI Grants, if any, will be at the sole discretion of the Committee;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participation in the Plan is voluntary;</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LTI Grant and the shares of Common Stock, and the income and value of same, subject to the LTI Grant are not intended to replace any pension rights or compensation;</w:t>
      </w:r>
    </w:p>
    <w:p>
      <w:pPr>
        <w:spacing w:after="0" w:line="159" w:lineRule="exact"/>
        <w:rPr>
          <w:rFonts w:ascii="Times New Roman" w:cs="Times New Roman" w:eastAsia="Times New Roman" w:hAnsi="Times New Roman"/>
          <w:sz w:val="20"/>
          <w:szCs w:val="20"/>
          <w:color w:val="auto"/>
        </w:rPr>
      </w:pPr>
    </w:p>
    <w:p>
      <w:pPr>
        <w:ind w:right="120" w:firstLine="656"/>
        <w:spacing w:after="0" w:line="254" w:lineRule="auto"/>
        <w:tabs>
          <w:tab w:leader="none" w:pos="129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LTI Grant and the shares of Common Stock subject to the LTI Grant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spacing w:after="0" w:line="17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of Common Stock is unknown, indeterminable and cannot be predicted;</w:t>
      </w:r>
    </w:p>
    <w:p>
      <w:pPr>
        <w:spacing w:after="0" w:line="229" w:lineRule="exact"/>
        <w:rPr>
          <w:rFonts w:ascii="Times New Roman" w:cs="Times New Roman" w:eastAsia="Times New Roman" w:hAnsi="Times New Roman"/>
          <w:sz w:val="20"/>
          <w:szCs w:val="20"/>
          <w:color w:val="auto"/>
        </w:rPr>
      </w:pPr>
    </w:p>
    <w:p>
      <w:pPr>
        <w:ind w:right="200" w:firstLine="656"/>
        <w:spacing w:after="0" w:line="254" w:lineRule="auto"/>
        <w:tabs>
          <w:tab w:leader="none" w:pos="128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LTI Grant and the shares of Common Stock underlying the LTI Grant, and the income and value of same, are not granted as consideration for, or in connection with, the service the Participant may provide as a director of any entity of the Mondelēz Group;</w:t>
      </w:r>
    </w:p>
    <w:p>
      <w:pPr>
        <w:spacing w:after="0" w:line="187" w:lineRule="exact"/>
        <w:rPr>
          <w:rFonts w:ascii="Times New Roman" w:cs="Times New Roman" w:eastAsia="Times New Roman" w:hAnsi="Times New Roman"/>
          <w:sz w:val="20"/>
          <w:szCs w:val="20"/>
          <w:color w:val="auto"/>
        </w:rPr>
      </w:pPr>
    </w:p>
    <w:p>
      <w:pPr>
        <w:ind w:right="160" w:firstLine="656"/>
        <w:spacing w:after="0" w:line="269" w:lineRule="auto"/>
        <w:tabs>
          <w:tab w:leader="none" w:pos="129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LTI Grant and the shares of Common Stock subject to the LTI Grant, and the income and value of same, are not part of normal or expected compensation or salary for any purpose;</w:t>
      </w:r>
    </w:p>
    <w:p>
      <w:pPr>
        <w:spacing w:after="0" w:line="159" w:lineRule="exact"/>
        <w:rPr>
          <w:rFonts w:ascii="Times New Roman" w:cs="Times New Roman" w:eastAsia="Times New Roman" w:hAnsi="Times New Roman"/>
          <w:sz w:val="20"/>
          <w:szCs w:val="20"/>
          <w:color w:val="auto"/>
        </w:rPr>
      </w:pPr>
    </w:p>
    <w:p>
      <w:pPr>
        <w:ind w:firstLine="656"/>
        <w:spacing w:after="0" w:line="261" w:lineRule="auto"/>
        <w:tabs>
          <w:tab w:leader="none" w:pos="129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the Employer nor any other member of the Mondelēz Group shall be liable for any foreign exchange rate fluctuation between the Participant’s local currency and the United States Dollar that may affect the value of the LTI Grant or any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60"/>
          </w:cols>
          <w:pgMar w:left="320" w:top="1440" w:right="4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color w:val="auto"/>
        </w:rPr>
        <w:t>Stock delivered to the Participant upon vesting of the LTI Grant or of any proceeds resulting from the Participant’s sale of such shares; and</w:t>
      </w:r>
    </w:p>
    <w:p>
      <w:pPr>
        <w:spacing w:after="0" w:line="216" w:lineRule="exact"/>
        <w:rPr>
          <w:sz w:val="20"/>
          <w:szCs w:val="20"/>
          <w:color w:val="auto"/>
        </w:rPr>
      </w:pPr>
    </w:p>
    <w:p>
      <w:pPr>
        <w:ind w:right="40" w:firstLine="656"/>
        <w:spacing w:after="0" w:line="253" w:lineRule="auto"/>
        <w:tabs>
          <w:tab w:leader="none" w:pos="128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LTI Grant or the recoupment of any shares of Common Stock acquired under the Plan resulting from (a) the failure to reach Performance Goals or termination of the Participant’s employment or other service relationship by the Company or the Employer (for any reason whatsoever, whether or not later found to be invalid or in breach of employment laws in the jurisdiction where the Participant is employed or the terms of their employment agreement, if any); and/or (b) the application of any recoupment policy or any recovery or clawback policy otherwise required by law.</w:t>
      </w:r>
    </w:p>
    <w:p>
      <w:pPr>
        <w:spacing w:after="0" w:line="174" w:lineRule="exact"/>
        <w:rPr>
          <w:rFonts w:ascii="Times New Roman" w:cs="Times New Roman" w:eastAsia="Times New Roman" w:hAnsi="Times New Roman"/>
          <w:sz w:val="20"/>
          <w:szCs w:val="20"/>
          <w:color w:val="auto"/>
        </w:rPr>
      </w:pPr>
    </w:p>
    <w:p>
      <w:pPr>
        <w:ind w:left="20" w:right="120" w:hanging="12"/>
        <w:spacing w:after="0" w:line="283" w:lineRule="auto"/>
        <w:tabs>
          <w:tab w:leader="none" w:pos="638"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u w:val="single" w:color="auto"/>
          <w:color w:val="auto"/>
        </w:rPr>
        <w:t>Data Privacy</w:t>
      </w:r>
      <w:r>
        <w:rPr>
          <w:rFonts w:ascii="Times New Roman" w:cs="Times New Roman" w:eastAsia="Times New Roman" w:hAnsi="Times New Roman"/>
          <w:sz w:val="19"/>
          <w:szCs w:val="19"/>
          <w:b w:val="1"/>
          <w:bCs w:val="1"/>
          <w:i w:val="1"/>
          <w:iCs w:val="1"/>
          <w:color w:val="auto"/>
        </w:rPr>
        <w:t>. The Participant hereby explicitly and unambiguously consents to the collection, use and transfer, in electronic or other form, of the Participant’s personal data as described in this Agreement and any other LTI Grant materials (“</w:t>
      </w:r>
      <w:r>
        <w:rPr>
          <w:rFonts w:ascii="Times New Roman" w:cs="Times New Roman" w:eastAsia="Times New Roman" w:hAnsi="Times New Roman"/>
          <w:sz w:val="19"/>
          <w:szCs w:val="19"/>
          <w:b w:val="1"/>
          <w:bCs w:val="1"/>
          <w:i w:val="1"/>
          <w:iCs w:val="1"/>
          <w:u w:val="single" w:color="auto"/>
          <w:color w:val="auto"/>
        </w:rPr>
        <w:t>Data</w:t>
      </w:r>
      <w:r>
        <w:rPr>
          <w:rFonts w:ascii="Times New Roman" w:cs="Times New Roman" w:eastAsia="Times New Roman" w:hAnsi="Times New Roman"/>
          <w:sz w:val="19"/>
          <w:szCs w:val="19"/>
          <w:b w:val="1"/>
          <w:bCs w:val="1"/>
          <w:i w:val="1"/>
          <w:iCs w:val="1"/>
          <w:color w:val="auto"/>
        </w:rPr>
        <w:t>”) by and among the Mondelēz Group for the exclusive purpose of implementing, administering and managing the Participant’s participation in the Plan.</w:t>
      </w:r>
    </w:p>
    <w:p>
      <w:pPr>
        <w:spacing w:after="0" w:line="14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The Participant understands that the Mondelēz Group may hold certain personal information about the Participant, including, but not limited to, the Participant’s name, home address, email address and telephone number, date of birth, social security, passport or insurance number or other identification number (e.g., resident registration number), salary, nationality, job title, any shares of stock or directorships held in the Company, details of all LTI Grants or any other entitlement to shares of Common Stock or other equivalent benefits, awarded, canceled, purchased, exercised, vested, unvested or outstanding in the Participant’s favor, for the purpose of implementing, administering and managing the Plan.</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The Participant understands that Data will be transferred to Morgan Stanley Smith Barney, LLC and its affiliates (“</w:t>
      </w:r>
      <w:r>
        <w:rPr>
          <w:rFonts w:ascii="Times New Roman" w:cs="Times New Roman" w:eastAsia="Times New Roman" w:hAnsi="Times New Roman"/>
          <w:sz w:val="19"/>
          <w:szCs w:val="19"/>
          <w:b w:val="1"/>
          <w:bCs w:val="1"/>
          <w:i w:val="1"/>
          <w:iCs w:val="1"/>
          <w:u w:val="single" w:color="auto"/>
          <w:color w:val="auto"/>
        </w:rPr>
        <w:t>Morgan Stanley</w:t>
      </w:r>
      <w:r>
        <w:rPr>
          <w:rFonts w:ascii="Times New Roman" w:cs="Times New Roman" w:eastAsia="Times New Roman" w:hAnsi="Times New Roman"/>
          <w:sz w:val="19"/>
          <w:szCs w:val="19"/>
          <w:b w:val="1"/>
          <w:bCs w:val="1"/>
          <w:i w:val="1"/>
          <w:iCs w:val="1"/>
          <w:color w:val="auto"/>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KPMG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If the Participant resides outside the United States, the Participant understands that he or she may request a list with the names and addresses of any potential recipients of the Data by contacting their local human resources representative. The Participant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their participation in the Plan. The Participant understands that Data will be held only as long as is necessary to implement, administer and manage the Participant’s participation in the Plan. If the Participant resides outside the United States, the Participant understands that he or she may, at any time, view Data, request additional information about the storage and processing of Data, require any necessary amendments to Data or refuse or withdraw the consents herein, in any case without cost, by contacting in writing their local human resources representative. Further, the Participant understands that the Participant is providing the consents herein on a purely voluntary basis.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13" w:name="page114"/>
    <w:bookmarkEnd w:id="113"/>
    <w:p>
      <w:pPr>
        <w:ind w:right="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the Participant does not consent, or if the Participant later seeks to revoke their consent, the Participant’s employment status or service with the Employer will not be affected; the only consequence of refusing or withdrawing the Participant’s consent is that the Company would not be able to grant the Participant an LTI Grant or other equity awards or administer or maintain such Grants. The Participant also understands that the Company has no obligation to substitute other forms of Grants or compensation in lieu of the LTI Grant as a consequence of the Participant’s refusal or withdrawal of their consent. Therefore, the Participant understands that refusing or withdrawing their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spacing w:after="0" w:line="19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Further, upon request of the Company or the Employer, the Participant agrees to provide an executed data privacy form (or any other agreements or consents) that the Company and/or the Employer may deem necessary to obtain from the Participant for the purpose of administering their participation in the Plan in compliance with the data privacy laws in the Participant’s country, either now or in the future. The Participant understands and agrees that he or she will not be able to participate in the Plan if the Participant fails to provide any such consent or agreement requested by the Company and/or the Employer.</w:t>
      </w:r>
    </w:p>
    <w:p>
      <w:pPr>
        <w:spacing w:after="0" w:line="178" w:lineRule="exact"/>
        <w:rPr>
          <w:sz w:val="20"/>
          <w:szCs w:val="20"/>
          <w:color w:val="auto"/>
        </w:rPr>
      </w:pPr>
    </w:p>
    <w:p>
      <w:pPr>
        <w:ind w:right="20" w:firstLine="8"/>
        <w:spacing w:after="0" w:line="250" w:lineRule="auto"/>
        <w:tabs>
          <w:tab w:leader="none" w:pos="63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LTI Grant</w:t>
      </w:r>
      <w:r>
        <w:rPr>
          <w:rFonts w:ascii="Times New Roman" w:cs="Times New Roman" w:eastAsia="Times New Roman" w:hAnsi="Times New Roman"/>
          <w:sz w:val="20"/>
          <w:szCs w:val="20"/>
          <w:color w:val="auto"/>
        </w:rPr>
        <w:t>. The LTI Grant or the interests or rights therein may not be transferred in any manner other than by will or by the laws of descent and distribution applicable to the Participant, and may not be assigned, hypothecated or otherwise pledged and shall not be subject to execution, attachment or similar process. Upon any attempt to effect any such disposition, or upon the levy of any such process, in violation of the provisions herein, the LTI Grant shall immediately become null and void and any rights to receive a payment under the LTI Grant shall be forfeited.</w:t>
      </w:r>
    </w:p>
    <w:p>
      <w:pPr>
        <w:spacing w:after="0" w:line="192" w:lineRule="exact"/>
        <w:rPr>
          <w:rFonts w:ascii="Times New Roman" w:cs="Times New Roman" w:eastAsia="Times New Roman" w:hAnsi="Times New Roman"/>
          <w:sz w:val="20"/>
          <w:szCs w:val="20"/>
          <w:color w:val="auto"/>
        </w:rPr>
      </w:pPr>
    </w:p>
    <w:p>
      <w:pPr>
        <w:ind w:firstLine="8"/>
        <w:spacing w:after="0" w:line="246" w:lineRule="auto"/>
        <w:tabs>
          <w:tab w:leader="none" w:pos="63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Shareholder</w:t>
      </w:r>
      <w:r>
        <w:rPr>
          <w:rFonts w:ascii="Times New Roman" w:cs="Times New Roman" w:eastAsia="Times New Roman" w:hAnsi="Times New Roman"/>
          <w:sz w:val="20"/>
          <w:szCs w:val="20"/>
          <w:color w:val="auto"/>
        </w:rPr>
        <w:t>. Neither the Participant nor any person claiming under or through the Participant shall have any of the rights or privileges of a shareholder of the Company in respect of any shares of Common Stock issuable hereunder unless and until certificates representing such Common Stock (which may be in uncertificated form) will have been issued and recorded on the books and records of the Company or its transfer agents or registrars, and delivered to the Participant (including through electronic delivery to a brokerage account). After such issuance, recordation and delivery, the Participant shall have all the rights of a shareholder of the Company, including with respect to the right to vote the Common Stock and the right to receive any cash or share dividends or other distributions paid to or made with respect to the Common Stock. Notwithstanding the foregoing, in accordance with Section 9 of the Plan, the Company may provide for the accrual of dividend equivalents on the outstanding LTI Grant which shall be subject to the same vesting restrictions and conditions as the LTI Grant and may be subject to such additional restrictions and conditions as the Committee may establish.</w:t>
      </w:r>
    </w:p>
    <w:p>
      <w:pPr>
        <w:spacing w:after="0" w:line="200" w:lineRule="exact"/>
        <w:rPr>
          <w:rFonts w:ascii="Times New Roman" w:cs="Times New Roman" w:eastAsia="Times New Roman" w:hAnsi="Times New Roman"/>
          <w:sz w:val="20"/>
          <w:szCs w:val="20"/>
          <w:color w:val="auto"/>
        </w:rPr>
      </w:pPr>
    </w:p>
    <w:p>
      <w:pPr>
        <w:ind w:right="140" w:firstLine="8"/>
        <w:spacing w:after="0" w:line="254" w:lineRule="auto"/>
        <w:tabs>
          <w:tab w:leader="none" w:pos="63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The Committee may make such adjustments to one or more of the Performance Goals, as well as the manner in which the LTI Award Payout is calculated, as the Committee in its sole discretion deems appropriate. The Participant shall be notified of such adjustment and such adjustment shall be binding upon the Company and the Participant.</w:t>
      </w:r>
    </w:p>
    <w:p>
      <w:pPr>
        <w:spacing w:after="0" w:line="187" w:lineRule="exact"/>
        <w:rPr>
          <w:rFonts w:ascii="Times New Roman" w:cs="Times New Roman" w:eastAsia="Times New Roman" w:hAnsi="Times New Roman"/>
          <w:sz w:val="20"/>
          <w:szCs w:val="20"/>
          <w:color w:val="auto"/>
        </w:rPr>
      </w:pPr>
    </w:p>
    <w:p>
      <w:pPr>
        <w:ind w:right="500" w:firstLine="8"/>
        <w:spacing w:after="0" w:line="254" w:lineRule="auto"/>
        <w:tabs>
          <w:tab w:leader="none" w:pos="63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GUARANTEE OF CONTINUED EMPLOYMENT</w:t>
      </w:r>
      <w:r>
        <w:rPr>
          <w:rFonts w:ascii="Times New Roman" w:cs="Times New Roman" w:eastAsia="Times New Roman" w:hAnsi="Times New Roman"/>
          <w:sz w:val="20"/>
          <w:szCs w:val="20"/>
          <w:color w:val="auto"/>
        </w:rPr>
        <w:t>. THE PARTICIPANT HEREBY ACKNOWLEDGES AND AGREES THAT THE VESTING OF THE LTI GRANT PURSUANT TO THE PROVISIONS OF THE PLAN AND THIS AGREEMENT IS EARNED ONLY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36" w:right="359" w:bottom="1440" w:gutter="0" w:footer="0" w:header="0"/>
        </w:sectPr>
      </w:pPr>
    </w:p>
    <w:bookmarkStart w:id="114" w:name="page115"/>
    <w:bookmarkEnd w:id="114"/>
    <w:p>
      <w:pPr>
        <w:ind w:right="60"/>
        <w:spacing w:after="0" w:line="246" w:lineRule="auto"/>
        <w:rPr>
          <w:sz w:val="20"/>
          <w:szCs w:val="20"/>
          <w:color w:val="auto"/>
        </w:rPr>
      </w:pPr>
      <w:r>
        <w:rPr>
          <w:rFonts w:ascii="Times New Roman" w:cs="Times New Roman" w:eastAsia="Times New Roman" w:hAnsi="Times New Roman"/>
          <w:sz w:val="20"/>
          <w:szCs w:val="20"/>
          <w:color w:val="auto"/>
        </w:rPr>
        <w:t>PERFORMANCE GOALS ARE ATTAINED AND THE OTHER TERMS AND CONDITIONS SET FORTH IN THIS AGREEMENT AND THE PLAN ARE SATISFIED AND BY THE PARTICIPANT CONTINUING TO BE EMPLOYED (SUBJECT TO THE PROVISIONS OF PARAGRAPH 3(b) HEREOF) AT THE WILL OF THE EMPLOYER (AND NOT THROUGH THE ACT OF BEING EMPLOYED BY THE EMPLOYER, BEING GRANTED AN LTI GRANT, OR RECEIVING COMMON STOCK HEREUNDER). THE PARTICIPANT FURTHER ACKNOWLEDGES AND AGREES THAT THIS AGREEMENT, THE TRANSACTIONS CONTEMPLATED HEREUNDER AND THE RIGHT TO EARN A PAYMENT UNDER THE LTI GRANT SET FORTH HEREIN DO NOT CONSTITUTE AN EXPRESS OR IMPLIED PROMISE OF CONTINUED EMPLOYMENT DURING THE PERFORMANCE CYCLE, FOR ANY PERIOD, OR AT ALL, AND SHALL NOT INTERFERE WITH THE PARTICIPANT’S RIGHT OR THE RIGHT OF THE EMPLOYER TO TERMINATE THE PARTICIPANT’S EMPLOYMENT AT ANY TIME, WITH OR WITHOUT CAUSE AND IN ACCORDANCE WITH APPLICABLE EMPLOYMENT LAWS OF THE COUNTRY WHERE THE PARTICIPANT RESIDES OR BE INTERPRETED AS FORMING AN EMPLOYMENT OR SERVICE CONTRACT WITH THE EMPLOYER.</w:t>
      </w:r>
    </w:p>
    <w:p>
      <w:pPr>
        <w:spacing w:after="0" w:line="201" w:lineRule="exact"/>
        <w:rPr>
          <w:sz w:val="20"/>
          <w:szCs w:val="20"/>
          <w:color w:val="auto"/>
        </w:rPr>
      </w:pPr>
    </w:p>
    <w:p>
      <w:pPr>
        <w:ind w:firstLine="8"/>
        <w:spacing w:after="0" w:line="246" w:lineRule="auto"/>
        <w:tabs>
          <w:tab w:leader="none" w:pos="63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Governing Law</w:t>
      </w:r>
      <w:r>
        <w:rPr>
          <w:rFonts w:ascii="Times New Roman" w:cs="Times New Roman" w:eastAsia="Times New Roman" w:hAnsi="Times New Roman"/>
          <w:sz w:val="20"/>
          <w:szCs w:val="20"/>
          <w:color w:val="auto"/>
        </w:rPr>
        <w:t>. The Notice,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as provided in the Notice, the Plan or this Agreement or by means of a writing signed by the Company and the Participant. Nothing in the Notice, the Plan and this Agreement (except as expressly provided therein) is intended to confer any rights or remedies on any persons other than the parties. The Notice,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Notice, the Plan or this Agreement, the Participant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187" w:lineRule="exact"/>
        <w:rPr>
          <w:rFonts w:ascii="Times New Roman" w:cs="Times New Roman" w:eastAsia="Times New Roman" w:hAnsi="Times New Roman"/>
          <w:sz w:val="20"/>
          <w:szCs w:val="20"/>
          <w:color w:val="auto"/>
        </w:rPr>
      </w:pPr>
    </w:p>
    <w:p>
      <w:pPr>
        <w:ind w:right="160" w:firstLine="8"/>
        <w:spacing w:after="0" w:line="251" w:lineRule="auto"/>
        <w:tabs>
          <w:tab w:leader="none" w:pos="63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The Participant acknowledges that the Notice,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Notice, the Plan and this Agreement shall be administered, and the LTI Grant is made, only in such a manner as to conform to such laws, rules and regulations. To the extent permitted by applicable law, the Notice, the Plan and this Agreement shall be deemed amended to the extent necessary to conform to such laws, rules and regulations.</w:t>
      </w:r>
    </w:p>
    <w:p>
      <w:pPr>
        <w:spacing w:after="0" w:line="176" w:lineRule="exact"/>
        <w:rPr>
          <w:rFonts w:ascii="Times New Roman" w:cs="Times New Roman" w:eastAsia="Times New Roman" w:hAnsi="Times New Roman"/>
          <w:sz w:val="20"/>
          <w:szCs w:val="20"/>
          <w:color w:val="auto"/>
        </w:rPr>
      </w:pPr>
    </w:p>
    <w:p>
      <w:pPr>
        <w:ind w:right="40" w:firstLine="8"/>
        <w:spacing w:after="0" w:line="250" w:lineRule="auto"/>
        <w:tabs>
          <w:tab w:leader="none" w:pos="63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 and Interpretation</w:t>
      </w:r>
      <w:r>
        <w:rPr>
          <w:rFonts w:ascii="Times New Roman" w:cs="Times New Roman" w:eastAsia="Times New Roman" w:hAnsi="Times New Roman"/>
          <w:sz w:val="20"/>
          <w:szCs w:val="20"/>
          <w:color w:val="auto"/>
        </w:rPr>
        <w:t>. The terms and provisions of the Plan (a copy of which will be made available online or furnished to the Participant upon written request to the Corporate Secretary, Mondelēz International, Inc., 905 West Fulton Market, Suite 200, Chicago, Illinois 60607, U.S.A.) are incorporated herein by reference. To the extent any provision in the Notice or this Agreement is inconsistent or in conflict with any term or provision of the Plan, the Plan shall govern except as otherwise expressly set forth in this Agreement. The LTI Grant, the vesting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40" w:right="359" w:bottom="1440" w:gutter="0" w:footer="0" w:header="0"/>
        </w:sectPr>
      </w:pPr>
    </w:p>
    <w:bookmarkStart w:id="115" w:name="page116"/>
    <w:bookmarkEnd w:id="115"/>
    <w:p>
      <w:pPr>
        <w:ind w:right="200"/>
        <w:spacing w:after="0" w:line="254" w:lineRule="auto"/>
        <w:rPr>
          <w:sz w:val="20"/>
          <w:szCs w:val="20"/>
          <w:color w:val="auto"/>
        </w:rPr>
      </w:pPr>
      <w:r>
        <w:rPr>
          <w:rFonts w:ascii="Times New Roman" w:cs="Times New Roman" w:eastAsia="Times New Roman" w:hAnsi="Times New Roman"/>
          <w:sz w:val="20"/>
          <w:szCs w:val="20"/>
          <w:color w:val="auto"/>
        </w:rPr>
        <w:t>LTI Grant and any issuance of Common Stock upon payment of the LTI Grant are subject to, and shall be administered in accordance with, the provisions of the Plan, as the same may be amended from time to time. Any question or dispute regarding the administration or interpretation of the Notice, the Plan and this Agreement shall be submitted by the Participant or by the Company to the Committee. The resolution of such question or dispute by the Committee shall be final and binding on all persons.</w:t>
      </w:r>
    </w:p>
    <w:p>
      <w:pPr>
        <w:spacing w:after="0" w:line="174" w:lineRule="exact"/>
        <w:rPr>
          <w:sz w:val="20"/>
          <w:szCs w:val="20"/>
          <w:color w:val="auto"/>
        </w:rPr>
      </w:pPr>
    </w:p>
    <w:p>
      <w:pPr>
        <w:ind w:right="40" w:firstLine="8"/>
        <w:spacing w:after="0" w:line="283" w:lineRule="auto"/>
        <w:tabs>
          <w:tab w:leader="none" w:pos="63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captions used in the Notice and this Agreement are inserted for convenience and shall not be deemed a part of the LTI Grant for construction or interpretation.</w:t>
      </w:r>
    </w:p>
    <w:p>
      <w:pPr>
        <w:spacing w:after="0" w:line="146" w:lineRule="exact"/>
        <w:rPr>
          <w:rFonts w:ascii="Times New Roman" w:cs="Times New Roman" w:eastAsia="Times New Roman" w:hAnsi="Times New Roman"/>
          <w:sz w:val="20"/>
          <w:szCs w:val="20"/>
          <w:color w:val="auto"/>
        </w:rPr>
      </w:pPr>
    </w:p>
    <w:p>
      <w:pPr>
        <w:ind w:right="20" w:firstLine="8"/>
        <w:spacing w:after="0" w:line="249" w:lineRule="auto"/>
        <w:tabs>
          <w:tab w:leader="none" w:pos="63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Participant related to current or future participation in the Plan may also be delivered through electronic means as described in paragraph 26 below.</w:t>
      </w:r>
    </w:p>
    <w:p>
      <w:pPr>
        <w:spacing w:after="0" w:line="179" w:lineRule="exact"/>
        <w:rPr>
          <w:rFonts w:ascii="Times New Roman" w:cs="Times New Roman" w:eastAsia="Times New Roman" w:hAnsi="Times New Roman"/>
          <w:sz w:val="20"/>
          <w:szCs w:val="20"/>
          <w:color w:val="auto"/>
        </w:rPr>
      </w:pPr>
    </w:p>
    <w:p>
      <w:pPr>
        <w:ind w:right="60" w:firstLine="8"/>
        <w:spacing w:after="0" w:line="261" w:lineRule="auto"/>
        <w:tabs>
          <w:tab w:leader="none" w:pos="63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their heirs, executors, administrators, successors and assigns.</w:t>
      </w:r>
    </w:p>
    <w:p>
      <w:pPr>
        <w:spacing w:after="0" w:line="167" w:lineRule="exact"/>
        <w:rPr>
          <w:rFonts w:ascii="Times New Roman" w:cs="Times New Roman" w:eastAsia="Times New Roman" w:hAnsi="Times New Roman"/>
          <w:sz w:val="20"/>
          <w:szCs w:val="20"/>
          <w:color w:val="auto"/>
        </w:rPr>
      </w:pPr>
    </w:p>
    <w:p>
      <w:pPr>
        <w:ind w:right="120" w:firstLine="8"/>
        <w:spacing w:after="0" w:line="254" w:lineRule="auto"/>
        <w:tabs>
          <w:tab w:leader="none" w:pos="63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Whenever feasible, each provision of the Notice, this Agreement and the Plan shall be interpreted in such manner as to be effective and valid under applicable law, but if any provision in the Notice, the Plan or this Agreement is held to be prohibited by or invalid under applicable law, such provision will be ineffective only to the extent of such prohibition or invalidity, without invalidating the remainder of the Notice, the Plan or this Agreement.</w:t>
      </w:r>
    </w:p>
    <w:p>
      <w:pPr>
        <w:spacing w:after="0" w:line="173" w:lineRule="exact"/>
        <w:rPr>
          <w:rFonts w:ascii="Times New Roman" w:cs="Times New Roman" w:eastAsia="Times New Roman" w:hAnsi="Times New Roman"/>
          <w:sz w:val="20"/>
          <w:szCs w:val="20"/>
          <w:color w:val="auto"/>
        </w:rPr>
      </w:pPr>
    </w:p>
    <w:p>
      <w:pPr>
        <w:ind w:right="40" w:firstLine="8"/>
        <w:spacing w:after="0" w:line="248" w:lineRule="auto"/>
        <w:tabs>
          <w:tab w:leader="none" w:pos="63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 This LTI Grant is intended to be exempt from, or otherwise comply with, Section 409A of the Code and shall be interpreted, operated and administered in a manner consistent with such intent. The Company reserves the right, to amend or modify this Agreement at any time, without the consent of the Participant or any other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LTI Grant made hereunder, and Mondelēz Group shall not under any circumstances have any liability to any participant or his estate or any other party for any taxes, penalties or interest due on amounts paid or payable under this Agreement, including taxes, penalties or interest imposed under Section 409A of the Code.</w:t>
      </w:r>
    </w:p>
    <w:p>
      <w:pPr>
        <w:spacing w:after="0" w:line="18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Notwithstanding anything to the contrary in the Agreement, if the Award is considered nonqualified deferred compensation subject to Section 409A of the Code (“Deferred Compensation”) and is settled on or on a date that is by reference to the Participant’s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40" w:right="359" w:bottom="1440" w:gutter="0" w:footer="0" w:header="0"/>
        </w:sectPr>
      </w:pPr>
    </w:p>
    <w:bookmarkStart w:id="116" w:name="page117"/>
    <w:bookmarkEnd w:id="116"/>
    <w:p>
      <w:pPr>
        <w:ind w:right="20"/>
        <w:spacing w:after="0" w:line="250" w:lineRule="auto"/>
        <w:rPr>
          <w:sz w:val="20"/>
          <w:szCs w:val="20"/>
          <w:color w:val="auto"/>
        </w:rPr>
      </w:pPr>
      <w:r>
        <w:rPr>
          <w:rFonts w:ascii="Times New Roman" w:cs="Times New Roman" w:eastAsia="Times New Roman" w:hAnsi="Times New Roman"/>
          <w:sz w:val="20"/>
          <w:szCs w:val="20"/>
          <w:color w:val="auto"/>
        </w:rPr>
        <w:t>from service” and the Participant is a “specified employee” (each within the meaning of Section 409A of the Code and each determined by the Company it its sole discretion) on the date the Participant experiences a separation from service, then the Award (or applicable portion thereof) shall be settled on the first business day of the seventh month following the Participant’s separation from service, or, if earlier, on the date of the Participant’s death, to the extent such delayed payment is required in order to avoid a prohibited distribution under Section 409A of the Code.</w:t>
      </w:r>
    </w:p>
    <w:p>
      <w:pPr>
        <w:spacing w:after="0" w:line="193" w:lineRule="exact"/>
        <w:rPr>
          <w:sz w:val="20"/>
          <w:szCs w:val="20"/>
          <w:color w:val="auto"/>
        </w:rPr>
      </w:pPr>
    </w:p>
    <w:p>
      <w:pPr>
        <w:ind w:right="100" w:firstLine="8"/>
        <w:spacing w:after="0" w:line="254" w:lineRule="auto"/>
        <w:tabs>
          <w:tab w:leader="none" w:pos="63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LTI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Participant’s participation in the Plan or the Participant’s acquisition or sale of any shares of Common Stock issued in payment of the LTI Grant. The Participant understands and agrees that the Participant should consult with their own personal tax, legal and financial advisors regarding the Participant’s participation in the Plan before taking any action related to the Plan.</w:t>
      </w:r>
    </w:p>
    <w:p>
      <w:pPr>
        <w:spacing w:after="0" w:line="173" w:lineRule="exact"/>
        <w:rPr>
          <w:rFonts w:ascii="Times New Roman" w:cs="Times New Roman" w:eastAsia="Times New Roman" w:hAnsi="Times New Roman"/>
          <w:sz w:val="20"/>
          <w:szCs w:val="20"/>
          <w:color w:val="auto"/>
        </w:rPr>
      </w:pPr>
    </w:p>
    <w:p>
      <w:pPr>
        <w:ind w:right="260" w:firstLine="8"/>
        <w:spacing w:after="0" w:line="250" w:lineRule="auto"/>
        <w:tabs>
          <w:tab w:leader="none" w:pos="63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Participant acknowledges that he or she is sufficiently proficient in English, or, alternatively, the Participant acknowledges that he or she will seek appropriate assistance, to understand the terms and conditions in the Agreement. Furthermore, if the Participant has received this Agreement or any other document related to the Plan translated into a language other than English and if the meaning of the translated version is different than the English version, the English version will control, unless otherwise required by applicable law.</w:t>
      </w:r>
    </w:p>
    <w:p>
      <w:pPr>
        <w:spacing w:after="0" w:line="192" w:lineRule="exact"/>
        <w:rPr>
          <w:rFonts w:ascii="Times New Roman" w:cs="Times New Roman" w:eastAsia="Times New Roman" w:hAnsi="Times New Roman"/>
          <w:sz w:val="20"/>
          <w:szCs w:val="20"/>
          <w:color w:val="auto"/>
        </w:rPr>
      </w:pPr>
    </w:p>
    <w:p>
      <w:pPr>
        <w:ind w:right="100" w:firstLine="8"/>
        <w:spacing w:after="0" w:line="250" w:lineRule="auto"/>
        <w:tabs>
          <w:tab w:leader="none" w:pos="63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Appendix</w:t>
      </w:r>
      <w:r>
        <w:rPr>
          <w:rFonts w:ascii="Times New Roman" w:cs="Times New Roman" w:eastAsia="Times New Roman" w:hAnsi="Times New Roman"/>
          <w:sz w:val="20"/>
          <w:szCs w:val="20"/>
          <w:color w:val="auto"/>
        </w:rPr>
        <w:t>. Notwithstanding any provisions in this Agreement, the LTI Grant shall be subject to any terms and conditions set forth in Appendix A to this Agreement for the Participant’s country. Moreover, if the Participant relocates to one of the countries included in Appendix A, the terms and conditions for such country will apply to the Participant, to the extent the Company determines that the application of such terms and conditions is necessary or advisable for legal or administrative reasons. Appendix A constitutes part of this Agreement.</w:t>
      </w:r>
    </w:p>
    <w:p>
      <w:pPr>
        <w:spacing w:after="0" w:line="179" w:lineRule="exact"/>
        <w:rPr>
          <w:rFonts w:ascii="Times New Roman" w:cs="Times New Roman" w:eastAsia="Times New Roman" w:hAnsi="Times New Roman"/>
          <w:sz w:val="20"/>
          <w:szCs w:val="20"/>
          <w:color w:val="auto"/>
        </w:rPr>
      </w:pPr>
    </w:p>
    <w:p>
      <w:pPr>
        <w:ind w:right="140" w:firstLine="8"/>
        <w:spacing w:after="0" w:line="254" w:lineRule="auto"/>
        <w:tabs>
          <w:tab w:leader="none" w:pos="63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3" w:lineRule="exact"/>
        <w:rPr>
          <w:rFonts w:ascii="Times New Roman" w:cs="Times New Roman" w:eastAsia="Times New Roman" w:hAnsi="Times New Roman"/>
          <w:sz w:val="20"/>
          <w:szCs w:val="20"/>
          <w:color w:val="auto"/>
        </w:rPr>
      </w:pPr>
    </w:p>
    <w:p>
      <w:pPr>
        <w:jc w:val="both"/>
        <w:ind w:firstLine="8"/>
        <w:spacing w:after="0" w:line="254" w:lineRule="auto"/>
        <w:tabs>
          <w:tab w:leader="none" w:pos="63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 participation in the Plan or on the LTI Grant and on any shares of Common Stock issued in payment of the LTI Grant, to the extent the Company determines it is necessary or advisable for legal or administrative reasons and to require the Participant to sign any additional agreements or undertakings that may be necessary to accomplish the foregoing.</w:t>
      </w:r>
    </w:p>
    <w:p>
      <w:pPr>
        <w:spacing w:after="0" w:line="187" w:lineRule="exact"/>
        <w:rPr>
          <w:rFonts w:ascii="Times New Roman" w:cs="Times New Roman" w:eastAsia="Times New Roman" w:hAnsi="Times New Roman"/>
          <w:sz w:val="20"/>
          <w:szCs w:val="20"/>
          <w:color w:val="auto"/>
        </w:rPr>
      </w:pPr>
    </w:p>
    <w:p>
      <w:pPr>
        <w:ind w:right="80" w:firstLine="8"/>
        <w:spacing w:after="0" w:line="266" w:lineRule="auto"/>
        <w:tabs>
          <w:tab w:leader="none" w:pos="639"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Insider Trading/Market Abuse Laws</w:t>
      </w:r>
      <w:r>
        <w:rPr>
          <w:rFonts w:ascii="Times New Roman" w:cs="Times New Roman" w:eastAsia="Times New Roman" w:hAnsi="Times New Roman"/>
          <w:sz w:val="19"/>
          <w:szCs w:val="19"/>
          <w:color w:val="auto"/>
        </w:rPr>
        <w:t>. The Participant may be subject to insider trading and/or market abuse laws, which affect the Participant’s ability to accept, acquire, sell or otherwise dispose of shares of Common Stock, rights to such shares (</w:t>
      </w:r>
      <w:r>
        <w:rPr>
          <w:rFonts w:ascii="Times New Roman" w:cs="Times New Roman" w:eastAsia="Times New Roman" w:hAnsi="Times New Roman"/>
          <w:sz w:val="19"/>
          <w:szCs w:val="19"/>
          <w:i w:val="1"/>
          <w:iCs w:val="1"/>
          <w:color w:val="auto"/>
        </w:rPr>
        <w:t>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w:t>
      </w:r>
      <w:r>
        <w:rPr>
          <w:rFonts w:ascii="Times New Roman" w:cs="Times New Roman" w:eastAsia="Times New Roman" w:hAnsi="Times New Roman"/>
          <w:sz w:val="19"/>
          <w:szCs w:val="19"/>
          <w:color w:val="auto"/>
        </w:rPr>
        <w:t>., the LTI Grant) or rights linked to the value of shares of Common Stock under the Plan during such times as the Participant is considered to have “material nonpublic information” or “insider information” regarding the Company (as defined by the laws or regulations in the relevant jurisdictions). Local insider trading laws and regulations may prohibit the cancellation or amendment of orders the Participant places before the Participant possessed inside information. Furthermore, the Participant could be prohibited from (i) disclosing inside information to any third party, including fellow employees (other than on a “need to know” basis) and (ii) “tipping” third parties or causing them otherwise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254" w:lineRule="auto"/>
        <w:rPr>
          <w:sz w:val="20"/>
          <w:szCs w:val="20"/>
          <w:color w:val="auto"/>
        </w:rPr>
      </w:pPr>
      <w:r>
        <w:rPr>
          <w:rFonts w:ascii="Times New Roman" w:cs="Times New Roman" w:eastAsia="Times New Roman" w:hAnsi="Times New Roman"/>
          <w:sz w:val="20"/>
          <w:szCs w:val="20"/>
          <w:color w:val="auto"/>
        </w:rPr>
        <w:t>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Participant acknowledges that it is their responsibility to be compliant with any applicable restrictions, and that the Participant should speak to their personal advisor on this matter.</w:t>
      </w:r>
    </w:p>
    <w:p>
      <w:pPr>
        <w:spacing w:after="0" w:line="174" w:lineRule="exact"/>
        <w:rPr>
          <w:sz w:val="20"/>
          <w:szCs w:val="20"/>
          <w:color w:val="auto"/>
        </w:rPr>
      </w:pPr>
    </w:p>
    <w:p>
      <w:pPr>
        <w:ind w:left="640" w:hanging="632"/>
        <w:spacing w:after="0"/>
        <w:tabs>
          <w:tab w:leader="none" w:pos="6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Control, Tax and Foreign Asset/Account Reporting Requirements</w:t>
      </w:r>
      <w:r>
        <w:rPr>
          <w:rFonts w:ascii="Times New Roman" w:cs="Times New Roman" w:eastAsia="Times New Roman" w:hAnsi="Times New Roman"/>
          <w:sz w:val="20"/>
          <w:szCs w:val="20"/>
          <w:color w:val="auto"/>
        </w:rPr>
        <w:t>. The Participant acknowledges that there may be</w:t>
      </w:r>
    </w:p>
    <w:p>
      <w:pPr>
        <w:spacing w:after="0" w:line="28" w:lineRule="exact"/>
        <w:rPr>
          <w:rFonts w:ascii="Times New Roman" w:cs="Times New Roman" w:eastAsia="Times New Roman" w:hAnsi="Times New Roman"/>
          <w:sz w:val="20"/>
          <w:szCs w:val="20"/>
          <w:color w:val="auto"/>
        </w:rPr>
      </w:pPr>
    </w:p>
    <w:p>
      <w:pPr>
        <w:ind w:right="2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control, tax,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bank account or legal entity outside the Participant’s country. The Participant may be required to report such accounts, balances, assets and/or the related transactions to the tax or other authorities in their country. The Participant also may be required to repatriate sale proceeds or other funds received as a result of the Participant’s participation in the Plan to their country through a designated bank or broker within a certain time after receipt. In addition, the Participant agrees to take any and all actions required by the Company, any other entity in the Mondelēz Group or the local laws, rules and regulations in the Participant’s country of residence (and country of employment, if different) that may be required to comply with such laws, rules and regulations. The Participant acknowledges that it is the Participant’s responsibility to be compliant with such regulations, and the Participant understands and agrees that the Participant should consult their personal legal advisor for any details.</w:t>
      </w:r>
    </w:p>
    <w:p>
      <w:pPr>
        <w:spacing w:after="0" w:line="188" w:lineRule="exact"/>
        <w:rPr>
          <w:rFonts w:ascii="Times New Roman" w:cs="Times New Roman" w:eastAsia="Times New Roman" w:hAnsi="Times New Roman"/>
          <w:sz w:val="20"/>
          <w:szCs w:val="20"/>
          <w:color w:val="auto"/>
        </w:rPr>
      </w:pPr>
    </w:p>
    <w:p>
      <w:pPr>
        <w:ind w:right="400" w:firstLine="8"/>
        <w:spacing w:after="0" w:line="254" w:lineRule="auto"/>
        <w:tabs>
          <w:tab w:leader="none" w:pos="63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Participant acknowledges that a waiver by the Company of a breach of any provision of this Agreement shall not operate or be construed as a waiver of any other provision of this Agreement or of any subsequent breach by the Participant or any other participant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40" w:right="379" w:bottom="1440" w:gutter="0" w:footer="0" w:header="0"/>
        </w:sectPr>
      </w:pPr>
    </w:p>
    <w:bookmarkStart w:id="118" w:name="page119"/>
    <w:bookmarkEnd w:id="118"/>
    <w:p>
      <w:pPr>
        <w:ind w:left="5800"/>
        <w:spacing w:after="0"/>
        <w:rPr>
          <w:sz w:val="20"/>
          <w:szCs w:val="20"/>
          <w:color w:val="auto"/>
        </w:rPr>
      </w:pPr>
      <w:r>
        <w:rPr>
          <w:rFonts w:ascii="Times New Roman" w:cs="Times New Roman" w:eastAsia="Times New Roman" w:hAnsi="Times New Roman"/>
          <w:sz w:val="20"/>
          <w:szCs w:val="20"/>
          <w:color w:val="auto"/>
        </w:rPr>
        <w:t>***</w:t>
      </w:r>
    </w:p>
    <w:p>
      <w:pPr>
        <w:spacing w:after="0" w:line="23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The Participant acknowledges that the Participant has reviewed the Plan, the Notice and this Agreement (including any appendices hereto) in their entirety and fully understands their respective provisions. The Participant agrees to accept as binding, conclusive and final all decisions or interpretations of the Committee upon any questions arising under the Plan, the Notice or this Agreement.</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this Agreement has been executed as of the date of the Notice.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MONDELĒZ INTERNATIONAL, INC.</w:t>
      </w:r>
    </w:p>
    <w:p>
      <w:pPr>
        <w:spacing w:after="0" w:line="21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/s/ Laura Stein</w:t>
      </w:r>
    </w:p>
    <w:p>
      <w:pPr>
        <w:spacing w:after="0" w:line="2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Laura Stein</w:t>
      </w:r>
    </w:p>
    <w:p>
      <w:pPr>
        <w:spacing w:after="0" w:line="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Executive Vice President,</w:t>
      </w:r>
    </w:p>
    <w:p>
      <w:pPr>
        <w:ind w:left="4220"/>
        <w:spacing w:after="0"/>
        <w:rPr>
          <w:sz w:val="20"/>
          <w:szCs w:val="20"/>
          <w:color w:val="auto"/>
        </w:rPr>
      </w:pPr>
      <w:r>
        <w:rPr>
          <w:rFonts w:ascii="Times New Roman" w:cs="Times New Roman" w:eastAsia="Times New Roman" w:hAnsi="Times New Roman"/>
          <w:sz w:val="20"/>
          <w:szCs w:val="20"/>
          <w:color w:val="auto"/>
        </w:rPr>
        <w:t>Corporate &amp; Legal Affairs,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17</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0960"/>
          </w:cols>
          <w:pgMar w:left="320" w:top="1440" w:right="619" w:bottom="1440" w:gutter="0" w:footer="0" w:header="0"/>
        </w:sectPr>
      </w:pPr>
    </w:p>
    <w:bookmarkStart w:id="119" w:name="page120"/>
    <w:bookmarkEnd w:id="119"/>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MONDELĒZ INTERNATIONAL,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2024 PERFORMANCE INCENTIVE PLAN</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ADDITIONAL TERMS AND CONDITIONS OF THE</w:t>
      </w:r>
    </w:p>
    <w:p>
      <w:pPr>
        <w:spacing w:after="0" w:line="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GLOBAL LONG-TERM INCENTIVE GRANT AGREEMENT</w:t>
      </w:r>
    </w:p>
    <w:p>
      <w:pPr>
        <w:spacing w:after="0" w:line="260"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20"/>
          <w:szCs w:val="20"/>
          <w:color w:val="auto"/>
        </w:rPr>
        <w:t>This Appendix A includes additional terms and conditions that govern the LTI Grant to the Participant under the Plan if he or she resides and/or works in one of the countries listed herein. If the Participant is a citizen or resident (or is considered as such for local law purposes) of a country other than the country in which the Participant is currently residing and/or working, or if the Participant transfers to another country after receiving the LTI Grant, the Company shall, in its discretion, determine to what extent the terms and conditions contained herein shall be applicable to the Participant. Certain capitalized terms used but not defined in this Appendix A have the meanings set forth in the Plan and/or the Agreement.</w:t>
      </w:r>
    </w:p>
    <w:p>
      <w:pPr>
        <w:spacing w:after="0" w:line="232"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auto"/>
        </w:rPr>
        <w:t>This Appendix A also includes information regarding securities, exchange control and certain other issues of which the Participant should be aware with respect to participation in the Plan. The information is based on the securities, exchange control and other laws in effect in the respective countries as of December 2025. Such laws are often complex and change frequently. As a result, the Participant should not rely on the information in this Appendix A as the only source of information relating to the consequences of their participation in the Plan because the information may be out of date at the time the Participant vests in the LTI Grant or sells shares of Common Stock acquired under the Plan.</w:t>
      </w:r>
    </w:p>
    <w:p>
      <w:pPr>
        <w:spacing w:after="0" w:line="25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the Participant’s particular situation, and the Company is not in a position to assure the Participant of a particular result. Accordingly, the Participant should seek appropriate professional advice as to how the relevant laws in their country may apply to the Participant’s situation.</w:t>
      </w:r>
    </w:p>
    <w:p>
      <w:pPr>
        <w:spacing w:after="0" w:line="189" w:lineRule="exact"/>
        <w:rPr>
          <w:sz w:val="20"/>
          <w:szCs w:val="20"/>
          <w:color w:val="auto"/>
        </w:rPr>
      </w:pPr>
    </w:p>
    <w:p>
      <w:pPr>
        <w:ind w:right="380"/>
        <w:spacing w:after="0" w:line="303" w:lineRule="auto"/>
        <w:rPr>
          <w:sz w:val="20"/>
          <w:szCs w:val="20"/>
          <w:color w:val="auto"/>
        </w:rPr>
      </w:pPr>
      <w:r>
        <w:rPr>
          <w:rFonts w:ascii="Times New Roman" w:cs="Times New Roman" w:eastAsia="Times New Roman" w:hAnsi="Times New Roman"/>
          <w:sz w:val="20"/>
          <w:szCs w:val="20"/>
          <w:color w:val="auto"/>
        </w:rPr>
        <w:t>Finally, if the Participant is a citizen or resident of a country other than the one in which the Participant is currently working, transfers employment after the LTI Grant is made, or is considered a resident of another country for local law purposes, the information contained herein may not be applicable to the Participant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18</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40" w:right="3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u w:val="single" w:color="auto"/>
          <w:color w:val="auto"/>
        </w:rPr>
        <w:t>EUROPEAN UNION / EUROPEAN ECONOMIC AREA, SWITZERLAND AND THE UNITED KINGDOM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Notice</w:t>
      </w:r>
      <w:r>
        <w:rPr>
          <w:rFonts w:ascii="Times New Roman" w:cs="Times New Roman" w:eastAsia="Times New Roman" w:hAnsi="Times New Roman"/>
          <w:sz w:val="20"/>
          <w:szCs w:val="20"/>
          <w:color w:val="auto"/>
        </w:rPr>
        <w:t>. The following provision replaces in its entirety paragraph 10 of the Agreement:</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If the Participant is based in the European Union (“EU”), the European Economic Area, Switzerland or the United Kingdom, the Participant should note that Mondelēz International, Inc., with registered address at 905 West Fulton Market, Suite 200, Chicago, Illinois 60607, U.S.A. is the controller responsible for the processing of the Participant’s Personal Data (as defined below) in connection with the Agreement and the Plan.</w:t>
      </w:r>
    </w:p>
    <w:p>
      <w:pPr>
        <w:spacing w:after="0" w:line="188"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19"/>
          <w:szCs w:val="19"/>
          <w:u w:val="single" w:color="auto"/>
          <w:color w:val="auto"/>
        </w:rPr>
        <w:t>Data Collection and Usage</w:t>
      </w:r>
      <w:r>
        <w:rPr>
          <w:rFonts w:ascii="Times New Roman" w:cs="Times New Roman" w:eastAsia="Times New Roman" w:hAnsi="Times New Roman"/>
          <w:sz w:val="19"/>
          <w:szCs w:val="19"/>
          <w:color w:val="auto"/>
        </w:rPr>
        <w:t>. Pursuant to applicable data protection laws, the Participant is hereby notified that the Company collects, processes and uses the following types of personal data about the Participant: name, home address and telephone number, email address, date of birth, social insurance, passport number or other identification number, salary, nationality, job title, any shares of stock or directorships held in any entity in the Mondelēz Group, details of all LTI Grants or any other entitlement to shares awarded, canceled, settled, vested, unvested or outstanding in the Participant’s favor, which the Company receives from the Participant or the Employer (“Personal Data”) for the exclusive legitimate purpose of the LTI Grant and implementing, administering and managing the Participant’s participation in the Plan.</w:t>
      </w:r>
    </w:p>
    <w:p>
      <w:pPr>
        <w:spacing w:after="0" w:line="164" w:lineRule="exact"/>
        <w:rPr>
          <w:sz w:val="20"/>
          <w:szCs w:val="20"/>
          <w:color w:val="auto"/>
        </w:rPr>
      </w:pPr>
    </w:p>
    <w:p>
      <w:pPr>
        <w:ind w:right="140"/>
        <w:spacing w:after="0" w:line="311" w:lineRule="auto"/>
        <w:rPr>
          <w:sz w:val="20"/>
          <w:szCs w:val="20"/>
          <w:color w:val="auto"/>
        </w:rPr>
      </w:pPr>
      <w:r>
        <w:rPr>
          <w:rFonts w:ascii="Times New Roman" w:cs="Times New Roman" w:eastAsia="Times New Roman" w:hAnsi="Times New Roman"/>
          <w:sz w:val="19"/>
          <w:szCs w:val="19"/>
          <w:u w:val="single" w:color="auto"/>
          <w:color w:val="auto"/>
        </w:rPr>
        <w:t>Purposes and Legal Bases of Processing</w:t>
      </w:r>
      <w:r>
        <w:rPr>
          <w:rFonts w:ascii="Times New Roman" w:cs="Times New Roman" w:eastAsia="Times New Roman" w:hAnsi="Times New Roman"/>
          <w:sz w:val="19"/>
          <w:szCs w:val="19"/>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Participant equity awards. The Participant understands that providing the Company with Personal Data is necessary for the performance of the Agreement and that the Participant’s refusal to provide Personal Data would make it impossible for the Company to perform its contractual obligations and may affect the Participant’s ability to participate in the Plan.</w:t>
      </w:r>
    </w:p>
    <w:p>
      <w:pPr>
        <w:spacing w:after="0" w:line="177" w:lineRule="exact"/>
        <w:rPr>
          <w:sz w:val="20"/>
          <w:szCs w:val="20"/>
          <w:color w:val="auto"/>
        </w:rPr>
      </w:pPr>
    </w:p>
    <w:p>
      <w:pPr>
        <w:ind w:right="160"/>
        <w:spacing w:after="0" w:line="307" w:lineRule="auto"/>
        <w:rPr>
          <w:sz w:val="20"/>
          <w:szCs w:val="20"/>
          <w:color w:val="auto"/>
        </w:rPr>
      </w:pPr>
      <w:r>
        <w:rPr>
          <w:rFonts w:ascii="Times New Roman" w:cs="Times New Roman" w:eastAsia="Times New Roman" w:hAnsi="Times New Roman"/>
          <w:sz w:val="19"/>
          <w:szCs w:val="19"/>
          <w:u w:val="single" w:color="auto"/>
          <w:color w:val="auto"/>
        </w:rPr>
        <w:t>International Data Transfers</w:t>
      </w:r>
      <w:r>
        <w:rPr>
          <w:rFonts w:ascii="Times New Roman" w:cs="Times New Roman" w:eastAsia="Times New Roman" w:hAnsi="Times New Roman"/>
          <w:sz w:val="19"/>
          <w:szCs w:val="19"/>
          <w:color w:val="auto"/>
        </w:rPr>
        <w:t>. The Company is located in the United States which means that it will be necessary for Personal Data to be transferred to, and processed in, the United States. The Participant understands and acknowledges that the United States is not subject to an unlimited adequacy finding by the European Commission and that the Participant’s Personal Data may not have an equivalent level of protection as compared to the Participant’s country of residence. To provide appropriate safeguards for the protection of the Participant’s Personal Data, the Personal Data is transferred to the Company based on data transfer and processing agreements implementing the EU Standard Contractual Clauses. Further, the Participant understands that the Company transfers their Personal Data, or parts thereof to third parties based on agreements implementing the EU Standard Contractual Clauses. These third parties include Morgan Stanley Smith Barney, LLC and its affiliates (“Morgan Stanley”), an independent service provider based in the United States which assists the Company with the implementation, administration and management of the Plan. Morgan Stanley has opened or will open an account for the Participant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19</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36" w:right="339" w:bottom="1440" w:gutter="0" w:footer="0" w:header="0"/>
        </w:sectPr>
      </w:pPr>
    </w:p>
    <w:bookmarkStart w:id="121" w:name="page122"/>
    <w:bookmarkEnd w:id="121"/>
    <w:p>
      <w:pPr>
        <w:spacing w:after="0" w:line="293" w:lineRule="auto"/>
        <w:rPr>
          <w:sz w:val="20"/>
          <w:szCs w:val="20"/>
          <w:color w:val="auto"/>
        </w:rPr>
      </w:pPr>
      <w:r>
        <w:rPr>
          <w:rFonts w:ascii="Times New Roman" w:cs="Times New Roman" w:eastAsia="Times New Roman" w:hAnsi="Times New Roman"/>
          <w:sz w:val="20"/>
          <w:szCs w:val="20"/>
          <w:color w:val="auto"/>
        </w:rPr>
        <w:t>receive and trade shares of Common Stock acquired under the Plan. The Participant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Participant may be asked to agree on separate terms and data processing practices with Morgan Stanley, PricewaterhouseCoopers LLP or KPMG LLP with such agreement being a condition to the Participant’s ability to participate in the Plan.</w:t>
      </w:r>
    </w:p>
    <w:p>
      <w:pPr>
        <w:spacing w:after="0" w:line="178" w:lineRule="exact"/>
        <w:rPr>
          <w:sz w:val="20"/>
          <w:szCs w:val="20"/>
          <w:color w:val="auto"/>
        </w:rPr>
      </w:pPr>
    </w:p>
    <w:p>
      <w:pPr>
        <w:ind w:right="760"/>
        <w:spacing w:after="0" w:line="325" w:lineRule="auto"/>
        <w:rPr>
          <w:sz w:val="20"/>
          <w:szCs w:val="20"/>
          <w:color w:val="auto"/>
        </w:rPr>
      </w:pPr>
      <w:r>
        <w:rPr>
          <w:rFonts w:ascii="Times New Roman" w:cs="Times New Roman" w:eastAsia="Times New Roman" w:hAnsi="Times New Roman"/>
          <w:sz w:val="20"/>
          <w:szCs w:val="20"/>
          <w:color w:val="auto"/>
        </w:rPr>
        <w:t xml:space="preserve">The Participant may request a copy of the safeguards used to protect their Personal Data or the names and addresses of any potential recipients of Personal Data by contacting the Company at: </w:t>
      </w:r>
      <w:r>
        <w:rPr>
          <w:rFonts w:ascii="Times New Roman" w:cs="Times New Roman" w:eastAsia="Times New Roman" w:hAnsi="Times New Roman"/>
          <w:sz w:val="20"/>
          <w:szCs w:val="20"/>
          <w:u w:val="single" w:color="auto"/>
          <w:color w:val="0000FF"/>
        </w:rPr>
        <w:t>DataProtectionOfficeMEU@mdlz.com</w:t>
      </w:r>
      <w:r>
        <w:rPr>
          <w:rFonts w:ascii="Times New Roman" w:cs="Times New Roman" w:eastAsia="Times New Roman" w:hAnsi="Times New Roman"/>
          <w:sz w:val="20"/>
          <w:szCs w:val="20"/>
          <w:color w:val="auto"/>
        </w:rPr>
        <w:t>.</w:t>
      </w:r>
    </w:p>
    <w:p>
      <w:pPr>
        <w:spacing w:after="0" w:line="147"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20"/>
          <w:szCs w:val="20"/>
          <w:u w:val="single" w:color="auto"/>
          <w:color w:val="auto"/>
        </w:rPr>
        <w:t>Data Retention</w:t>
      </w:r>
      <w:r>
        <w:rPr>
          <w:rFonts w:ascii="Times New Roman" w:cs="Times New Roman" w:eastAsia="Times New Roman" w:hAnsi="Times New Roman"/>
          <w:sz w:val="20"/>
          <w:szCs w:val="20"/>
          <w:color w:val="auto"/>
        </w:rPr>
        <w:t>. The Company will use the Personal Data only as long as necessary to implement, administer and manage the Participant’s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spacing w:after="0" w:line="188"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u w:val="single" w:color="auto"/>
          <w:color w:val="auto"/>
        </w:rPr>
        <w:t>Data Subject Rights</w:t>
      </w:r>
      <w:r>
        <w:rPr>
          <w:rFonts w:ascii="Times New Roman" w:cs="Times New Roman" w:eastAsia="Times New Roman" w:hAnsi="Times New Roman"/>
          <w:sz w:val="20"/>
          <w:szCs w:val="20"/>
          <w:color w:val="auto"/>
        </w:rPr>
        <w:t xml:space="preserve">. To the extent provided by law, the Participant has the right to (i) inquire whether and what kind of Personal Data the Company holds about the Participant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Participant feels its processing is inappropriate, (v) object, in certain circumstances, to the processing of Personal Data for legitimate interests, (vi) request portability of Personal Data that the Participant has actively or passively provided to the Company, where the processing of such Personal Data is based on consent or a contractual agreement with the Participant and is carried out by automated means, or (vii) lodge a complaint with the competent local data protection authority. To receive additional information regarding the Participant’s rights, raise any other questions regarding the practices described in the Agreement or to exercise their rights, the Participant should contact the Company at: </w:t>
      </w:r>
      <w:r>
        <w:rPr>
          <w:rFonts w:ascii="Times New Roman" w:cs="Times New Roman" w:eastAsia="Times New Roman" w:hAnsi="Times New Roman"/>
          <w:sz w:val="20"/>
          <w:szCs w:val="20"/>
          <w:u w:val="single" w:color="auto"/>
          <w:color w:val="0000FF"/>
        </w:rPr>
        <w:t>DataProtectionOfficeMEU@mdlz.com</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ARGENTINA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ind w:right="300"/>
        <w:spacing w:after="0" w:line="329" w:lineRule="auto"/>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Notwithstanding anything to the contrary in the Agreement, paragraph 6 of the Agreement will not apply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Argentinian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20</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color w:val="auto"/>
        </w:rPr>
        <w:t>Labor Law Policy and Acknowledgement</w:t>
      </w:r>
      <w:r>
        <w:rPr>
          <w:rFonts w:ascii="Times New Roman" w:cs="Times New Roman" w:eastAsia="Times New Roman" w:hAnsi="Times New Roman"/>
          <w:sz w:val="20"/>
          <w:szCs w:val="20"/>
          <w:color w:val="auto"/>
        </w:rPr>
        <w:t>. The following provision supplements paragraph 9 of the Agreement:</w:t>
      </w:r>
    </w:p>
    <w:p>
      <w:pPr>
        <w:spacing w:after="0" w:line="260"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20"/>
          <w:szCs w:val="20"/>
          <w:color w:val="auto"/>
        </w:rPr>
        <w:t>The Participant acknowledges and agrees that the grant is made by the Company (not the Employer) in its sole discretion and that the value of the LTI Grant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75" w:lineRule="exact"/>
        <w:rPr>
          <w:sz w:val="20"/>
          <w:szCs w:val="20"/>
          <w:color w:val="auto"/>
        </w:rPr>
      </w:pPr>
    </w:p>
    <w:p>
      <w:pPr>
        <w:ind w:right="480"/>
        <w:spacing w:after="0" w:line="325" w:lineRule="auto"/>
        <w:rPr>
          <w:sz w:val="20"/>
          <w:szCs w:val="20"/>
          <w:color w:val="auto"/>
        </w:rPr>
      </w:pPr>
      <w:r>
        <w:rPr>
          <w:rFonts w:ascii="Times New Roman" w:cs="Times New Roman" w:eastAsia="Times New Roman" w:hAnsi="Times New Roman"/>
          <w:sz w:val="20"/>
          <w:szCs w:val="20"/>
          <w:color w:val="auto"/>
        </w:rPr>
        <w:t>If, notwithstanding the foregoing, any benefits under the Plan are considered for any purpose under Argentine labor law, the Participant acknowledges and agrees that such benefits shall not accrue more frequently than on each vesting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Neither the LTI Grant nor the underlying shares of Common Stock are publicly offered or listed on any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in Argentina and, as a result, have not been and will not be registered with the Argentine Securities Commission (</w:t>
      </w:r>
      <w:r>
        <w:rPr>
          <w:rFonts w:ascii="Times New Roman" w:cs="Times New Roman" w:eastAsia="Times New Roman" w:hAnsi="Times New Roman"/>
          <w:sz w:val="20"/>
          <w:szCs w:val="20"/>
          <w:i w:val="1"/>
          <w:iCs w:val="1"/>
          <w:color w:val="auto"/>
        </w:rPr>
        <w:t>Comisión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Nacional de Valores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CNV</w:t>
      </w:r>
      <w:r>
        <w:rPr>
          <w:rFonts w:ascii="Times New Roman" w:cs="Times New Roman" w:eastAsia="Times New Roman" w:hAnsi="Times New Roman"/>
          <w:sz w:val="20"/>
          <w:szCs w:val="20"/>
          <w:color w:val="auto"/>
        </w:rPr>
        <w:t>”). Neither this Agreement nor any other offering material related to the LTI Grant nor the underlying shares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may be utilized in connection with any general offering to the public in Argentina. Any Argentine resident who acquires shares of Common Stock under the Plan does so under their own responsibility under the terms of a private offering made to the Argentine resident from outside Argentina. Any Argentine resident who acquires shares of Common Stock shall not transfer such shares of Common Stock to any other person within six (6) months of acquiring the shares of Common Stock, unless the transaction is conducted outside Argentina.</w:t>
      </w:r>
    </w:p>
    <w:p>
      <w:pPr>
        <w:spacing w:after="0" w:line="178"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The Participant is solely responsible for complying with the exchange control rules that may apply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their participation in the Plan and/or the transfer of proceeds acquired under the Plan into Argentina. Prior to vesting of the LTI Grant or transferring proceeds into Argentina, the Participant should consult their local bank and exchange control advisor to confirm the exchange control rules and required documentation.</w:t>
      </w:r>
    </w:p>
    <w:p>
      <w:pPr>
        <w:spacing w:after="0" w:line="165" w:lineRule="exact"/>
        <w:rPr>
          <w:sz w:val="20"/>
          <w:szCs w:val="20"/>
          <w:color w:val="auto"/>
        </w:rPr>
      </w:pPr>
    </w:p>
    <w:p>
      <w:pPr>
        <w:ind w:right="380"/>
        <w:spacing w:after="0" w:line="315"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Participant must report holdings of any equity interest in a foreign company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acquired under the Plan) on their annual tax return each year.</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Law Disclosure</w:t>
      </w:r>
      <w:r>
        <w:rPr>
          <w:rFonts w:ascii="Times New Roman" w:cs="Times New Roman" w:eastAsia="Times New Roman" w:hAnsi="Times New Roman"/>
          <w:sz w:val="20"/>
          <w:szCs w:val="20"/>
          <w:color w:val="auto"/>
        </w:rPr>
        <w:t>. This offer is being made under Division 1A, Part 7.12 of the Corporations Act 2001 (Cth).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21</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36" w:right="379" w:bottom="1440" w:gutter="0" w:footer="0" w:header="0"/>
        </w:sectPr>
      </w:pPr>
    </w:p>
    <w:bookmarkStart w:id="123" w:name="page124"/>
    <w:bookmarkEnd w:id="123"/>
    <w:p>
      <w:pPr>
        <w:ind w:right="120"/>
        <w:spacing w:after="0" w:line="297" w:lineRule="auto"/>
        <w:rPr>
          <w:sz w:val="20"/>
          <w:szCs w:val="20"/>
          <w:color w:val="auto"/>
        </w:rPr>
      </w:pPr>
      <w:r>
        <w:rPr>
          <w:rFonts w:ascii="Times New Roman" w:cs="Times New Roman" w:eastAsia="Times New Roman" w:hAnsi="Times New Roman"/>
          <w:sz w:val="20"/>
          <w:szCs w:val="20"/>
          <w:b w:val="1"/>
          <w:bCs w:val="1"/>
          <w:color w:val="auto"/>
        </w:rPr>
        <w:t>No payment constituting breach of law in Australia</w:t>
      </w:r>
      <w:r>
        <w:rPr>
          <w:rFonts w:ascii="Times New Roman" w:cs="Times New Roman" w:eastAsia="Times New Roman" w:hAnsi="Times New Roman"/>
          <w:sz w:val="20"/>
          <w:szCs w:val="20"/>
          <w:color w:val="auto"/>
        </w:rPr>
        <w:t>. Notwithstanding anything else in the Plan or the Agreement, the Participant will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260"/>
        <w:spacing w:after="0" w:line="305"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Exchange control reporting is required for cash transactions exceeding a certain threshold (currently,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AUD10,000) and for international fund transfers. If an Australian bank is assisting with the transaction, the bank will file the report on the Participant’s behalf, otherwise the Participant will be responsible for complying with any exchange control reporting requirements.</w:t>
      </w:r>
    </w:p>
    <w:p>
      <w:pPr>
        <w:spacing w:after="0" w:line="163" w:lineRule="exact"/>
        <w:rPr>
          <w:sz w:val="20"/>
          <w:szCs w:val="20"/>
          <w:color w:val="auto"/>
        </w:rPr>
      </w:pPr>
    </w:p>
    <w:p>
      <w:pPr>
        <w:ind w:right="60"/>
        <w:spacing w:after="0" w:line="329" w:lineRule="auto"/>
        <w:rPr>
          <w:sz w:val="20"/>
          <w:szCs w:val="20"/>
          <w:color w:val="auto"/>
        </w:rPr>
      </w:pPr>
      <w:r>
        <w:rPr>
          <w:rFonts w:ascii="Times New Roman" w:cs="Times New Roman" w:eastAsia="Times New Roman" w:hAnsi="Times New Roman"/>
          <w:sz w:val="20"/>
          <w:szCs w:val="20"/>
          <w:b w:val="1"/>
          <w:bCs w:val="1"/>
          <w:color w:val="auto"/>
        </w:rPr>
        <w:t xml:space="preserve">Tax Notification. </w:t>
      </w:r>
      <w:r>
        <w:rPr>
          <w:rFonts w:ascii="Times New Roman" w:cs="Times New Roman" w:eastAsia="Times New Roman" w:hAnsi="Times New Roman"/>
          <w:sz w:val="20"/>
          <w:szCs w:val="20"/>
          <w:color w:val="auto"/>
        </w:rPr>
        <w:t>The Plan is a plan to which Subdivision 83A-C of the Income Tax Assessment Act 1997 (Cth) (the “Act”) applies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conditions in the Act).</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AUSTRIA</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Participant holds securities (including shares of Common Stock acquired under the Plan) or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proceeds from the sale of shares of Common Stock) outside of Austria, he or she may be subject to reporting obligations to the Austrian National Bank. If the value of the shares of Common Stock meets or exceeds a certain threshold, the Participant must report the securities held on a quarterly basis to the Austrian National Bank as of the last day of the quarter, on or before the 15th day of the month following the end of the calendar quarter. Where the cash amounts held outside of Austria meet or exceed a certain threshold, monthly reporting obligations apply as explained in the next paragraph.</w:t>
      </w:r>
    </w:p>
    <w:p>
      <w:pPr>
        <w:spacing w:after="0" w:line="177"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20"/>
          <w:szCs w:val="20"/>
          <w:color w:val="auto"/>
        </w:rPr>
        <w:t>If the Participant sells shares of Common Stock, or receives any cash dividends, the Participant may have exchange control obligations if the Participant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on the prescribed form (</w:t>
      </w:r>
      <w:r>
        <w:rPr>
          <w:rFonts w:ascii="Times New Roman" w:cs="Times New Roman" w:eastAsia="Times New Roman" w:hAnsi="Times New Roman"/>
          <w:sz w:val="20"/>
          <w:szCs w:val="20"/>
          <w:i w:val="1"/>
          <w:iCs w:val="1"/>
          <w:color w:val="auto"/>
        </w:rPr>
        <w:t>Meldungen SI-Forderungen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und/oder SI-Verpflichtungen</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BELGIUM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70"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Participant is required to report any securities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of Common Stock acquired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Plan) or bank accounts established outside of Belgium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22</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36" w:right="379" w:bottom="1440" w:gutter="0" w:footer="0" w:header="0"/>
        </w:sectPr>
      </w:pPr>
    </w:p>
    <w:bookmarkStart w:id="124" w:name="page125"/>
    <w:bookmarkEnd w:id="124"/>
    <w:p>
      <w:pPr>
        <w:ind w:right="40"/>
        <w:spacing w:after="0" w:line="296" w:lineRule="auto"/>
        <w:rPr>
          <w:sz w:val="20"/>
          <w:szCs w:val="20"/>
          <w:color w:val="auto"/>
        </w:rPr>
      </w:pPr>
      <w:r>
        <w:rPr>
          <w:rFonts w:ascii="Times New Roman" w:cs="Times New Roman" w:eastAsia="Times New Roman" w:hAnsi="Times New Roman"/>
          <w:sz w:val="20"/>
          <w:szCs w:val="20"/>
          <w:color w:val="auto"/>
        </w:rPr>
        <w:t>on their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Participant should consult a personal tax advisor with respect to the applicable reporting obligations.</w:t>
      </w:r>
    </w:p>
    <w:p>
      <w:pPr>
        <w:spacing w:after="0" w:line="184" w:lineRule="exact"/>
        <w:rPr>
          <w:sz w:val="20"/>
          <w:szCs w:val="20"/>
          <w:color w:val="auto"/>
        </w:rPr>
      </w:pPr>
    </w:p>
    <w:p>
      <w:pPr>
        <w:ind w:right="60"/>
        <w:spacing w:after="0" w:line="319" w:lineRule="auto"/>
        <w:rPr>
          <w:sz w:val="20"/>
          <w:szCs w:val="20"/>
          <w:color w:val="auto"/>
        </w:rPr>
      </w:pPr>
      <w:r>
        <w:rPr>
          <w:rFonts w:ascii="Times New Roman" w:cs="Times New Roman" w:eastAsia="Times New Roman" w:hAnsi="Times New Roman"/>
          <w:sz w:val="20"/>
          <w:szCs w:val="20"/>
          <w:b w:val="1"/>
          <w:bCs w:val="1"/>
          <w:color w:val="auto"/>
        </w:rPr>
        <w:t>Stock Exchange Tax Information</w:t>
      </w:r>
      <w:r>
        <w:rPr>
          <w:rFonts w:ascii="Times New Roman" w:cs="Times New Roman" w:eastAsia="Times New Roman" w:hAnsi="Times New Roman"/>
          <w:sz w:val="20"/>
          <w:szCs w:val="20"/>
          <w:color w:val="auto"/>
        </w:rPr>
        <w:t>. A stock exchange tax applies to transactions executed by Belgian residents through a non-Belgian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intermediary, such as a U.S. broker. The stock exchange tax will apply when shares of Common Stock acquired upon vesting of the LTI Grant are sold.</w:t>
      </w:r>
    </w:p>
    <w:p>
      <w:pPr>
        <w:spacing w:after="0" w:line="190"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20"/>
          <w:szCs w:val="20"/>
          <w:b w:val="1"/>
          <w:bCs w:val="1"/>
          <w:color w:val="auto"/>
        </w:rPr>
        <w:t>Annual Securities Accounts Tax</w:t>
      </w:r>
      <w:r>
        <w:rPr>
          <w:rFonts w:ascii="Times New Roman" w:cs="Times New Roman" w:eastAsia="Times New Roman" w:hAnsi="Times New Roman"/>
          <w:sz w:val="20"/>
          <w:szCs w:val="20"/>
          <w:color w:val="auto"/>
        </w:rPr>
        <w:t>. An annual securities accounts tax may be payable if the total average value of securities held in a Belgian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foreign securities account (e.g., shares of Common Stock acquired under the Plan) exceeds a certain threshold on four reference dates within the relevant reporting period (i.e., December 31, March 31, June 30 and September 30). In such case, the tax will be due on the value of the qualifying securities held in such account. Belgian residents should consult with their personal tax advisor regarding the application of this tax.</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BRAZIL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20"/>
          <w:szCs w:val="20"/>
          <w:b w:val="1"/>
          <w:bCs w:val="1"/>
          <w:color w:val="auto"/>
        </w:rPr>
        <w:t>Compliance with Law</w:t>
      </w:r>
      <w:r>
        <w:rPr>
          <w:rFonts w:ascii="Times New Roman" w:cs="Times New Roman" w:eastAsia="Times New Roman" w:hAnsi="Times New Roman"/>
          <w:sz w:val="20"/>
          <w:szCs w:val="20"/>
          <w:color w:val="auto"/>
        </w:rPr>
        <w:t>. By participating in the Plan and receiving the LTI Grant, the Participant acknowledges that he or she agrees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comply with applicable Brazilian laws and pay any and all applicable Tax-Related Items associated with the vesting of the LTI Grant and the payout or sale of any shares of Common Stock acquired under the Plan.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Labor Law Acknowledgment. </w:t>
      </w:r>
      <w:r>
        <w:rPr>
          <w:rFonts w:ascii="Times New Roman" w:cs="Times New Roman" w:eastAsia="Times New Roman" w:hAnsi="Times New Roman"/>
          <w:sz w:val="19"/>
          <w:szCs w:val="19"/>
          <w:color w:val="auto"/>
        </w:rPr>
        <w:t>By accepting the LTI Grant, the Participant understands, acknowledges and agrees that, for all legal purposes</w:t>
      </w:r>
    </w:p>
    <w:p>
      <w:pPr>
        <w:spacing w:after="0" w:line="69" w:lineRule="exact"/>
        <w:rPr>
          <w:sz w:val="20"/>
          <w:szCs w:val="20"/>
          <w:color w:val="auto"/>
        </w:rPr>
      </w:pPr>
    </w:p>
    <w:p>
      <w:pPr>
        <w:ind w:right="520" w:firstLine="8"/>
        <w:spacing w:after="0" w:line="311" w:lineRule="auto"/>
        <w:tabs>
          <w:tab w:leader="none" w:pos="23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is making an investment decision and (ii) the value of the underlying shares of Common Stock are not fixed and may increase or decrease in value over the vesting period without compensation to the Participant.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Individuals who are resident or domiciled in Brazil are generally required to submit an annual declaration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assets and rights held outside Brazil to the Central Bank of Brazil if the aggregate value of such assets and rights is greater than a certain threshold (currently, US$1,000,000). If such amount is equal to or greater than a certain threshold (currently, US$100,000,000), the referenced declaration must be submitted quarterly, in the month following the end of each quarter. Assets and rights to be included in this annual declaration include shares of Common Stock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23</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40" w:right="359" w:bottom="1440" w:gutter="0" w:footer="0" w:header="0"/>
        </w:sectPr>
      </w:pPr>
    </w:p>
    <w:bookmarkStart w:id="125" w:name="page126"/>
    <w:bookmarkEnd w:id="125"/>
    <w:p>
      <w:pPr>
        <w:jc w:val="both"/>
        <w:spacing w:after="0" w:line="303" w:lineRule="auto"/>
        <w:rPr>
          <w:sz w:val="20"/>
          <w:szCs w:val="20"/>
          <w:color w:val="auto"/>
        </w:rPr>
      </w:pPr>
      <w:r>
        <w:rPr>
          <w:rFonts w:ascii="Times New Roman" w:cs="Times New Roman" w:eastAsia="Times New Roman" w:hAnsi="Times New Roman"/>
          <w:sz w:val="19"/>
          <w:szCs w:val="19"/>
          <w:b w:val="1"/>
          <w:bCs w:val="1"/>
          <w:color w:val="auto"/>
        </w:rPr>
        <w:t>Tax on Financial Transaction (IOF)</w:t>
      </w:r>
      <w:r>
        <w:rPr>
          <w:rFonts w:ascii="Times New Roman" w:cs="Times New Roman" w:eastAsia="Times New Roman" w:hAnsi="Times New Roman"/>
          <w:sz w:val="19"/>
          <w:szCs w:val="19"/>
          <w:color w:val="auto"/>
        </w:rPr>
        <w:t>. Repatriation of funds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sale proceeds from the sale of shares of Common Stock and/or dividends)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into Brazil and the conversion of USD into BRL associated with such fund transfers may be subject to the Tax on Financial Transactions. It is the Participant’s responsibility to comply with any applicable Tax on Financial Transactions arising from their participation in the Plan.</w:t>
      </w:r>
    </w:p>
    <w:p>
      <w:pPr>
        <w:spacing w:after="0"/>
        <w:rPr>
          <w:sz w:val="20"/>
          <w:szCs w:val="20"/>
          <w:color w:val="auto"/>
        </w:rPr>
      </w:pPr>
      <w:r>
        <w:rPr>
          <w:rFonts w:ascii="Times New Roman" w:cs="Times New Roman" w:eastAsia="Times New Roman" w:hAnsi="Times New Roman"/>
          <w:sz w:val="20"/>
          <w:szCs w:val="20"/>
          <w:color w:val="auto"/>
        </w:rPr>
        <w:t>The Participant should consult with their personal tax advisor for additional details.</w:t>
      </w: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BULGARIA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Participant will be required to file statistical forms with the Bulgarian national bank regarding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receivables in bank accounts abroad as well as securities held abroad which have been acquired without using the services of a local broker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acquired under the Plan) if the total sum of all such receivables and securities equals or exceeds a certain threshold (currently, BGN 50,000) as of the previous calendar year end. The reports are due by March 31.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Participant should contact their bank in Bulgaria for additional information regarding these requirements.</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Form of Payment. </w:t>
      </w:r>
      <w:r>
        <w:rPr>
          <w:rFonts w:ascii="Times New Roman" w:cs="Times New Roman" w:eastAsia="Times New Roman" w:hAnsi="Times New Roman"/>
          <w:sz w:val="20"/>
          <w:szCs w:val="20"/>
          <w:color w:val="auto"/>
        </w:rPr>
        <w:t>LTI Grants to employees resident in Canada shall be paid in shares of Common Stock only.</w:t>
      </w:r>
    </w:p>
    <w:p>
      <w:pPr>
        <w:spacing w:after="0" w:line="256" w:lineRule="exact"/>
        <w:rPr>
          <w:sz w:val="20"/>
          <w:szCs w:val="20"/>
          <w:color w:val="auto"/>
        </w:rPr>
      </w:pPr>
    </w:p>
    <w:p>
      <w:pPr>
        <w:ind w:right="520"/>
        <w:spacing w:after="0" w:line="329" w:lineRule="auto"/>
        <w:rPr>
          <w:sz w:val="20"/>
          <w:szCs w:val="20"/>
          <w:color w:val="auto"/>
        </w:rPr>
      </w:pPr>
      <w:r>
        <w:rPr>
          <w:rFonts w:ascii="Times New Roman" w:cs="Times New Roman" w:eastAsia="Times New Roman" w:hAnsi="Times New Roman"/>
          <w:sz w:val="20"/>
          <w:szCs w:val="20"/>
          <w:b w:val="1"/>
          <w:bCs w:val="1"/>
          <w:color w:val="auto"/>
        </w:rPr>
        <w:t xml:space="preserve">Exclusion from Compensation. </w:t>
      </w:r>
      <w:r>
        <w:rPr>
          <w:rFonts w:ascii="Times New Roman" w:cs="Times New Roman" w:eastAsia="Times New Roman" w:hAnsi="Times New Roman"/>
          <w:sz w:val="20"/>
          <w:szCs w:val="20"/>
          <w:color w:val="auto"/>
        </w:rPr>
        <w:t>Sections 9 (f), (i), and (k) of the Agreement apply, except as explicitly and minimally required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legislation.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Forfeiture. </w:t>
      </w:r>
      <w:r>
        <w:rPr>
          <w:rFonts w:ascii="Times New Roman" w:cs="Times New Roman" w:eastAsia="Times New Roman" w:hAnsi="Times New Roman"/>
          <w:sz w:val="20"/>
          <w:szCs w:val="20"/>
          <w:color w:val="auto"/>
        </w:rPr>
        <w:t>The following provisions replace the first paragraph of paragraph 3(b) of the Agreement:</w:t>
      </w:r>
    </w:p>
    <w:p>
      <w:pPr>
        <w:spacing w:after="0" w:line="260"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20"/>
          <w:szCs w:val="20"/>
          <w:color w:val="auto"/>
        </w:rPr>
        <w:t>Unless determined otherwise by the Committee or as explicitly and minimally required under applicable legislation or expressly provided in this Agreement, if the Participant has not been continuously and actively employed with a member of the Mondelēz Group that employs the Participant (the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from the date of the Notice through the last date of the Performance Cycle or if the Participant is not an employee in good standing with the Employer on the date of payment described in paragraph 4(a) hereof, the LTI Grant will be forfeited immediately and without any further action by the Company or the Committee.</w:t>
      </w:r>
    </w:p>
    <w:p>
      <w:pPr>
        <w:spacing w:after="0" w:line="175"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20"/>
          <w:szCs w:val="20"/>
          <w:color w:val="auto"/>
        </w:rPr>
        <w:t>For purposes of the LTI Grant, except as explicitly and minimally required under applicable legislation, the Participant’s employment or service relationship will be considered terminated and the Participant will no longer be considered “continuously and actively employed” or “an employee in good standing”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24</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40"/>
          </w:cols>
          <w:pgMar w:left="320" w:top="1436" w:right="439" w:bottom="1440" w:gutter="0" w:footer="0" w:header="0"/>
        </w:sectPr>
      </w:pPr>
    </w:p>
    <w:bookmarkStart w:id="126" w:name="page127"/>
    <w:bookmarkEnd w:id="126"/>
    <w:p>
      <w:pPr>
        <w:ind w:right="40"/>
        <w:spacing w:after="0" w:line="293" w:lineRule="auto"/>
        <w:rPr>
          <w:sz w:val="20"/>
          <w:szCs w:val="20"/>
          <w:color w:val="auto"/>
        </w:rPr>
      </w:pPr>
      <w:r>
        <w:rPr>
          <w:rFonts w:ascii="Times New Roman" w:cs="Times New Roman" w:eastAsia="Times New Roman" w:hAnsi="Times New Roman"/>
          <w:sz w:val="20"/>
          <w:szCs w:val="20"/>
          <w:color w:val="auto"/>
        </w:rPr>
        <w:t>the date the Participant is no longer providing services to the Mondelēz Group (regardless of the reason for such termination and whether or not later found to be invalid or in breach of employment laws in the jurisdiction where the Participant is employed or providing services or the terms of the Participant’s employment or service agreement, if any) (the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Except as explicitly and minimally required under applicable legislation, the Participant’s right to earn, seek damages in lieu of, vest in or otherwise benefit from any portion of the LTI Grant, the shares of Common Stock subject to the LTI Grant, the Agreement or the Plan, if any, will be measured by and immediately terminate effective as of the Termination Date.</w:t>
      </w:r>
    </w:p>
    <w:p>
      <w:pPr>
        <w:spacing w:after="0" w:line="17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color w:val="auto"/>
        </w:rPr>
        <w:t>Except as explicitly and minimally required under applicable legislation, the Termination Date will exclude and will not be extended by any period during which notice, pay in lieu of notice or related payments or damages are provided or required to be provided under statute, contract, common/civil law or otherwise. The Participant will not earn or be entitled to any pro-rated vesting or other benefits or participation under the Plan for that portion of time before the Termination Date, nor will the Participant be entitled to any compensation for lost vesting or other benefits or participation in the Plan. For clarity, any reference to the termination or cessation of the Participant’s employment or service, or to a termination date or date of termination, under the LTI Grant, the Plan or the Agreement, will be interpreted to mean the Termination Date as defined above.</w:t>
      </w:r>
    </w:p>
    <w:p>
      <w:pPr>
        <w:spacing w:after="0" w:line="18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Notwithstanding the foregoing, if applicable employment standards legislation explicitly requires continued entitlement to vesting or other participation during a statutory notice period, the Participant’s right to vest or otherwise benefit from or participate in the LTI Grant under the Plan, if any, will terminate effective as of the last day of the Participant’s minimum statutory notice period. The Participant will not earn or be entitled to pro-rated vesting or other benefits or participation if the vesting date falls after the end of the Participant’s statutory notice period, nor will the Participant be entitled to any compensation for lost vesting benefits or other participation.</w:t>
      </w:r>
    </w:p>
    <w:p>
      <w:pPr>
        <w:spacing w:after="0" w:line="19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Subject to applicable legislation, if the date the Participant is no longer providing services cannot be reasonably determined under the terms of the Agreement or the Plan, the Committee shall have the exclusive discretion to determine when the Participant is no longer providing services for purposes of the LTI Grant. Unless otherwise determined by the Committee, leaves of absence shall not constitute a termination of employment for purposes of this Agreement.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following provisions apply for Participants resident in Quebec:</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Data Privacy. </w:t>
      </w:r>
      <w:r>
        <w:rPr>
          <w:rFonts w:ascii="Times New Roman" w:cs="Times New Roman" w:eastAsia="Times New Roman" w:hAnsi="Times New Roman"/>
          <w:sz w:val="20"/>
          <w:szCs w:val="20"/>
          <w:color w:val="auto"/>
        </w:rPr>
        <w:t>The following provision supplements paragraph 10 of the Agreement:</w:t>
      </w:r>
    </w:p>
    <w:p>
      <w:pPr>
        <w:spacing w:after="0" w:line="260"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20"/>
          <w:szCs w:val="20"/>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Mondelēz Group and the administrator of the Plan to disclose and discuss the Plan with their advisors. The Participant acknowledges and agrees that the Participant’s personal information, including sensitive personal information, may be transferred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25</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27" w:name="page128"/>
    <w:bookmarkEnd w:id="127"/>
    <w:p>
      <w:pPr>
        <w:ind w:right="40"/>
        <w:spacing w:after="0" w:line="296" w:lineRule="auto"/>
        <w:rPr>
          <w:sz w:val="20"/>
          <w:szCs w:val="20"/>
          <w:color w:val="auto"/>
        </w:rPr>
      </w:pPr>
      <w:r>
        <w:rPr>
          <w:rFonts w:ascii="Times New Roman" w:cs="Times New Roman" w:eastAsia="Times New Roman" w:hAnsi="Times New Roman"/>
          <w:sz w:val="20"/>
          <w:szCs w:val="20"/>
          <w:color w:val="auto"/>
        </w:rPr>
        <w:t>disclosed outside of the Province of Quebec, including to the United States. The Participant further authorizes the Mondelēz Group to record such information and to keep such information in their Participant file. The Participant also acknowledges and authorizes the Company and any subsidiary or affiliate or other parties involved in the administration of the Plan to use technology for profiling purposes and to make automated decisions that may have an impact on the Participant or the administration of the Plan.</w:t>
      </w:r>
    </w:p>
    <w:p>
      <w:pPr>
        <w:spacing w:after="0" w:line="184"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Language. </w:t>
      </w:r>
      <w:r>
        <w:rPr>
          <w:rFonts w:ascii="Times New Roman" w:cs="Times New Roman" w:eastAsia="Times New Roman" w:hAnsi="Times New Roman"/>
          <w:sz w:val="20"/>
          <w:szCs w:val="20"/>
          <w:color w:val="auto"/>
        </w:rPr>
        <w:t>A French translation of the Plan and the Agreement can be made available to the Participant as soon as reasonably practicable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Participant’s request.. The Participant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spacing w:after="0" w:line="17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i w:val="1"/>
          <w:iCs w:val="1"/>
          <w:color w:val="auto"/>
        </w:rPr>
        <w:t>Une traduction française du Plan et du présent Contrat pourra êtremise à la disposition de Participant dès que raisonnablement possible à la demande de l'Participant. Le Participant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220"/>
        <w:spacing w:after="0" w:line="305"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Participant is permitted to sell shares of Common Stock acquired under the Plan through the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broker appointed under the Plan, if any, provided that the sale of such shares takes place outside Canada through the facilities of a stock exchange on which the shares of Common Stock are listed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Nasdaq Global Select Market).</w:t>
      </w:r>
    </w:p>
    <w:p>
      <w:pPr>
        <w:spacing w:after="0" w:line="16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The Participant is required to report any specified foreign property annually on 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T1135 (Foreign Income Verification Statement) if the total cost of the Participant’s specified foreign property exceeds a certain threshold (currently, C$100,000) at any time during the year. The form must be filed by April 30th of the following year. Specified foreign property includes shares of Common Stock acquired under the Plan and may include the LTI Grant. The LTI Grant must be reported--generally at a nil cost--if the applicable cost threshold is exceeded because of other specified foreign property the Participant holds. If shares of Common Stock are acquired, their cost generally is the adjusted cost base (“</w:t>
      </w:r>
      <w:r>
        <w:rPr>
          <w:rFonts w:ascii="Times New Roman" w:cs="Times New Roman" w:eastAsia="Times New Roman" w:hAnsi="Times New Roman"/>
          <w:sz w:val="20"/>
          <w:szCs w:val="20"/>
          <w:u w:val="single" w:color="auto"/>
          <w:color w:val="auto"/>
        </w:rPr>
        <w:t>ACB</w:t>
      </w:r>
      <w:r>
        <w:rPr>
          <w:rFonts w:ascii="Times New Roman" w:cs="Times New Roman" w:eastAsia="Times New Roman" w:hAnsi="Times New Roman"/>
          <w:sz w:val="20"/>
          <w:szCs w:val="20"/>
          <w:color w:val="auto"/>
        </w:rPr>
        <w:t>”) of the shares of Common Stock. The ACB would normally equal the fair market value of the shares of Company Common Stock at vesting for the LTI Grant, but if the Participant owns other shares of Common Stock, this ACB may have to be averaged with the ACB of the other shares of Common Stock owned by the Participant. It is the Participant’s responsibility to comply with applicable reporting obligations.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CHILE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26</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40" w:right="379" w:bottom="1440" w:gutter="0" w:footer="0" w:header="0"/>
        </w:sectPr>
      </w:pPr>
    </w:p>
    <w:bookmarkStart w:id="128" w:name="page129"/>
    <w:bookmarkEnd w:id="128"/>
    <w:p>
      <w:pPr>
        <w:spacing w:after="0" w:line="29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LTI Grant constitutes a private offering of securities in Chile effective as of the Grant Date. The LTI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made subject to general ruling N° 336 of the Chilean Commission for the Financial Market (“</w:t>
      </w:r>
      <w:r>
        <w:rPr>
          <w:rFonts w:ascii="Times New Roman" w:cs="Times New Roman" w:eastAsia="Times New Roman" w:hAnsi="Times New Roman"/>
          <w:sz w:val="21"/>
          <w:szCs w:val="21"/>
          <w:u w:val="single" w:color="auto"/>
          <w:color w:val="auto"/>
        </w:rPr>
        <w:t>CMF</w:t>
      </w:r>
      <w:r>
        <w:rPr>
          <w:rFonts w:ascii="Times New Roman" w:cs="Times New Roman" w:eastAsia="Times New Roman" w:hAnsi="Times New Roman"/>
          <w:sz w:val="20"/>
          <w:szCs w:val="20"/>
          <w:color w:val="auto"/>
        </w:rPr>
        <w:t>”). The offer refers to securities not registered at the securities registry or at the foreign securities registry of the CMF, and, therefore, such securities are not subject to oversight of the CMF. Given that the LTI Grant is not registered in Chile, the Company is not required to provide public information about the LTI Grant or the shares of Common Stock in Chile. Unless the LTI Grant and/or the shares of Common Stock are registered with the CMF, a public offering of such securities cannot be made in Chile.</w:t>
      </w:r>
    </w:p>
    <w:p>
      <w:pPr>
        <w:spacing w:after="0" w:line="201"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20"/>
          <w:szCs w:val="20"/>
          <w:i w:val="1"/>
          <w:iCs w:val="1"/>
          <w:color w:val="auto"/>
        </w:rPr>
        <w:t>Este Premio LTIP (en Inglés, “LTI Grant”) constituye una oferta privada de valores en Chile y se inicia en la Fecha de la Concesión. Este Premio LTIP se acoge a las disposiciones de la Norma de Carácter General N° 336 de la Comisión para el Mercado Financiero de Chile (“</w:t>
      </w:r>
      <w:r>
        <w:rPr>
          <w:rFonts w:ascii="Times New Roman" w:cs="Times New Roman" w:eastAsia="Times New Roman" w:hAnsi="Times New Roman"/>
          <w:sz w:val="20"/>
          <w:szCs w:val="20"/>
          <w:i w:val="1"/>
          <w:iCs w:val="1"/>
          <w:u w:val="single" w:color="auto"/>
          <w:color w:val="auto"/>
        </w:rPr>
        <w:t>CMF</w:t>
      </w:r>
      <w:r>
        <w:rPr>
          <w:rFonts w:ascii="Times New Roman" w:cs="Times New Roman" w:eastAsia="Times New Roman" w:hAnsi="Times New Roman"/>
          <w:sz w:val="20"/>
          <w:szCs w:val="20"/>
          <w:i w:val="1"/>
          <w:iCs w:val="1"/>
          <w:color w:val="auto"/>
        </w:rPr>
        <w:t>”). Esta oferta versa sobre valores no inscritos en el Registro de Valores o en el Registro de Valores Extranjeros que lleva la CMF, por lo que tales valores no están sujetos a la fiscalización de ésta. Por tratarse el Premio LTIP de valores no registrados en Chile, no existe obligación por parte de la Compañía de entregar en Chile información pública respecto del Premio LTIP o sus Acciones. Estos valores no podrán ser objeto de oferta pública en Chile mientras no sean inscritos en el Registro de Valores correspondiente.</w:t>
      </w:r>
    </w:p>
    <w:p>
      <w:pPr>
        <w:spacing w:after="0" w:line="20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The Participant is not required to repatriate any funds he or she receives with respect to the LTI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Payout and/or the shares of Common Stock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proceeds from the sale of shares of Common Stock or dividends received) to Chile. However, if the Participant decides to repatriate such funds, he or she must do so through the Formal Exchange Market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 commercial bank or registered foreign exchange office) if the amount of the funds repatriated exceeds a certain threshold (currently, US$10,000). If the Participant does not repatriate the proceeds and instead use such proceeds for the payment of other obligations contemplated under a different Chapter of the Foreign Exchange Regulations, the Participant must sign Annex 1 of the Manual of Chapter XII of the Foreign Exchange Regulations and file it directly with the Central Bank within the first 10 days of the month immediately following the transaction.</w:t>
      </w:r>
    </w:p>
    <w:p>
      <w:pPr>
        <w:spacing w:after="0" w:line="174" w:lineRule="exact"/>
        <w:rPr>
          <w:sz w:val="20"/>
          <w:szCs w:val="20"/>
          <w:color w:val="auto"/>
        </w:rPr>
      </w:pPr>
    </w:p>
    <w:p>
      <w:pPr>
        <w:ind w:right="680"/>
        <w:spacing w:after="0" w:line="315" w:lineRule="auto"/>
        <w:rPr>
          <w:sz w:val="20"/>
          <w:szCs w:val="20"/>
          <w:color w:val="auto"/>
        </w:rPr>
      </w:pPr>
      <w:r>
        <w:rPr>
          <w:rFonts w:ascii="Times New Roman" w:cs="Times New Roman" w:eastAsia="Times New Roman" w:hAnsi="Times New Roman"/>
          <w:sz w:val="20"/>
          <w:szCs w:val="20"/>
          <w:color w:val="auto"/>
        </w:rPr>
        <w:t xml:space="preserve">Exchange control requirements are subject to change. </w:t>
      </w:r>
      <w:r>
        <w:rPr>
          <w:rFonts w:ascii="Times New Roman" w:cs="Times New Roman" w:eastAsia="Times New Roman" w:hAnsi="Times New Roman"/>
          <w:sz w:val="20"/>
          <w:szCs w:val="20"/>
          <w:i w:val="1"/>
          <w:iCs w:val="1"/>
          <w:color w:val="auto"/>
        </w:rPr>
        <w:t>The Participant should consult with their personal legal advisor regarding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exchange control obligations that may apply in connection with the LTI Award Payout.</w:t>
      </w:r>
    </w:p>
    <w:p>
      <w:pPr>
        <w:spacing w:after="0" w:line="166"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b w:val="1"/>
          <w:bCs w:val="1"/>
          <w:color w:val="auto"/>
        </w:rPr>
        <w:t>Foreign Asset / Account Reporting Information</w:t>
      </w:r>
      <w:r>
        <w:rPr>
          <w:rFonts w:ascii="Times New Roman" w:cs="Times New Roman" w:eastAsia="Times New Roman" w:hAnsi="Times New Roman"/>
          <w:sz w:val="20"/>
          <w:szCs w:val="20"/>
          <w:color w:val="auto"/>
        </w:rPr>
        <w:t>. If the Participant holds shares of Common Stock acquired under the Plan outside Chile,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may be required to inform the Chilean Internal Revenue Service (the “</w:t>
      </w:r>
      <w:r>
        <w:rPr>
          <w:rFonts w:ascii="Times New Roman" w:cs="Times New Roman" w:eastAsia="Times New Roman" w:hAnsi="Times New Roman"/>
          <w:sz w:val="20"/>
          <w:szCs w:val="20"/>
          <w:u w:val="single" w:color="auto"/>
          <w:color w:val="auto"/>
        </w:rPr>
        <w:t>CIRS</w:t>
      </w:r>
      <w:r>
        <w:rPr>
          <w:rFonts w:ascii="Times New Roman" w:cs="Times New Roman" w:eastAsia="Times New Roman" w:hAnsi="Times New Roman"/>
          <w:sz w:val="20"/>
          <w:szCs w:val="20"/>
          <w:color w:val="auto"/>
        </w:rPr>
        <w:t xml:space="preserve">”) of the details of the Participant’s investment in the shares of Common Stock. Further, if the Participant wishes to receive credit against the Participant’s Chilean income taxes for any taxes paid abroad, the Participant e must report the payment of taxes abroad to the CIRS. In either case, the Participant must file Tax Form 1929 by July 1 each year, which should be submitted electronically through the CIRS website: </w:t>
      </w:r>
      <w:r>
        <w:rPr>
          <w:rFonts w:ascii="Times New Roman" w:cs="Times New Roman" w:eastAsia="Times New Roman" w:hAnsi="Times New Roman"/>
          <w:sz w:val="21"/>
          <w:szCs w:val="21"/>
          <w:color w:val="auto"/>
        </w:rPr>
        <w:t>www.sii.cl.</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27</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36"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20"/>
          <w:szCs w:val="20"/>
          <w:b w:val="1"/>
          <w:bCs w:val="1"/>
          <w:i w:val="1"/>
          <w:iCs w:val="1"/>
          <w:color w:val="auto"/>
        </w:rPr>
        <w:t>The following provisions apply to Participants who are exclusively citizens of the People’s Republic of China and who reside in mainland China, and Participants who are otherwise subject to exchange control restrictions applicable to employee stock plans in China, as determined by the Company in its sole discretion.</w:t>
      </w:r>
    </w:p>
    <w:p>
      <w:pPr>
        <w:spacing w:after="0" w:line="176"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9"/>
          <w:szCs w:val="19"/>
          <w:b w:val="1"/>
          <w:bCs w:val="1"/>
          <w:color w:val="auto"/>
        </w:rPr>
        <w:t xml:space="preserve">Time and Form of Payment. </w:t>
      </w:r>
      <w:r>
        <w:rPr>
          <w:rFonts w:ascii="Times New Roman" w:cs="Times New Roman" w:eastAsia="Times New Roman" w:hAnsi="Times New Roman"/>
          <w:sz w:val="19"/>
          <w:szCs w:val="19"/>
          <w:color w:val="auto"/>
        </w:rPr>
        <w:t>Due to legal restrictions in China, the LTI Award Payout may be made to the Participant in cash, rather than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Common Stock as stated in paragraph 4(a) of the Agreement. If shares of Common Stock are issued upon payment of the LTI Grant, in the Company’s sole discretion, the shares may be required to be immediately sold. Thus, as a condition of the LTI Grant, the Participant agrees to the immediate sale of any shares of Common Stock issued to Participant upon payment and settlement of the LTI Grant.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spacing w:after="0" w:line="185" w:lineRule="exact"/>
        <w:rPr>
          <w:sz w:val="20"/>
          <w:szCs w:val="20"/>
          <w:color w:val="auto"/>
        </w:rPr>
      </w:pPr>
    </w:p>
    <w:p>
      <w:pPr>
        <w:ind w:right="60"/>
        <w:spacing w:after="0" w:line="307" w:lineRule="auto"/>
        <w:rPr>
          <w:sz w:val="20"/>
          <w:szCs w:val="20"/>
          <w:color w:val="auto"/>
        </w:rPr>
      </w:pPr>
      <w:r>
        <w:rPr>
          <w:rFonts w:ascii="Times New Roman" w:cs="Times New Roman" w:eastAsia="Times New Roman" w:hAnsi="Times New Roman"/>
          <w:sz w:val="19"/>
          <w:szCs w:val="19"/>
          <w:color w:val="auto"/>
        </w:rPr>
        <w:t>In the event that the Participant is not required to sell shares of Common Stock immediately upon payment of the LTI Grant, any shares of Common Stock issued to the Participant must be maintained in an account with Morgan Stanley Smith Barney, LLC. or such other broker as may be designated by the Company until the shares of Common Stock are sold through that broker. If the Company changes its designated broker, the Participant acknowledges and agrees that the Company may transfer any shares of Common Stock issued under the Plan to the new designated broker if necessary for legal or administrative reasons. The Participant agrees to sign any documentation necessary to facilitate the transfer. In addition, the Participant acknowledges and agrees that he or she must sell any shares of Common Stock issued as soon as practicable following the termination of the Participant’s employment or other service relationship with the Mondelēz Group and in no event later than six (6) months following the termination of the Participant’s employment or other service relationship with the Mondelēz Group, or within any other such time frame the Company determines to be necessary or advisable to comply with local requirements.</w:t>
      </w:r>
    </w:p>
    <w:p>
      <w:pPr>
        <w:spacing w:after="0" w:line="167"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Exchange Control Restrictions. </w:t>
      </w:r>
      <w:r>
        <w:rPr>
          <w:rFonts w:ascii="Times New Roman" w:cs="Times New Roman" w:eastAsia="Times New Roman" w:hAnsi="Times New Roman"/>
          <w:sz w:val="20"/>
          <w:szCs w:val="20"/>
          <w:color w:val="auto"/>
        </w:rPr>
        <w:t>The Participant understands and agrees that, due to exchange control laws in China, he or she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immediately repatriate to China the cash proceeds from the sale of shares of Common Stock acquired under the LTI Grant. The Participant further understands that, under local law, such repatriation of the cash proceeds will be effected through a special exchange control account established by a member of the Mondelēz Group and the Participant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Participant acknowledges that he or she will be required to set up a U.S. dollar bank account in China so that the proceeds may be delivered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28</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80"/>
          </w:cols>
          <w:pgMar w:left="320" w:top="1436" w:right="399" w:bottom="1440" w:gutter="0" w:footer="0" w:header="0"/>
        </w:sectPr>
      </w:pPr>
    </w:p>
    <w:bookmarkStart w:id="130" w:name="page131"/>
    <w:bookmarkEnd w:id="130"/>
    <w:p>
      <w:pPr>
        <w:ind w:right="80"/>
        <w:spacing w:after="0" w:line="292" w:lineRule="auto"/>
        <w:rPr>
          <w:sz w:val="20"/>
          <w:szCs w:val="20"/>
          <w:color w:val="auto"/>
        </w:rPr>
      </w:pPr>
      <w:r>
        <w:rPr>
          <w:rFonts w:ascii="Times New Roman" w:cs="Times New Roman" w:eastAsia="Times New Roman" w:hAnsi="Times New Roman"/>
          <w:sz w:val="20"/>
          <w:szCs w:val="20"/>
          <w:color w:val="auto"/>
        </w:rPr>
        <w:t>this account. If the proceeds are converted to local currency, the Participant acknowledges that the Mondelēz Group is under no obligation to secure any currency conversion rate, and may face delays in converting the proceeds to local currency due to exchange control restrictions in China. The Participant agrees to bear any currency fluctuation risk between the date the shares of Common Stock acquired from the LTI Grant are sold and the time that (i) the Tax-Related Items are converted to local currency and remitted to the tax authorities and (ii) net proceeds are converted to local currency and distributed to the Participant. The Participant acknowledges that the Mondelēz Group will not be held liable for any delay in delivering the proceeds to the Participant. The Participant agrees to sign any agreements, forms and/or consents that may be requested by the Company or the Company’s designated broker to effectuate any of the remittances, transfers, conversions or other processes affecting the proceeds.</w:t>
      </w:r>
    </w:p>
    <w:p>
      <w:pPr>
        <w:spacing w:after="0" w:line="178"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20"/>
          <w:szCs w:val="20"/>
          <w:color w:val="auto"/>
        </w:rPr>
        <w:t>The Participant further agrees to comply with any other requirements that may be imposed by the Company in the future in order to facilitate compliance with exchange control requirements in China. For shares issued under the Plan, these additional requirements may include, but are not limited to, a requirement to maintain any shares of Common Stock acquired under the Plan in an account with a Company-designated broker and/or to sell any shares of Common Stock that the Participant receives immediately upon issuance (as described above) or upon termination of the Participant’s service with the Mondelēz Group.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60"/>
        <w:spacing w:after="0" w:line="359" w:lineRule="auto"/>
        <w:rPr>
          <w:sz w:val="20"/>
          <w:szCs w:val="20"/>
          <w:color w:val="auto"/>
        </w:rPr>
      </w:pPr>
      <w:r>
        <w:rPr>
          <w:rFonts w:ascii="Times New Roman" w:cs="Times New Roman" w:eastAsia="Times New Roman" w:hAnsi="Times New Roman"/>
          <w:sz w:val="19"/>
          <w:szCs w:val="19"/>
          <w:b w:val="1"/>
          <w:bCs w:val="1"/>
          <w:color w:val="auto"/>
        </w:rPr>
        <w:t>Foreign Asset/Account Reporting Information</w:t>
      </w:r>
      <w:r>
        <w:rPr>
          <w:rFonts w:ascii="Times New Roman" w:cs="Times New Roman" w:eastAsia="Times New Roman" w:hAnsi="Times New Roman"/>
          <w:sz w:val="19"/>
          <w:szCs w:val="19"/>
          <w:color w:val="auto"/>
        </w:rPr>
        <w:t>. Chinese residents may be required to report to the SAFE all details of their foreign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financial assets and liabilities, as well as details of any economic transactions conducted with non-Chinese residents, including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COLOMBIA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Labor Law Acknowledgement. </w:t>
      </w:r>
      <w:r>
        <w:rPr>
          <w:rFonts w:ascii="Times New Roman" w:cs="Times New Roman" w:eastAsia="Times New Roman" w:hAnsi="Times New Roman"/>
          <w:sz w:val="20"/>
          <w:szCs w:val="20"/>
          <w:color w:val="auto"/>
        </w:rPr>
        <w:t>The following provision supplements the acknowledgments contained in paragraph 9 of the Agreement:</w:t>
      </w:r>
    </w:p>
    <w:p>
      <w:pPr>
        <w:spacing w:after="0" w:line="26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0"/>
          <w:szCs w:val="20"/>
          <w:color w:val="auto"/>
        </w:rPr>
        <w:t>The Participant acknowledges that pursuant to Article 128 of the Colombian Labor Code, the Plan and related benefits do not constitute a component of the Participant’s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spacing w:after="0" w:line="184"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Mandate Letter. </w:t>
      </w:r>
      <w:r>
        <w:rPr>
          <w:rFonts w:ascii="Times New Roman" w:cs="Times New Roman" w:eastAsia="Times New Roman" w:hAnsi="Times New Roman"/>
          <w:sz w:val="20"/>
          <w:szCs w:val="20"/>
          <w:color w:val="auto"/>
        </w:rPr>
        <w:t>By accepting the LTI Grant, the Participant agrees that, if requested by the Company or the Employer, the Participant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 a mandate letter or such other document (whether electronically or by such other method as requested by the Company or the Employer) that the Company determines is necessary or advisable in order that (i) a sufficient number of shares of Common Stock to be allocated to the Participant upon vesting can be withheld or sold on the Participant’s behalf to cover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29</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31" w:name="page132"/>
    <w:bookmarkEnd w:id="131"/>
    <w:p>
      <w:pPr>
        <w:ind w:right="180"/>
        <w:spacing w:after="0" w:line="311" w:lineRule="auto"/>
        <w:rPr>
          <w:sz w:val="20"/>
          <w:szCs w:val="20"/>
          <w:color w:val="auto"/>
        </w:rPr>
      </w:pPr>
      <w:r>
        <w:rPr>
          <w:rFonts w:ascii="Times New Roman" w:cs="Times New Roman" w:eastAsia="Times New Roman" w:hAnsi="Times New Roman"/>
          <w:sz w:val="20"/>
          <w:szCs w:val="20"/>
          <w:color w:val="auto"/>
        </w:rPr>
        <w:t>Related Items required to be withheld by the Employer and (ii) the proceeds from such withholding or sale can be transferred directly from the Company to the Employer in Colombia for remittance to the tax authorities.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shares of Common Stock are not and will not be registered in the Colombian registry of publicly traded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w:t>
      </w:r>
      <w:r>
        <w:rPr>
          <w:rFonts w:ascii="Times New Roman" w:cs="Times New Roman" w:eastAsia="Times New Roman" w:hAnsi="Times New Roman"/>
          <w:sz w:val="20"/>
          <w:szCs w:val="20"/>
          <w:i w:val="1"/>
          <w:iCs w:val="1"/>
          <w:color w:val="auto"/>
        </w:rPr>
        <w:t>Registro Nacional de Valores y Emisores</w:t>
      </w:r>
      <w:r>
        <w:rPr>
          <w:rFonts w:ascii="Times New Roman" w:cs="Times New Roman" w:eastAsia="Times New Roman" w:hAnsi="Times New Roman"/>
          <w:sz w:val="20"/>
          <w:szCs w:val="20"/>
          <w:color w:val="auto"/>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spacing w:after="0" w:line="170"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Colombian residents must register shares of Common Stock acquired under the Plan, regardless of value,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Central Bank of Colombia (</w:t>
      </w:r>
      <w:r>
        <w:rPr>
          <w:rFonts w:ascii="Times New Roman" w:cs="Times New Roman" w:eastAsia="Times New Roman" w:hAnsi="Times New Roman"/>
          <w:sz w:val="20"/>
          <w:szCs w:val="20"/>
          <w:i w:val="1"/>
          <w:iCs w:val="1"/>
          <w:color w:val="auto"/>
        </w:rPr>
        <w:t>Banco de la República</w:t>
      </w:r>
      <w:r>
        <w:rPr>
          <w:rFonts w:ascii="Times New Roman" w:cs="Times New Roman" w:eastAsia="Times New Roman" w:hAnsi="Times New Roman"/>
          <w:sz w:val="20"/>
          <w:szCs w:val="20"/>
          <w:color w:val="auto"/>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Times New Roman" w:cs="Times New Roman" w:eastAsia="Times New Roman" w:hAnsi="Times New Roman"/>
          <w:sz w:val="20"/>
          <w:szCs w:val="20"/>
          <w:i w:val="1"/>
          <w:iCs w:val="1"/>
          <w:color w:val="auto"/>
        </w:rPr>
        <w:t>declaración de cambio</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20"/>
          <w:szCs w:val="20"/>
          <w:color w:val="auto"/>
        </w:rPr>
        <w:t>The Participant is responsible for complying with applicable exchange control requirements in Colombia and the Participant should consult their legal advisor prior to the acquisition or sale of the shares of Common Stock under the Plan to ensure compliance with current regulations.</w:t>
      </w:r>
    </w:p>
    <w:p>
      <w:pPr>
        <w:spacing w:after="0" w:line="185"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Participant must file an annual informative return with the Colombian Tax Office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detailing any assets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held abroad. If the individual value of any of these assets exceeds a certain threshold, the Participant must describe each asset and indicate the jurisdiction in which it is located, its nature and its value.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COSTA RICA</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CROATIA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Croatian residents may be required to report any foreign investments (including shares of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acquired under the Plan) to the Croatian National Bank for statistical purposes and obtain prior approval from the Croatian National Bank for bank accounts opened abroad. However, because exchange control regulations may change without notice, the Participant should consult his or her legal advisor to ensure compliance with current regulations. It is the Participant 's responsibility to comply with Croatian exchange control laws.</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CZECH REPUBLIC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30</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80"/>
          </w:cols>
          <w:pgMar w:left="320" w:top="1440" w:right="3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97"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9"/>
          <w:szCs w:val="19"/>
          <w:b w:val="1"/>
          <w:bCs w:val="1"/>
          <w:color w:val="auto"/>
        </w:rPr>
        <w:t>Forced Sale of Shares</w:t>
      </w:r>
      <w:r>
        <w:rPr>
          <w:rFonts w:ascii="Times New Roman" w:cs="Times New Roman" w:eastAsia="Times New Roman" w:hAnsi="Times New Roman"/>
          <w:sz w:val="19"/>
          <w:szCs w:val="19"/>
          <w:color w:val="auto"/>
        </w:rPr>
        <w:t>. The Company reserves the right to force the immediate sale of the shares of Common Stock to be issued upon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vesting and settlement of the LTI Grant. If applicable, the Participant agrees that the Company is authorized to instruct its designated broker, on behalf of the Participant, to assist with the mandatory sale of such shares of Common Stock and the Participant expressly authorizes the Company’s designated broker to complete the sale of such shares of Common Stock. The Participant expressly acknowledges that the Company’s designated broker is under no obligation to arrange for the sale of shares of Common Stock at any particular price. Upon the sale of shares of Common Stock, the Participant shall receive the cash proceeds from the sale of shares of Common Stock, less any brokerage fees or commissions and subject to any obligation to satisfy Tax-Related Items. The Participant also acknowledges that the Participant is unaware of any material non-public information with respect to the Company or any securities of the Company as of the date of the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83"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Czech residents may be required to fulfill certain notification duties in relation to the LTI Grant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opening and maintenance of a foreign account, including reporting (i) foreign direct investments with a value equal to or exceeding a specified amount (currently, CZK 2,500,000) in the aggregate, or (ii) foreign financial assets with a value equal to or exceeding a specified amount (currently, CZK 200,000,000), or (iii) at the request of the Czech National Bank. The Participant should consult their personal legal advisor to ensure compliance with the applicable requirements.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DENMARK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ind w:right="760"/>
        <w:spacing w:after="0" w:line="315" w:lineRule="auto"/>
        <w:rPr>
          <w:sz w:val="20"/>
          <w:szCs w:val="20"/>
          <w:color w:val="auto"/>
        </w:rPr>
      </w:pPr>
      <w:r>
        <w:rPr>
          <w:rFonts w:ascii="Times New Roman" w:cs="Times New Roman" w:eastAsia="Times New Roman" w:hAnsi="Times New Roman"/>
          <w:sz w:val="20"/>
          <w:szCs w:val="20"/>
          <w:b w:val="1"/>
          <w:bCs w:val="1"/>
          <w:color w:val="auto"/>
        </w:rPr>
        <w:t>Stock Option Act</w:t>
      </w:r>
      <w:r>
        <w:rPr>
          <w:rFonts w:ascii="Times New Roman" w:cs="Times New Roman" w:eastAsia="Times New Roman" w:hAnsi="Times New Roman"/>
          <w:sz w:val="20"/>
          <w:szCs w:val="20"/>
          <w:color w:val="auto"/>
        </w:rPr>
        <w:t>. The Participant acknowledges that he or she has received an Employer Statement in Danish, which sets forth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 terms of the LTI Grant to the extent that the Danish Stock Option Act applies.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Participant is required to report any accounts holding shares of Common Stock or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established outside Denmark to the Danish Tax Administration as part of the Participant’s tax return under the section related to foreign affairs and income.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ECUADOR</w:t>
      </w:r>
    </w:p>
    <w:p>
      <w:pPr>
        <w:spacing w:after="0" w:line="270"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Individuals who are resident or domiciled in Ecuador are generally required to file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annual Net Worth Declaration with the Internal Revenue Service of Ecuador if the aggregate value of assets held by such individuals exceeds certain thresholds. Assets included in this annual declaration include shares of Common Stock acquired under the Plan. The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31</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36"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color w:val="auto"/>
        </w:rPr>
        <w:t>Worth Declaration must be filed in May of the following year using the electronic form on the tax authorities' website (www.sri.gob.ec).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Penalties will apply to a late filing and it is not possible to seek an extension.</w:t>
      </w:r>
    </w:p>
    <w:p>
      <w:pPr>
        <w:spacing w:after="0" w:line="270"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20"/>
          <w:szCs w:val="20"/>
          <w:color w:val="auto"/>
        </w:rPr>
        <w:t>In addition, Ecuadorian resident individuals are required to report on an annual basis, all monetary assets held in foreign financial entities in excess of a certain threshold (currently, US$100,000). The Participant should consult his or her legal or tax advisor to ensure compliance with all applicable reporting obligations.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EGYPT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70" w:lineRule="exact"/>
        <w:rPr>
          <w:sz w:val="20"/>
          <w:szCs w:val="20"/>
          <w:color w:val="auto"/>
        </w:rPr>
      </w:pPr>
    </w:p>
    <w:p>
      <w:pPr>
        <w:ind w:right="340"/>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Participant transfers funds into Egypt in connection with the LTI Award Payout, the Participant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transfer the funds through a registered bank in Egypt.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FINLAND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There are no specific reporting requirements with respect to foreign assets/accounts.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However, please note that the Participant must check their pre-completed tax return to confirm that the ownership of shares of Common Stock and other securities (foreign or domestic) is correctly reported. If the Participant finds any errors or omissions, the Participant must make the necessary corrections electronically or by sending specific paper forms to the local tax authorities.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20"/>
          <w:szCs w:val="20"/>
          <w:b w:val="1"/>
          <w:bCs w:val="1"/>
          <w:color w:val="auto"/>
        </w:rPr>
        <w:t xml:space="preserve">LTI Grant Not French-Qualified. </w:t>
      </w:r>
      <w:r>
        <w:rPr>
          <w:rFonts w:ascii="Times New Roman" w:cs="Times New Roman" w:eastAsia="Times New Roman" w:hAnsi="Times New Roman"/>
          <w:sz w:val="20"/>
          <w:szCs w:val="20"/>
          <w:color w:val="auto"/>
        </w:rPr>
        <w:t>The LTI Grant made under this Agreement are not intended to qualify for specific tax and social 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treatment pursuant to Sections L. 225-197-1 to L. 225-197-5 and Sections L. 22-10-59 to L. 22-10-60 of the French Commercial Code, as amended.</w:t>
      </w:r>
    </w:p>
    <w:p>
      <w:pPr>
        <w:spacing w:after="0" w:line="203" w:lineRule="exact"/>
        <w:rPr>
          <w:sz w:val="20"/>
          <w:szCs w:val="20"/>
          <w:color w:val="auto"/>
        </w:rPr>
      </w:pPr>
    </w:p>
    <w:p>
      <w:pPr>
        <w:jc w:val="both"/>
        <w:ind w:right="140"/>
        <w:spacing w:after="0" w:line="298" w:lineRule="auto"/>
        <w:rPr>
          <w:sz w:val="20"/>
          <w:szCs w:val="20"/>
          <w:color w:val="auto"/>
        </w:rPr>
      </w:pPr>
      <w:r>
        <w:rPr>
          <w:rFonts w:ascii="Times New Roman" w:cs="Times New Roman" w:eastAsia="Times New Roman" w:hAnsi="Times New Roman"/>
          <w:sz w:val="20"/>
          <w:szCs w:val="20"/>
          <w:b w:val="1"/>
          <w:bCs w:val="1"/>
          <w:color w:val="auto"/>
        </w:rPr>
        <w:t>Consent to Receive Information in English</w:t>
      </w:r>
      <w:r>
        <w:rPr>
          <w:rFonts w:ascii="Times New Roman" w:cs="Times New Roman" w:eastAsia="Times New Roman" w:hAnsi="Times New Roman"/>
          <w:sz w:val="20"/>
          <w:szCs w:val="20"/>
          <w:color w:val="auto"/>
        </w:rPr>
        <w:t>. By participating in the Plan and receiving the LTI Grant, the Participant confirms having read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understood the Plan and Agreement, including all terms and conditions included therein, which were provided in the English language. The Participant accepts the terms of those documents accordingly.</w:t>
      </w:r>
    </w:p>
    <w:p>
      <w:pPr>
        <w:spacing w:after="0" w:line="183" w:lineRule="exact"/>
        <w:rPr>
          <w:sz w:val="20"/>
          <w:szCs w:val="20"/>
          <w:color w:val="auto"/>
        </w:rPr>
      </w:pPr>
    </w:p>
    <w:p>
      <w:pPr>
        <w:ind w:right="160"/>
        <w:spacing w:after="0" w:line="344" w:lineRule="auto"/>
        <w:rPr>
          <w:sz w:val="20"/>
          <w:szCs w:val="20"/>
          <w:color w:val="auto"/>
        </w:rPr>
      </w:pPr>
      <w:r>
        <w:rPr>
          <w:rFonts w:ascii="Times New Roman" w:cs="Times New Roman" w:eastAsia="Times New Roman" w:hAnsi="Times New Roman"/>
          <w:sz w:val="19"/>
          <w:szCs w:val="19"/>
          <w:i w:val="1"/>
          <w:iCs w:val="1"/>
          <w:color w:val="auto"/>
        </w:rPr>
        <w:t>En acceptant cette LTIP recompense, le Participant confirme avoir lu et compris le Plan et le Contrat y relatif, incluant tous leurs termes et conditions, qui ont été transmis en langue anglaise. Le Participant accepte les dispositions de ces documents en connaissance de cause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32</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360"/>
        <w:spacing w:after="0" w:line="305"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value of any cash or securities imported to or exported from France without the use of a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institution must be reported to the customs and excise authorities when the value of such cash or securities is equal to or greater than a certain amount (currently €10,000).</w:t>
      </w:r>
    </w:p>
    <w:p>
      <w:pPr>
        <w:spacing w:after="0" w:line="176"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If the Participant holds shares of Common Stock outside of France or maintains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bank, securities, or brokerage account, whether open, current, or closed during the tax year, the Participant is required to report such to the French tax authorities when filing their annual tax return.</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Cross-border payments in connection with the purchase or sale of securities in excess of a certain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(currently, €50,000) must be reported monthly to the German Federal Bank </w:t>
      </w:r>
      <w:r>
        <w:rPr>
          <w:rFonts w:ascii="Times New Roman" w:cs="Times New Roman" w:eastAsia="Times New Roman" w:hAnsi="Times New Roman"/>
          <w:sz w:val="20"/>
          <w:szCs w:val="20"/>
          <w:i w:val="1"/>
          <w:iCs w:val="1"/>
          <w:color w:val="auto"/>
        </w:rPr>
        <w:t>(Bundesbank)</w:t>
      </w:r>
      <w:r>
        <w:rPr>
          <w:rFonts w:ascii="Times New Roman" w:cs="Times New Roman" w:eastAsia="Times New Roman" w:hAnsi="Times New Roman"/>
          <w:sz w:val="20"/>
          <w:szCs w:val="20"/>
          <w:color w:val="auto"/>
        </w:rPr>
        <w:t>. If the Participant receives a payment in excess of this amount (including if the Participant acquires shares of Common Stock or receives dividends with a value in excess of this amount under the Plan or sells shares of Common Stock via a foreign broker, bank or service provider and receive proceeds in excess of this amount) and/or if the Company withholds or sells shares of Common Stock with a value in excess of this amount to cover Tax-Related Items, the Participant must report the payment and/or the value of the shares of Common Stock withheld or sold to the Bundesbank. Such reports must be filed either electronically using the “General Statistics Reporting Portal” (Allgemeine Meldeportal Statistik) available via the Bundesbank’s website (www.bundesbank.de) or by such other method as is permitted or required by the Bundesbank. The report must be submitted monthly or within such timing as is permitted or required by the Bundesbank.</w:t>
      </w:r>
    </w:p>
    <w:p>
      <w:pPr>
        <w:spacing w:after="0" w:line="190"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German residents holding Common Stock must notify their local tax office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acquisition of Common Stock under the Plan leads to a so-called qualified participation at any point during the calendar year. A qualified participation is attained only in the unlikely event (i) the Participant owns at least 1% of the Company and the value of the Common Stock acquired exceeds a certain amount (currently, €150,000), or (ii) the Participant holds Common Stock exceeding 10% of the total capital of the Company.</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GREECE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HUNGARY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33</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20"/>
          </w:cols>
          <w:pgMar w:left="320" w:top="1436" w:right="459" w:bottom="1440" w:gutter="0" w:footer="0" w:header="0"/>
        </w:sectPr>
      </w:pPr>
    </w:p>
    <w:bookmarkStart w:id="135" w:name="page136"/>
    <w:bookmarkEnd w:id="135"/>
    <w:p>
      <w:pPr>
        <w:ind w:right="12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Award Payable in Cash. </w:t>
      </w:r>
      <w:r>
        <w:rPr>
          <w:rFonts w:ascii="Times New Roman" w:cs="Times New Roman" w:eastAsia="Times New Roman" w:hAnsi="Times New Roman"/>
          <w:sz w:val="20"/>
          <w:szCs w:val="20"/>
          <w:color w:val="auto"/>
        </w:rPr>
        <w:t>Notwithstanding any discretion in the Plan or anything to the contrary in the Agreement (including paragraph 4(a)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Agreement), unless otherwise determined by the Company, the Award does not provide any right for the Participant to receive shares of Common Stock upon settlement of the Award. Unless otherwise determined by the Company, LTI Award Payouts to Participants in Hungary shall be settled in cash, less any Tax-Related Items, if applicable.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INDIA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Payment after Vesting. </w:t>
      </w:r>
      <w:r>
        <w:rPr>
          <w:rFonts w:ascii="Times New Roman" w:cs="Times New Roman" w:eastAsia="Times New Roman" w:hAnsi="Times New Roman"/>
          <w:sz w:val="20"/>
          <w:szCs w:val="20"/>
          <w:color w:val="auto"/>
        </w:rPr>
        <w:t>The following provision supplements paragraph 4 of the Agreement:</w:t>
      </w:r>
    </w:p>
    <w:p>
      <w:pPr>
        <w:spacing w:after="0" w:line="27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color w:val="auto"/>
        </w:rPr>
        <w:t>Due to regulatory requirements in India, the Company reserves the right to require that the Participant sell all shares of Common Stock delivered to the Participant, either immediately upon receipt of such shares or upon the Participant’s termination of employment from the Mondelēz Group. In this regard, the Participant agrees that the Company is authorized to instruct its designated broker to assist with any such mandatory sale of shares of Common Stock (on the Participant’s behalf pursuant to this authorization), and the Participant expressly authorizes the designated broker to complete the sale of such shares. The Participant also agrees to sign any agreements, forms and/or consents that may be reasonably requested by the Company (or the designated broker) to effectuate the sale of the shares of Common Stock and shall otherwise cooperate with the Company with respect to such matters, provided that the Participant shall not be permitted to exercise any influence over how, when or whether the sales occur. The Participant acknowledges that the designated broker is under no obligation to arrange for the sale of the shares of Common Stock at any particular price. Due to fluctuations in the shares of Common Stock price and/or applicable exchange rates between the date the shares of Common Stock are delivered to the Participant and (if later) the date on which the shares of Common Stock are sold, the amount of proceeds ultimately distributed to the Participant may be more or less than the market value of the shares of Common Stock on the relevant vesting date or the date on which such shares are delivered to the Participant. Upon the sale of the shares of Common Stock, the cash proceeds from the sale of shares (less any applicable Tax-Related Items, brokerage fees or commissions) will be delivered to the Participant in accordance with applicable laws and regulations, as determined by the Company in its sole discretion.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7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Indian residents are required to repatriate any funds recognized in connection with the LTI Grant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cash proceeds received upon the sale of shares of Common Stock and convert such funds into local currency within specified timeframes as required under applicable regulations. Indian residents also are required to retain the foreign inward remittance certificate as evidence of repatriation. The Participant is personally responsible for complying with exchange control laws in India, and neither the Company nor the Employer will be liable for any fines or penalties resulting from the Participant’s failure to comply with applicable laws. The Participant may also be required to provide information regarding funds received from participation in the Plan to the Company and/or the Employer to enable them to comply with their filing requirements under exchange control laws in 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34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36" w:right="339" w:bottom="1440" w:gutter="0" w:footer="0" w:header="0"/>
        </w:sectPr>
      </w:pPr>
    </w:p>
    <w:bookmarkStart w:id="136" w:name="page137"/>
    <w:bookmarkEnd w:id="136"/>
    <w:p>
      <w:pPr>
        <w:spacing w:after="0" w:line="315" w:lineRule="auto"/>
        <w:rPr>
          <w:sz w:val="20"/>
          <w:szCs w:val="20"/>
          <w:color w:val="auto"/>
        </w:rPr>
      </w:pPr>
      <w:r>
        <w:rPr>
          <w:rFonts w:ascii="Times New Roman" w:cs="Times New Roman" w:eastAsia="Times New Roman" w:hAnsi="Times New Roman"/>
          <w:sz w:val="20"/>
          <w:szCs w:val="20"/>
          <w:i w:val="1"/>
          <w:iCs w:val="1"/>
          <w:color w:val="auto"/>
        </w:rPr>
        <w:t>As exchange control regulations can change frequently and without notice, the Participant should consult their personal tax or legal advisor before selling shares of Common Stock to ensure compliance with current regulations.</w:t>
      </w:r>
    </w:p>
    <w:p>
      <w:pPr>
        <w:spacing w:after="0" w:line="166" w:lineRule="exact"/>
        <w:rPr>
          <w:sz w:val="20"/>
          <w:szCs w:val="20"/>
          <w:color w:val="auto"/>
        </w:rPr>
      </w:pPr>
    </w:p>
    <w:p>
      <w:pPr>
        <w:ind w:right="120"/>
        <w:spacing w:after="0" w:line="305"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The Participant is required to declare foreign bank accounts and any foreign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(including shares of Common Stock held outside India) in their annual tax return. It is the Participant’s responsibility to comply with this reporting obligation and the Participant should consult with their personal tax advisor in this regard.</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INDONESIA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7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Language Consent and Notification. </w:t>
      </w:r>
      <w:r>
        <w:rPr>
          <w:rFonts w:ascii="Times New Roman" w:cs="Times New Roman" w:eastAsia="Times New Roman" w:hAnsi="Times New Roman"/>
          <w:sz w:val="20"/>
          <w:szCs w:val="20"/>
          <w:color w:val="auto"/>
        </w:rPr>
        <w:t>A translation of the documents relating to this LTI grant into Bahasa Indonesia can be provided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upon request to Astrid Januarita, My Rewards Advisor ID, at </w:t>
      </w:r>
      <w:r>
        <w:rPr>
          <w:rFonts w:ascii="Times New Roman" w:cs="Times New Roman" w:eastAsia="Times New Roman" w:hAnsi="Times New Roman"/>
          <w:sz w:val="20"/>
          <w:szCs w:val="20"/>
          <w:u w:val="single" w:color="auto"/>
          <w:color w:val="0000FF"/>
        </w:rPr>
        <w:t>astrid.januarita@mdlz.com</w:t>
      </w:r>
      <w:r>
        <w:rPr>
          <w:rFonts w:ascii="Times New Roman" w:cs="Times New Roman" w:eastAsia="Times New Roman" w:hAnsi="Times New Roman"/>
          <w:sz w:val="20"/>
          <w:szCs w:val="20"/>
          <w:color w:val="auto"/>
        </w:rPr>
        <w:t>. By accepting the LTI Grant, the Participant (i) confirms having read and understood the documents relating to this LTI Grant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73"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20"/>
          <w:szCs w:val="20"/>
          <w:b w:val="1"/>
          <w:bCs w:val="1"/>
          <w:color w:val="auto"/>
        </w:rPr>
        <w:t>Language Consent and Notification</w:t>
      </w:r>
      <w:r>
        <w:rPr>
          <w:rFonts w:ascii="Times New Roman" w:cs="Times New Roman" w:eastAsia="Times New Roman" w:hAnsi="Times New Roman"/>
          <w:sz w:val="20"/>
          <w:szCs w:val="20"/>
          <w:color w:val="auto"/>
        </w:rPr>
        <w:t>. Terjemahan dari dokumen-dokumen terkait dengan pemberian ini ke Bahasa Indonesia dapat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disediakan untuk anda berdasarkan permintaan kepada Astrid Januarita, My Rewards Advisor ID, di </w:t>
      </w:r>
      <w:r>
        <w:rPr>
          <w:rFonts w:ascii="Times New Roman" w:cs="Times New Roman" w:eastAsia="Times New Roman" w:hAnsi="Times New Roman"/>
          <w:sz w:val="20"/>
          <w:szCs w:val="20"/>
          <w:u w:val="single" w:color="auto"/>
          <w:color w:val="0000FF"/>
        </w:rPr>
        <w:t>astrid.januarita@mdlz.com</w:t>
      </w:r>
      <w:r>
        <w:rPr>
          <w:rFonts w:ascii="Times New Roman" w:cs="Times New Roman" w:eastAsia="Times New Roman" w:hAnsi="Times New Roman"/>
          <w:sz w:val="20"/>
          <w:szCs w:val="20"/>
          <w:color w:val="auto"/>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70"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Foreign exchange activity is subject to certain reporting requirements. For foreign currency transactions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exceeding US$25,000, the underlying document of that transaction will have to be submitted to the relevant local bank.</w:t>
      </w:r>
    </w:p>
    <w:p>
      <w:pPr>
        <w:spacing w:after="0" w:line="156"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20"/>
          <w:szCs w:val="20"/>
          <w:color w:val="auto"/>
        </w:rPr>
        <w:t>In addition, if the Participant remits funds into Indonesia, the Indonesian bank through which the transaction is made will submit a report on the transaction to the Bank of Indonesia for statistical reporting purposes. For transactions of a certain threshold (currently, US$10,000) or more, a description of the transaction must be included in the report. Although the bank through which the transaction is made is required to make the report, the Participant must complete a “Transfer Report Form.”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35</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40"/>
          </w:cols>
          <w:pgMar w:left="320" w:top="1436"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color w:val="auto"/>
        </w:rPr>
        <w:t>Transfer Report Form will be provided to the Participant by the bank through which the transaction is made.</w:t>
      </w:r>
    </w:p>
    <w:p>
      <w:pPr>
        <w:spacing w:after="0" w:line="252" w:lineRule="exact"/>
        <w:rPr>
          <w:sz w:val="20"/>
          <w:szCs w:val="20"/>
          <w:color w:val="auto"/>
        </w:rPr>
      </w:pPr>
    </w:p>
    <w:p>
      <w:pPr>
        <w:ind w:right="420"/>
        <w:spacing w:after="0" w:line="329"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Indonesian residents have the obligation to report worldwide assets (including foreign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accounts and shares of Common Stock acquired under the Plan) in their annual individual income tax return.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Requirement. </w:t>
      </w:r>
      <w:r>
        <w:rPr>
          <w:rFonts w:ascii="Times New Roman" w:cs="Times New Roman" w:eastAsia="Times New Roman" w:hAnsi="Times New Roman"/>
          <w:sz w:val="20"/>
          <w:szCs w:val="20"/>
          <w:color w:val="auto"/>
        </w:rPr>
        <w:t>If the Participant is a director, shadow director</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secretary of an Irish subsidiary or affiliate,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must notify the Irish subsidiary or affiliate in writing if (1) the Participant receives or disposes of an interest exceeding 1% of the Company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LTI Award Payout, shares of Common Stock, etc.), (2) the Participant becomes aware of an event giving rise to a notification requirement, or (3) the Participant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20"/>
          <w:szCs w:val="20"/>
          <w:b w:val="1"/>
          <w:bCs w:val="1"/>
          <w:color w:val="auto"/>
        </w:rPr>
        <w:t xml:space="preserve">Plan Document Acknowledgment. </w:t>
      </w:r>
      <w:r>
        <w:rPr>
          <w:rFonts w:ascii="Times New Roman" w:cs="Times New Roman" w:eastAsia="Times New Roman" w:hAnsi="Times New Roman"/>
          <w:sz w:val="20"/>
          <w:szCs w:val="20"/>
          <w:color w:val="auto"/>
        </w:rPr>
        <w:t>In participating in the Plan and receiving the LTI Grant, the Participant acknowledges that he or she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received a copy of the Plan and the Agreement and has reviewed the Plan and the Agreement, including this Appendix A, in their entirety and fully understands and accepts all provisions of the Plan and the Agreement, including this Appendix A.</w:t>
      </w:r>
    </w:p>
    <w:p>
      <w:pPr>
        <w:spacing w:after="0" w:line="167"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20"/>
          <w:szCs w:val="20"/>
          <w:color w:val="auto"/>
        </w:rPr>
        <w:t>The Participant acknowledges that he or she has read and specifically and expressly approves the following paragraphs of the Agreement: paragraph 3 on Vesting and Forfeiture; paragraph 4 on Payment; paragraph 5 on Treatment Upon a Change of Control; paragraph 6 on Restrictions and Covenants; paragraph 8 on Withholding Taxes; paragraph 9 on the Nature of the Grant; paragraph 11 on Nontransferability of LTI Grant; paragraph 14 on No Guarantee of Continued Employment; paragraph 15 on Entire Agreement; Governing Law; paragraph 16 on Conformity to Securities Laws; paragraph 24 on Language; paragraph 26 on Electronic Delivery and Acceptance; paragraph 27 on Imposition of Other Requirements; paragraph 28 on Insider Trading/Market Abuse Laws; paragraph 30 on Waiver; and the Data Privacy Notice in the European Union / European Economic Area section of this Appendix 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64592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39" w:lineRule="exact"/>
        <w:rPr>
          <w:sz w:val="20"/>
          <w:szCs w:val="20"/>
          <w:color w:val="auto"/>
        </w:rPr>
      </w:pPr>
    </w:p>
    <w:p>
      <w:pPr>
        <w:ind w:right="620" w:firstLine="8"/>
        <w:spacing w:after="0" w:line="246" w:lineRule="auto"/>
        <w:tabs>
          <w:tab w:leader="none" w:pos="88"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shadow director is an individual who is not on the board of the Irish Affiliate but who has sufficient control so that the board of directors acts in accordance with the “directions or instructions” of the individual.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36</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38" w:name="page139"/>
    <w:bookmarkEnd w:id="138"/>
    <w:p>
      <w:pPr>
        <w:ind w:right="16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Italian residents who, during the fiscal year, hold investments abroad or foreign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cash, shares of Common Stock, LTI Grants)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cash, shares of Common Stock, LTI Grants), are beneficial owners of the investment pursuant to Italian money laundering provisions.</w:t>
      </w:r>
    </w:p>
    <w:p>
      <w:pPr>
        <w:spacing w:after="0" w:line="17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b w:val="1"/>
          <w:bCs w:val="1"/>
          <w:color w:val="auto"/>
        </w:rPr>
        <w:t xml:space="preserve">Foreign Financial Assets Tax. </w:t>
      </w:r>
      <w:r>
        <w:rPr>
          <w:rFonts w:ascii="Times New Roman" w:cs="Times New Roman" w:eastAsia="Times New Roman" w:hAnsi="Times New Roman"/>
          <w:sz w:val="20"/>
          <w:szCs w:val="20"/>
          <w:color w:val="auto"/>
        </w:rPr>
        <w:t>The fair market value of any shares of Common Stock (and other financial assets) held outside Italy is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 foreign assets tax. The fair market value is considered to be the value of the shares of Common Stock on the Nasdaq Global Select Market on December 31 of each year or on the last day the Participant held the shares (in such case, or when the shares of Common Stock are acquired during the course of the year, the tax is levied in proportion to the actual days of holding over the calendar year). The Participant should consult with their personal tax advisor about the foreign financial assets tax.</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JAPAN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Participant acquires shares of Common Stock valued at more than a certain threshold (currently,</w:t>
      </w:r>
    </w:p>
    <w:p>
      <w:pPr>
        <w:spacing w:after="0" w:line="44"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20"/>
          <w:szCs w:val="20"/>
          <w:color w:val="auto"/>
        </w:rPr>
        <w:t>¥100,000,000) in a single transaction, the Participant must file a Securities Acquisition Report with the Ministry of Finance through the Bank of Japan within 20 days of the purchase of the shares of Common Stock.</w:t>
      </w:r>
    </w:p>
    <w:p>
      <w:pPr>
        <w:spacing w:after="0" w:line="169"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Participant will be required to report details of any assets held outside Japan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31st (including any shares of Common Stock acquired under the Plan) to the extent such assets have a total net fair market value exceeding a certain threshold (currently, ¥50,000,000). Such report will be due by March 15th each year. The Participant should consult with their personal tax advisor as to whether the reporting obligation applies to the Participant and whether the Participant will be required to include details of any outstanding LTI Grant, shares of Common Stock or cash held by the Participant in the report.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KAZAKHSTAN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jc w:val="both"/>
        <w:ind w:right="300"/>
        <w:spacing w:after="0" w:line="328" w:lineRule="auto"/>
        <w:rPr>
          <w:sz w:val="20"/>
          <w:szCs w:val="20"/>
          <w:color w:val="auto"/>
        </w:rPr>
      </w:pPr>
      <w:r>
        <w:rPr>
          <w:rFonts w:ascii="Times New Roman" w:cs="Times New Roman" w:eastAsia="Times New Roman" w:hAnsi="Times New Roman"/>
          <w:sz w:val="19"/>
          <w:szCs w:val="19"/>
          <w:b w:val="1"/>
          <w:bCs w:val="1"/>
          <w:color w:val="auto"/>
        </w:rPr>
        <w:t>Securities Law Notification</w:t>
      </w:r>
      <w:r>
        <w:rPr>
          <w:rFonts w:ascii="Times New Roman" w:cs="Times New Roman" w:eastAsia="Times New Roman" w:hAnsi="Times New Roman"/>
          <w:sz w:val="19"/>
          <w:szCs w:val="19"/>
          <w:color w:val="auto"/>
        </w:rPr>
        <w:t>. This offer is addressed only to certain eligible employees in the form of the shares of Common Stock to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issued by the Company. Neither the Plan nor the Agreement has been approved, nor do they need to be approved, by the National Bank of Kazakhstan. This offer is intended only for the original recipient and is not for general circulation in the Republic of Kazakhstan.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37</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36" w:right="339" w:bottom="1440" w:gutter="0" w:footer="0" w:header="0"/>
        </w:sectPr>
      </w:pPr>
    </w:p>
    <w:bookmarkStart w:id="139" w:name="page140"/>
    <w:bookmarkEnd w:id="139"/>
    <w:p>
      <w:pPr>
        <w:spacing w:after="0" w:line="197" w:lineRule="exact"/>
        <w:rPr>
          <w:sz w:val="20"/>
          <w:szCs w:val="20"/>
          <w:color w:val="auto"/>
        </w:rPr>
      </w:pPr>
    </w:p>
    <w:p>
      <w:pPr>
        <w:ind w:right="160"/>
        <w:spacing w:after="0" w:line="344" w:lineRule="auto"/>
        <w:rPr>
          <w:sz w:val="20"/>
          <w:szCs w:val="20"/>
          <w:color w:val="auto"/>
        </w:rPr>
      </w:pPr>
      <w:r>
        <w:rPr>
          <w:rFonts w:ascii="Times New Roman" w:cs="Times New Roman" w:eastAsia="Times New Roman" w:hAnsi="Times New Roman"/>
          <w:sz w:val="19"/>
          <w:szCs w:val="19"/>
          <w:b w:val="1"/>
          <w:bCs w:val="1"/>
          <w:color w:val="auto"/>
        </w:rPr>
        <w:t>Exchange Control Information</w:t>
      </w:r>
      <w:r>
        <w:rPr>
          <w:rFonts w:ascii="Times New Roman" w:cs="Times New Roman" w:eastAsia="Times New Roman" w:hAnsi="Times New Roman"/>
          <w:sz w:val="19"/>
          <w:szCs w:val="19"/>
          <w:color w:val="auto"/>
        </w:rPr>
        <w:t>. Residents of Kazakhstan may be required to notify the National Bank of Kazakhstan when they acquire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Common Stock under the Plan if the value of such shares of Common Stock exceeds a certain threshold (currently, US$100,000).</w:t>
      </w:r>
    </w:p>
    <w:p>
      <w:pPr>
        <w:spacing w:after="0" w:line="174"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20"/>
          <w:szCs w:val="20"/>
          <w:color w:val="auto"/>
        </w:rPr>
        <w:t>Please note that the exchange control regulations in Kazakhstan are subject to change. The Participant should consult with their personal legal advisor regarding any exchange control obligations that the Participant may have prior to the LTI Award Payout or receiving proceeds from the sale of shares of Common Stock acquired under the Plan. The Participant is responsible for ensuring compliance with all exchange control laws in Kazakhstan.</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KENYA</w:t>
      </w:r>
    </w:p>
    <w:p>
      <w:pPr>
        <w:spacing w:after="0" w:line="270"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Tax Registration Notification. </w:t>
      </w:r>
      <w:r>
        <w:rPr>
          <w:rFonts w:ascii="Times New Roman" w:cs="Times New Roman" w:eastAsia="Times New Roman" w:hAnsi="Times New Roman"/>
          <w:sz w:val="20"/>
          <w:szCs w:val="20"/>
          <w:color w:val="auto"/>
        </w:rPr>
        <w:t>Under Tax Procedure Act, 2015, the Participant is required to complete and submit a tax registration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application to the Commissioner of Income Tax with 30 days of first vesting of the LTI Grant. The registration should be completed through the online portal “I TAX” and is a one-time only registration. The Participant is solely responsible for ensuring compliance with all registration requirements in Kenya.</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LITHUANIA</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MALAYSIA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Notice</w:t>
      </w:r>
      <w:r>
        <w:rPr>
          <w:rFonts w:ascii="Times New Roman" w:cs="Times New Roman" w:eastAsia="Times New Roman" w:hAnsi="Times New Roman"/>
          <w:sz w:val="20"/>
          <w:szCs w:val="20"/>
          <w:color w:val="auto"/>
        </w:rPr>
        <w:t>. The following provision replaces paragraph 10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196850</wp:posOffset>
            </wp:positionV>
            <wp:extent cx="8255"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889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196850</wp:posOffset>
            </wp:positionV>
            <wp:extent cx="889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4057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304" w:lineRule="exact"/>
        <w:rPr>
          <w:sz w:val="20"/>
          <w:szCs w:val="20"/>
          <w:color w:val="auto"/>
        </w:rPr>
      </w:pPr>
    </w:p>
    <w:tbl>
      <w:tblPr>
        <w:tblLayout w:type="fixed"/>
        <w:tblInd w:w="80" w:type="dxa"/>
        <w:tblCellMar>
          <w:top w:w="0" w:type="dxa"/>
          <w:left w:w="0" w:type="dxa"/>
          <w:bottom w:w="0" w:type="dxa"/>
          <w:right w:w="0" w:type="dxa"/>
        </w:tblCellMar>
      </w:tblPr>
      <w:tr>
        <w:trPr>
          <w:trHeight w:val="262"/>
        </w:trPr>
        <w:tc>
          <w:tcPr>
            <w:tcW w:w="55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Participant explicitly and unambiguously consents to the</w:t>
            </w:r>
          </w:p>
        </w:tc>
        <w:tc>
          <w:tcPr>
            <w:tcW w:w="55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Peserta dengan ini secara eksplisit dan tanpa sebarang keraguan</w:t>
            </w:r>
          </w:p>
        </w:tc>
      </w:tr>
      <w:tr>
        <w:trPr>
          <w:trHeight w:val="270"/>
        </w:trPr>
        <w:tc>
          <w:tcPr>
            <w:tcW w:w="55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collection, use and transfer, in electronic or other form, of the</w:t>
            </w:r>
          </w:p>
        </w:tc>
        <w:tc>
          <w:tcPr>
            <w:tcW w:w="55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mengizinkan pengumpulan, penggunaan dan pemindahan, dalam</w:t>
            </w:r>
          </w:p>
        </w:tc>
      </w:tr>
      <w:tr>
        <w:trPr>
          <w:trHeight w:val="283"/>
        </w:trPr>
        <w:tc>
          <w:tcPr>
            <w:tcW w:w="55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Participant’s personal data as described in this Agreement and any</w:t>
            </w:r>
          </w:p>
        </w:tc>
        <w:tc>
          <w:tcPr>
            <w:tcW w:w="55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9"/>
              </w:rPr>
              <w:t>bentuk elektronik atau lain-lain, data peribadi Peserta seperti yang</w:t>
            </w:r>
          </w:p>
        </w:tc>
      </w:tr>
      <w:tr>
        <w:trPr>
          <w:trHeight w:val="223"/>
        </w:trPr>
        <w:tc>
          <w:tcPr>
            <w:tcW w:w="5540" w:type="dxa"/>
            <w:vAlign w:val="bottom"/>
            <w:gridSpan w:val="3"/>
          </w:tcPr>
          <w:p>
            <w:pPr>
              <w:spacing w:after="0" w:line="224" w:lineRule="exact"/>
              <w:rPr>
                <w:sz w:val="20"/>
                <w:szCs w:val="20"/>
                <w:color w:val="auto"/>
              </w:rPr>
            </w:pPr>
            <w:r>
              <w:rPr>
                <w:rFonts w:ascii="Times New Roman" w:cs="Times New Roman" w:eastAsia="Times New Roman" w:hAnsi="Times New Roman"/>
                <w:sz w:val="20"/>
                <w:szCs w:val="20"/>
                <w:b w:val="1"/>
                <w:bCs w:val="1"/>
                <w:i w:val="1"/>
                <w:iCs w:val="1"/>
                <w:color w:val="auto"/>
              </w:rPr>
              <w:t>other LTI Grant materials (“Data”) by and among, as applicable,</w:t>
            </w:r>
          </w:p>
        </w:tc>
        <w:tc>
          <w:tcPr>
            <w:tcW w:w="5540" w:type="dxa"/>
            <w:vAlign w:val="bottom"/>
            <w:gridSpan w:val="3"/>
          </w:tcPr>
          <w:p>
            <w:pPr>
              <w:ind w:left="40"/>
              <w:spacing w:after="0" w:line="224" w:lineRule="exact"/>
              <w:rPr>
                <w:sz w:val="20"/>
                <w:szCs w:val="20"/>
                <w:color w:val="auto"/>
              </w:rPr>
            </w:pPr>
            <w:r>
              <w:rPr>
                <w:rFonts w:ascii="Times New Roman" w:cs="Times New Roman" w:eastAsia="Times New Roman" w:hAnsi="Times New Roman"/>
                <w:sz w:val="20"/>
                <w:szCs w:val="20"/>
                <w:b w:val="1"/>
                <w:bCs w:val="1"/>
                <w:i w:val="1"/>
                <w:iCs w:val="1"/>
                <w:color w:val="auto"/>
              </w:rPr>
              <w:t>diterangkan dalam Perjanjian ini serta mana-mana bahan-bahan</w:t>
            </w:r>
          </w:p>
        </w:tc>
      </w:tr>
      <w:tr>
        <w:trPr>
          <w:trHeight w:val="20"/>
        </w:trPr>
        <w:tc>
          <w:tcPr>
            <w:tcW w:w="2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64"/>
        </w:trPr>
        <w:tc>
          <w:tcPr>
            <w:tcW w:w="55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the Employer and the Mondelēz Group for the exclusive purpose of</w:t>
            </w:r>
          </w:p>
        </w:tc>
        <w:tc>
          <w:tcPr>
            <w:tcW w:w="55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Geran LTI (“Data”)  oleh  dan  di  antara,  seperti  mana  yang</w:t>
            </w:r>
          </w:p>
        </w:tc>
      </w:tr>
      <w:tr>
        <w:trPr>
          <w:trHeight w:val="20"/>
        </w:trPr>
        <w:tc>
          <w:tcPr>
            <w:tcW w:w="55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96"/>
        </w:trPr>
        <w:tc>
          <w:tcPr>
            <w:tcW w:w="55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implementing, administering and managing the Participant’s</w:t>
            </w:r>
          </w:p>
        </w:tc>
        <w:tc>
          <w:tcPr>
            <w:tcW w:w="55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9"/>
              </w:rPr>
              <w:t>terpakai, Majikan serta Kumpulan Mondelez untuk tujuan ekslusif</w:t>
            </w:r>
          </w:p>
        </w:tc>
      </w:tr>
      <w:tr>
        <w:trPr>
          <w:trHeight w:val="270"/>
        </w:trPr>
        <w:tc>
          <w:tcPr>
            <w:tcW w:w="55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participation in the Plan. The Data is supplied by the Employer</w:t>
            </w:r>
          </w:p>
        </w:tc>
        <w:tc>
          <w:tcPr>
            <w:tcW w:w="55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bagi  melaksanakan,  mentadbir  dan  menguruskan  penyertaan</w:t>
            </w:r>
          </w:p>
        </w:tc>
      </w:tr>
      <w:tr>
        <w:trPr>
          <w:trHeight w:val="284"/>
        </w:trPr>
        <w:tc>
          <w:tcPr>
            <w:tcW w:w="55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and also by the Participant through information collected in</w:t>
            </w:r>
          </w:p>
        </w:tc>
        <w:tc>
          <w:tcPr>
            <w:tcW w:w="55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Peserta dalam Pelan. Data telah dibekalkan oleh pihak Majikan</w:t>
            </w:r>
          </w:p>
        </w:tc>
      </w:tr>
      <w:tr>
        <w:trPr>
          <w:trHeight w:val="270"/>
        </w:trPr>
        <w:tc>
          <w:tcPr>
            <w:tcW w:w="55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connection with the Agreement and the Plan.</w:t>
            </w:r>
          </w:p>
        </w:tc>
        <w:tc>
          <w:tcPr>
            <w:tcW w:w="55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dan juga oleh Peserta melalui informasi yang telah dikumpul</w:t>
            </w:r>
          </w:p>
        </w:tc>
      </w:tr>
      <w:tr>
        <w:trPr>
          <w:trHeight w:val="250"/>
        </w:trPr>
        <w:tc>
          <w:tcPr>
            <w:tcW w:w="2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55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berkaitan dengan Perjanjian dan Pelan.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-1713230</wp:posOffset>
            </wp:positionV>
            <wp:extent cx="8255"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-1696085</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-1678940</wp:posOffset>
            </wp:positionV>
            <wp:extent cx="8255"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-1661795</wp:posOffset>
            </wp:positionV>
            <wp:extent cx="8255"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-1644650</wp:posOffset>
            </wp:positionV>
            <wp:extent cx="8255"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-1627505</wp:posOffset>
            </wp:positionV>
            <wp:extent cx="8255"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-1610360</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-1593215</wp:posOffset>
            </wp:positionV>
            <wp:extent cx="8255"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-1576070</wp:posOffset>
            </wp:positionV>
            <wp:extent cx="8255"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-1558925</wp:posOffset>
            </wp:positionV>
            <wp:extent cx="8255"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-1541780</wp:posOffset>
            </wp:positionV>
            <wp:extent cx="8255"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-1524635</wp:posOffset>
            </wp:positionV>
            <wp:extent cx="825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-1507490</wp:posOffset>
            </wp:positionV>
            <wp:extent cx="8255"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-1490345</wp:posOffset>
            </wp:positionV>
            <wp:extent cx="8255"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-1473200</wp:posOffset>
            </wp:positionV>
            <wp:extent cx="8255"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-1456055</wp:posOffset>
            </wp:positionV>
            <wp:extent cx="8255"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-1438910</wp:posOffset>
            </wp:positionV>
            <wp:extent cx="8255"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-1421765</wp:posOffset>
            </wp:positionV>
            <wp:extent cx="8255"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-1404620</wp:posOffset>
            </wp:positionV>
            <wp:extent cx="825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-1387475</wp:posOffset>
            </wp:positionV>
            <wp:extent cx="8255"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-1370330</wp:posOffset>
            </wp:positionV>
            <wp:extent cx="8255"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-1353185</wp:posOffset>
            </wp:positionV>
            <wp:extent cx="825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-1336040</wp:posOffset>
            </wp:positionV>
            <wp:extent cx="8255"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-1318895</wp:posOffset>
            </wp:positionV>
            <wp:extent cx="8255"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-1301750</wp:posOffset>
            </wp:positionV>
            <wp:extent cx="8255"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-1284605</wp:posOffset>
            </wp:positionV>
            <wp:extent cx="8255"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-1267460</wp:posOffset>
            </wp:positionV>
            <wp:extent cx="8255"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-1250315</wp:posOffset>
            </wp:positionV>
            <wp:extent cx="8255"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-1233170</wp:posOffset>
            </wp:positionV>
            <wp:extent cx="8255"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-1216025</wp:posOffset>
            </wp:positionV>
            <wp:extent cx="8255"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-1198880</wp:posOffset>
            </wp:positionV>
            <wp:extent cx="8255"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-1181735</wp:posOffset>
            </wp:positionV>
            <wp:extent cx="825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-1164590</wp:posOffset>
            </wp:positionV>
            <wp:extent cx="8255"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-1147445</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-1130300</wp:posOffset>
            </wp:positionV>
            <wp:extent cx="8255"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-1113155</wp:posOffset>
            </wp:positionV>
            <wp:extent cx="8255"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-1096010</wp:posOffset>
            </wp:positionV>
            <wp:extent cx="8255"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-1078865</wp:posOffset>
            </wp:positionV>
            <wp:extent cx="8255"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-1061720</wp:posOffset>
            </wp:positionV>
            <wp:extent cx="8255"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-1044575</wp:posOffset>
            </wp:positionV>
            <wp:extent cx="8255"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-1027430</wp:posOffset>
            </wp:positionV>
            <wp:extent cx="8255"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-1010285</wp:posOffset>
            </wp:positionV>
            <wp:extent cx="8255"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-993140</wp:posOffset>
            </wp:positionV>
            <wp:extent cx="8255"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-975995</wp:posOffset>
            </wp:positionV>
            <wp:extent cx="8255"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-958850</wp:posOffset>
            </wp:positionV>
            <wp:extent cx="8255"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-941705</wp:posOffset>
            </wp:positionV>
            <wp:extent cx="8255"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-924560</wp:posOffset>
            </wp:positionV>
            <wp:extent cx="8255"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-907415</wp:posOffset>
            </wp:positionV>
            <wp:extent cx="82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-890270</wp:posOffset>
            </wp:positionV>
            <wp:extent cx="8255"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-873125</wp:posOffset>
            </wp:positionV>
            <wp:extent cx="8255"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-855980</wp:posOffset>
            </wp:positionV>
            <wp:extent cx="8255"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-838835</wp:posOffset>
            </wp:positionV>
            <wp:extent cx="8255"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-821690</wp:posOffset>
            </wp:positionV>
            <wp:extent cx="825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-804545</wp:posOffset>
            </wp:positionV>
            <wp:extent cx="8255"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-787400</wp:posOffset>
            </wp:positionV>
            <wp:extent cx="8255"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-770255</wp:posOffset>
            </wp:positionV>
            <wp:extent cx="8255"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-753110</wp:posOffset>
            </wp:positionV>
            <wp:extent cx="8255"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-735965</wp:posOffset>
            </wp:positionV>
            <wp:extent cx="8255"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-718820</wp:posOffset>
            </wp:positionV>
            <wp:extent cx="8255"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-701675</wp:posOffset>
            </wp:positionV>
            <wp:extent cx="8255"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-684530</wp:posOffset>
            </wp:positionV>
            <wp:extent cx="8255"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-667385</wp:posOffset>
            </wp:positionV>
            <wp:extent cx="8255"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-650240</wp:posOffset>
            </wp:positionV>
            <wp:extent cx="8255"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-633095</wp:posOffset>
            </wp:positionV>
            <wp:extent cx="8255"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-615950</wp:posOffset>
            </wp:positionV>
            <wp:extent cx="8255"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-598805</wp:posOffset>
            </wp:positionV>
            <wp:extent cx="8255"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-581660</wp:posOffset>
            </wp:positionV>
            <wp:extent cx="8255"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-564515</wp:posOffset>
            </wp:positionV>
            <wp:extent cx="825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-547370</wp:posOffset>
            </wp:positionV>
            <wp:extent cx="8255"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-530225</wp:posOffset>
            </wp:positionV>
            <wp:extent cx="8255"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-513080</wp:posOffset>
            </wp:positionV>
            <wp:extent cx="8255"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-495935</wp:posOffset>
            </wp:positionV>
            <wp:extent cx="8255"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-478790</wp:posOffset>
            </wp:positionV>
            <wp:extent cx="825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-461645</wp:posOffset>
            </wp:positionV>
            <wp:extent cx="8255"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-444500</wp:posOffset>
            </wp:positionV>
            <wp:extent cx="8255"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-427355</wp:posOffset>
            </wp:positionV>
            <wp:extent cx="8255"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-410210</wp:posOffset>
            </wp:positionV>
            <wp:extent cx="8255"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-393065</wp:posOffset>
            </wp:positionV>
            <wp:extent cx="8255"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-375920</wp:posOffset>
            </wp:positionV>
            <wp:extent cx="8255"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-358775</wp:posOffset>
            </wp:positionV>
            <wp:extent cx="8255"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-341630</wp:posOffset>
            </wp:positionV>
            <wp:extent cx="8255"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-324485</wp:posOffset>
            </wp:positionV>
            <wp:extent cx="825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-307340</wp:posOffset>
            </wp:positionV>
            <wp:extent cx="8255"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-290195</wp:posOffset>
            </wp:positionV>
            <wp:extent cx="8255"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-273050</wp:posOffset>
            </wp:positionV>
            <wp:extent cx="8255"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-255905</wp:posOffset>
            </wp:positionV>
            <wp:extent cx="8255"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-238760</wp:posOffset>
            </wp:positionV>
            <wp:extent cx="8255"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-221615</wp:posOffset>
            </wp:positionV>
            <wp:extent cx="8255"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-204470</wp:posOffset>
            </wp:positionV>
            <wp:extent cx="8255"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-187325</wp:posOffset>
            </wp:positionV>
            <wp:extent cx="8255"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-170180</wp:posOffset>
            </wp:positionV>
            <wp:extent cx="8255"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-153035</wp:posOffset>
            </wp:positionV>
            <wp:extent cx="8255"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-135890</wp:posOffset>
            </wp:positionV>
            <wp:extent cx="8255"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-118745</wp:posOffset>
            </wp:positionV>
            <wp:extent cx="8255"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-101600</wp:posOffset>
            </wp:positionV>
            <wp:extent cx="8255"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-84455</wp:posOffset>
            </wp:positionV>
            <wp:extent cx="8255"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-67310</wp:posOffset>
            </wp:positionV>
            <wp:extent cx="8255"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-50165</wp:posOffset>
            </wp:positionV>
            <wp:extent cx="8255"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-33020</wp:posOffset>
            </wp:positionV>
            <wp:extent cx="8255"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-15875</wp:posOffset>
            </wp:positionV>
            <wp:extent cx="8255"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-1713230</wp:posOffset>
            </wp:positionV>
            <wp:extent cx="889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-1696085</wp:posOffset>
            </wp:positionV>
            <wp:extent cx="889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-1678940</wp:posOffset>
            </wp:positionV>
            <wp:extent cx="8890"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-1661795</wp:posOffset>
            </wp:positionV>
            <wp:extent cx="8890"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-1644650</wp:posOffset>
            </wp:positionV>
            <wp:extent cx="889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-1627505</wp:posOffset>
            </wp:positionV>
            <wp:extent cx="889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889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-1593215</wp:posOffset>
            </wp:positionV>
            <wp:extent cx="8890"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-1576070</wp:posOffset>
            </wp:positionV>
            <wp:extent cx="8890"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-1558925</wp:posOffset>
            </wp:positionV>
            <wp:extent cx="889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-1541780</wp:posOffset>
            </wp:positionV>
            <wp:extent cx="889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-1524635</wp:posOffset>
            </wp:positionV>
            <wp:extent cx="8890"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-1507490</wp:posOffset>
            </wp:positionV>
            <wp:extent cx="8890"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-1490345</wp:posOffset>
            </wp:positionV>
            <wp:extent cx="8890"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-1473200</wp:posOffset>
            </wp:positionV>
            <wp:extent cx="889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-1456055</wp:posOffset>
            </wp:positionV>
            <wp:extent cx="889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-1438910</wp:posOffset>
            </wp:positionV>
            <wp:extent cx="8890"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-1421765</wp:posOffset>
            </wp:positionV>
            <wp:extent cx="8890"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-1404620</wp:posOffset>
            </wp:positionV>
            <wp:extent cx="8890"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-1387475</wp:posOffset>
            </wp:positionV>
            <wp:extent cx="889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-1370330</wp:posOffset>
            </wp:positionV>
            <wp:extent cx="889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8890"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-1336040</wp:posOffset>
            </wp:positionV>
            <wp:extent cx="889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-1318895</wp:posOffset>
            </wp:positionV>
            <wp:extent cx="889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-1301750</wp:posOffset>
            </wp:positionV>
            <wp:extent cx="889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-1284605</wp:posOffset>
            </wp:positionV>
            <wp:extent cx="889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-1267460</wp:posOffset>
            </wp:positionV>
            <wp:extent cx="8890"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-1250315</wp:posOffset>
            </wp:positionV>
            <wp:extent cx="8890"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-1233170</wp:posOffset>
            </wp:positionV>
            <wp:extent cx="889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-1216025</wp:posOffset>
            </wp:positionV>
            <wp:extent cx="889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-1198880</wp:posOffset>
            </wp:positionV>
            <wp:extent cx="889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-1181735</wp:posOffset>
            </wp:positionV>
            <wp:extent cx="8890"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-1164590</wp:posOffset>
            </wp:positionV>
            <wp:extent cx="8890"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-1147445</wp:posOffset>
            </wp:positionV>
            <wp:extent cx="8890"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-1130300</wp:posOffset>
            </wp:positionV>
            <wp:extent cx="889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-1113155</wp:posOffset>
            </wp:positionV>
            <wp:extent cx="889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8890"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-1078865</wp:posOffset>
            </wp:positionV>
            <wp:extent cx="8890"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-1061720</wp:posOffset>
            </wp:positionV>
            <wp:extent cx="889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-1044575</wp:posOffset>
            </wp:positionV>
            <wp:extent cx="889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-1027430</wp:posOffset>
            </wp:positionV>
            <wp:extent cx="8890"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-1010285</wp:posOffset>
            </wp:positionV>
            <wp:extent cx="8890"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-993140</wp:posOffset>
            </wp:positionV>
            <wp:extent cx="8890"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-975995</wp:posOffset>
            </wp:positionV>
            <wp:extent cx="889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-958850</wp:posOffset>
            </wp:positionV>
            <wp:extent cx="889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-941705</wp:posOffset>
            </wp:positionV>
            <wp:extent cx="8890"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-924560</wp:posOffset>
            </wp:positionV>
            <wp:extent cx="8890"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-907415</wp:posOffset>
            </wp:positionV>
            <wp:extent cx="8890"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-890270</wp:posOffset>
            </wp:positionV>
            <wp:extent cx="889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-873125</wp:posOffset>
            </wp:positionV>
            <wp:extent cx="889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-855980</wp:posOffset>
            </wp:positionV>
            <wp:extent cx="8890"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-838835</wp:posOffset>
            </wp:positionV>
            <wp:extent cx="8890"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-821690</wp:posOffset>
            </wp:positionV>
            <wp:extent cx="8890"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889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889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8890"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-753110</wp:posOffset>
            </wp:positionV>
            <wp:extent cx="8890"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-735965</wp:posOffset>
            </wp:positionV>
            <wp:extent cx="8890"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-718820</wp:posOffset>
            </wp:positionV>
            <wp:extent cx="889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-701675</wp:posOffset>
            </wp:positionV>
            <wp:extent cx="889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-684530</wp:posOffset>
            </wp:positionV>
            <wp:extent cx="8890"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-667385</wp:posOffset>
            </wp:positionV>
            <wp:extent cx="8890"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8890"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889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889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8890"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-581660</wp:posOffset>
            </wp:positionV>
            <wp:extent cx="8890"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-564515</wp:posOffset>
            </wp:positionV>
            <wp:extent cx="8890"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-547370</wp:posOffset>
            </wp:positionV>
            <wp:extent cx="889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-530225</wp:posOffset>
            </wp:positionV>
            <wp:extent cx="889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8890"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8890"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8890"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889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889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8890"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-410210</wp:posOffset>
            </wp:positionV>
            <wp:extent cx="8890"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-393065</wp:posOffset>
            </wp:positionV>
            <wp:extent cx="889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889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8890"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8890"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8890"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889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889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wp:posOffset>
            </wp:positionV>
            <wp:extent cx="8890"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8890"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2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8890"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889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889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8890"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8890"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8890"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889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889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8890"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8890"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889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889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889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8890"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-1713230</wp:posOffset>
            </wp:positionV>
            <wp:extent cx="889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-1696085</wp:posOffset>
            </wp:positionV>
            <wp:extent cx="889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-1678940</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-1661795</wp:posOffset>
            </wp:positionV>
            <wp:extent cx="8890"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-1644650</wp:posOffset>
            </wp:positionV>
            <wp:extent cx="889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-1627505</wp:posOffset>
            </wp:positionV>
            <wp:extent cx="889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-1610360</wp:posOffset>
            </wp:positionV>
            <wp:extent cx="8890"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-1593215</wp:posOffset>
            </wp:positionV>
            <wp:extent cx="8890"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-1576070</wp:posOffset>
            </wp:positionV>
            <wp:extent cx="8890"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-1558925</wp:posOffset>
            </wp:positionV>
            <wp:extent cx="889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-1541780</wp:posOffset>
            </wp:positionV>
            <wp:extent cx="889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-1524635</wp:posOffset>
            </wp:positionV>
            <wp:extent cx="8890"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-1507490</wp:posOffset>
            </wp:positionV>
            <wp:extent cx="8890"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-1490345</wp:posOffset>
            </wp:positionV>
            <wp:extent cx="8890"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-1473200</wp:posOffset>
            </wp:positionV>
            <wp:extent cx="889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-1456055</wp:posOffset>
            </wp:positionV>
            <wp:extent cx="889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-1438910</wp:posOffset>
            </wp:positionV>
            <wp:extent cx="8890"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-1421765</wp:posOffset>
            </wp:positionV>
            <wp:extent cx="8890"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-1404620</wp:posOffset>
            </wp:positionV>
            <wp:extent cx="8890"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-1387475</wp:posOffset>
            </wp:positionV>
            <wp:extent cx="889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-1370330</wp:posOffset>
            </wp:positionV>
            <wp:extent cx="889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-1353185</wp:posOffset>
            </wp:positionV>
            <wp:extent cx="8890"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-1336040</wp:posOffset>
            </wp:positionV>
            <wp:extent cx="8890"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-1318895</wp:posOffset>
            </wp:positionV>
            <wp:extent cx="8890"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-1301750</wp:posOffset>
            </wp:positionV>
            <wp:extent cx="889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-1284605</wp:posOffset>
            </wp:positionV>
            <wp:extent cx="889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-1267460</wp:posOffset>
            </wp:positionV>
            <wp:extent cx="889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-1250315</wp:posOffset>
            </wp:positionV>
            <wp:extent cx="8890"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-1233170</wp:posOffset>
            </wp:positionV>
            <wp:extent cx="8890"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-1216025</wp:posOffset>
            </wp:positionV>
            <wp:extent cx="889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-1198880</wp:posOffset>
            </wp:positionV>
            <wp:extent cx="889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-1181735</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-1164590</wp:posOffset>
            </wp:positionV>
            <wp:extent cx="8890"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-1147445</wp:posOffset>
            </wp:positionV>
            <wp:extent cx="8890"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-1130300</wp:posOffset>
            </wp:positionV>
            <wp:extent cx="889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-1113155</wp:posOffset>
            </wp:positionV>
            <wp:extent cx="889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-1096010</wp:posOffset>
            </wp:positionV>
            <wp:extent cx="8890"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-1078865</wp:posOffset>
            </wp:positionV>
            <wp:extent cx="8890"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-1061720</wp:posOffset>
            </wp:positionV>
            <wp:extent cx="889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-1044575</wp:posOffset>
            </wp:positionV>
            <wp:extent cx="889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-1027430</wp:posOffset>
            </wp:positionV>
            <wp:extent cx="8890"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-1010285</wp:posOffset>
            </wp:positionV>
            <wp:extent cx="8890"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-993140</wp:posOffset>
            </wp:positionV>
            <wp:extent cx="8890"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-975995</wp:posOffset>
            </wp:positionV>
            <wp:extent cx="889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-958850</wp:posOffset>
            </wp:positionV>
            <wp:extent cx="889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-941705</wp:posOffset>
            </wp:positionV>
            <wp:extent cx="8890"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-924560</wp:posOffset>
            </wp:positionV>
            <wp:extent cx="8890"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-907415</wp:posOffset>
            </wp:positionV>
            <wp:extent cx="8890"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-890270</wp:posOffset>
            </wp:positionV>
            <wp:extent cx="889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-873125</wp:posOffset>
            </wp:positionV>
            <wp:extent cx="889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-855980</wp:posOffset>
            </wp:positionV>
            <wp:extent cx="8890"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-838835</wp:posOffset>
            </wp:positionV>
            <wp:extent cx="8890"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-821690</wp:posOffset>
            </wp:positionV>
            <wp:extent cx="8890"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-804545</wp:posOffset>
            </wp:positionV>
            <wp:extent cx="889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-787400</wp:posOffset>
            </wp:positionV>
            <wp:extent cx="889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-770255</wp:posOffset>
            </wp:positionV>
            <wp:extent cx="8890"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-753110</wp:posOffset>
            </wp:positionV>
            <wp:extent cx="889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-735965</wp:posOffset>
            </wp:positionV>
            <wp:extent cx="8890"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-718820</wp:posOffset>
            </wp:positionV>
            <wp:extent cx="889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-701675</wp:posOffset>
            </wp:positionV>
            <wp:extent cx="8890"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-684530</wp:posOffset>
            </wp:positionV>
            <wp:extent cx="8890"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-667385</wp:posOffset>
            </wp:positionV>
            <wp:extent cx="8890"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-650240</wp:posOffset>
            </wp:positionV>
            <wp:extent cx="8890"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-633095</wp:posOffset>
            </wp:positionV>
            <wp:extent cx="889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-615950</wp:posOffset>
            </wp:positionV>
            <wp:extent cx="889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-598805</wp:posOffset>
            </wp:positionV>
            <wp:extent cx="8890"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-581660</wp:posOffset>
            </wp:positionV>
            <wp:extent cx="8890"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-564515</wp:posOffset>
            </wp:positionV>
            <wp:extent cx="8890"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-547370</wp:posOffset>
            </wp:positionV>
            <wp:extent cx="889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-530225</wp:posOffset>
            </wp:positionV>
            <wp:extent cx="889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-513080</wp:posOffset>
            </wp:positionV>
            <wp:extent cx="8890"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-495935</wp:posOffset>
            </wp:positionV>
            <wp:extent cx="8890"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-478790</wp:posOffset>
            </wp:positionV>
            <wp:extent cx="8890"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-461645</wp:posOffset>
            </wp:positionV>
            <wp:extent cx="889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-444500</wp:posOffset>
            </wp:positionV>
            <wp:extent cx="889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-427355</wp:posOffset>
            </wp:positionV>
            <wp:extent cx="8890"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-410210</wp:posOffset>
            </wp:positionV>
            <wp:extent cx="8890"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-393065</wp:posOffset>
            </wp:positionV>
            <wp:extent cx="889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-375920</wp:posOffset>
            </wp:positionV>
            <wp:extent cx="889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-358775</wp:posOffset>
            </wp:positionV>
            <wp:extent cx="8890"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-341630</wp:posOffset>
            </wp:positionV>
            <wp:extent cx="8890"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-324485</wp:posOffset>
            </wp:positionV>
            <wp:extent cx="8890"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-307340</wp:posOffset>
            </wp:positionV>
            <wp:extent cx="8890"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-290195</wp:posOffset>
            </wp:positionV>
            <wp:extent cx="8890"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-273050</wp:posOffset>
            </wp:positionV>
            <wp:extent cx="8890"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-255905</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-238760</wp:posOffset>
            </wp:positionV>
            <wp:extent cx="8890"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-221615</wp:posOffset>
            </wp:positionV>
            <wp:extent cx="889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-204470</wp:posOffset>
            </wp:positionV>
            <wp:extent cx="889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-187325</wp:posOffset>
            </wp:positionV>
            <wp:extent cx="8890"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-170180</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-153035</wp:posOffset>
            </wp:positionV>
            <wp:extent cx="8890"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-135890</wp:posOffset>
            </wp:positionV>
            <wp:extent cx="8890"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-118745</wp:posOffset>
            </wp:positionV>
            <wp:extent cx="8890"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-101600</wp:posOffset>
            </wp:positionV>
            <wp:extent cx="8890"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-84455</wp:posOffset>
            </wp:positionV>
            <wp:extent cx="889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-67310</wp:posOffset>
            </wp:positionV>
            <wp:extent cx="8890"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-50165</wp:posOffset>
            </wp:positionV>
            <wp:extent cx="8890"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-33020</wp:posOffset>
            </wp:positionV>
            <wp:extent cx="8890"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-15875</wp:posOffset>
            </wp:positionV>
            <wp:extent cx="8890"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7036" w:orient="portrait"/>
          <w:cols w:equalWidth="0" w:num="1">
            <w:col w:w="11180"/>
          </w:cols>
          <w:pgMar w:left="320" w:top="1436" w:right="399" w:bottom="0" w:gutter="0" w:footer="0" w:header="0"/>
        </w:sectPr>
      </w:pPr>
    </w:p>
    <w:p>
      <w:pPr>
        <w:ind w:left="8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The Participant understands that the Company and the Employer may hold certain personal information about the Participant, including, but not limited to, the Participant’s name, home address, email address and telephone number, date of birth, social insurance number, passport or other identification number, salary, nationality, job title, any shares of stock or directorships held in the Company, details of all LTI Grants or any other entitlement to shares of stock awarded, canceled, exercised, vested, unvested or outstanding in the Participant’s favor, for the exclusive purpose of implementing, administering and managing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-1762125</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-1744980</wp:posOffset>
            </wp:positionV>
            <wp:extent cx="889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-1727835</wp:posOffset>
            </wp:positionV>
            <wp:extent cx="8890"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-1710690</wp:posOffset>
            </wp:positionV>
            <wp:extent cx="8890"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-1693545</wp:posOffset>
            </wp:positionV>
            <wp:extent cx="8890"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-1676400</wp:posOffset>
            </wp:positionV>
            <wp:extent cx="88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-1659255</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-1642110</wp:posOffset>
            </wp:positionV>
            <wp:extent cx="8890"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-1624965</wp:posOffset>
            </wp:positionV>
            <wp:extent cx="889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-1607820</wp:posOffset>
            </wp:positionV>
            <wp:extent cx="8890"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-1590675</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-1573530</wp:posOffset>
            </wp:positionV>
            <wp:extent cx="8890"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-1556385</wp:posOffset>
            </wp:positionV>
            <wp:extent cx="889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-1539240</wp:posOffset>
            </wp:positionV>
            <wp:extent cx="8890"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-1522095</wp:posOffset>
            </wp:positionV>
            <wp:extent cx="8890"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-1504950</wp:posOffset>
            </wp:positionV>
            <wp:extent cx="8890"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-1487805</wp:posOffset>
            </wp:positionV>
            <wp:extent cx="8890"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-1470660</wp:posOffset>
            </wp:positionV>
            <wp:extent cx="8890"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-1453515</wp:posOffset>
            </wp:positionV>
            <wp:extent cx="8890"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-1436370</wp:posOffset>
            </wp:positionV>
            <wp:extent cx="8890"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-1419225</wp:posOffset>
            </wp:positionV>
            <wp:extent cx="8890"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-1402080</wp:posOffset>
            </wp:positionV>
            <wp:extent cx="8890"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-1384935</wp:posOffset>
            </wp:positionV>
            <wp:extent cx="8890"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-1367790</wp:posOffset>
            </wp:positionV>
            <wp:extent cx="8890"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-1350645</wp:posOffset>
            </wp:positionV>
            <wp:extent cx="8890"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-1333500</wp:posOffset>
            </wp:positionV>
            <wp:extent cx="889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-1316355</wp:posOffset>
            </wp:positionV>
            <wp:extent cx="8890"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-1299210</wp:posOffset>
            </wp:positionV>
            <wp:extent cx="8890"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-1282065</wp:posOffset>
            </wp:positionV>
            <wp:extent cx="8890"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-1264920</wp:posOffset>
            </wp:positionV>
            <wp:extent cx="889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-1247775</wp:posOffset>
            </wp:positionV>
            <wp:extent cx="8890"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-1230630</wp:posOffset>
            </wp:positionV>
            <wp:extent cx="8890"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-1213485</wp:posOffset>
            </wp:positionV>
            <wp:extent cx="8890"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-1196340</wp:posOffset>
            </wp:positionV>
            <wp:extent cx="8890"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-1179195</wp:posOffset>
            </wp:positionV>
            <wp:extent cx="8890"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-1162050</wp:posOffset>
            </wp:positionV>
            <wp:extent cx="8890"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-1144905</wp:posOffset>
            </wp:positionV>
            <wp:extent cx="889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-1127760</wp:posOffset>
            </wp:positionV>
            <wp:extent cx="889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-1110615</wp:posOffset>
            </wp:positionV>
            <wp:extent cx="8890"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-1093470</wp:posOffset>
            </wp:positionV>
            <wp:extent cx="8890"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-1076325</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-1059180</wp:posOffset>
            </wp:positionV>
            <wp:extent cx="8890"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-1042035</wp:posOffset>
            </wp:positionV>
            <wp:extent cx="889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-1024890</wp:posOffset>
            </wp:positionV>
            <wp:extent cx="889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-1007745</wp:posOffset>
            </wp:positionV>
            <wp:extent cx="8890"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-990600</wp:posOffset>
            </wp:positionV>
            <wp:extent cx="8890"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-973455</wp:posOffset>
            </wp:positionV>
            <wp:extent cx="8890"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-956310</wp:posOffset>
            </wp:positionV>
            <wp:extent cx="8890"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-939165</wp:posOffset>
            </wp:positionV>
            <wp:extent cx="889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-922020</wp:posOffset>
            </wp:positionV>
            <wp:extent cx="889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-904875</wp:posOffset>
            </wp:positionV>
            <wp:extent cx="8890" cy="88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-887730</wp:posOffset>
            </wp:positionV>
            <wp:extent cx="8890"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-870585</wp:posOffset>
            </wp:positionV>
            <wp:extent cx="8890"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-853440</wp:posOffset>
            </wp:positionV>
            <wp:extent cx="8890"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-836295</wp:posOffset>
            </wp:positionV>
            <wp:extent cx="8890"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-819150</wp:posOffset>
            </wp:positionV>
            <wp:extent cx="8890"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-802005</wp:posOffset>
            </wp:positionV>
            <wp:extent cx="8890"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-784860</wp:posOffset>
            </wp:positionV>
            <wp:extent cx="8890"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8890"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-750570</wp:posOffset>
            </wp:positionV>
            <wp:extent cx="8890"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-733425</wp:posOffset>
            </wp:positionV>
            <wp:extent cx="8890"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-716280</wp:posOffset>
            </wp:positionV>
            <wp:extent cx="8890"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-699135</wp:posOffset>
            </wp:positionV>
            <wp:extent cx="8890" cy="88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-681990</wp:posOffset>
            </wp:positionV>
            <wp:extent cx="8890"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8890"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-647700</wp:posOffset>
            </wp:positionV>
            <wp:extent cx="8890"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-630555</wp:posOffset>
            </wp:positionV>
            <wp:extent cx="8890"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8890"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8890"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8890"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-561975</wp:posOffset>
            </wp:positionV>
            <wp:extent cx="8890"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-544830</wp:posOffset>
            </wp:positionV>
            <wp:extent cx="8890" cy="88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8890" cy="889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8890"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8890" cy="88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8890"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8890"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8890" cy="889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8890"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8890" cy="889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-390525</wp:posOffset>
            </wp:positionV>
            <wp:extent cx="8890"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8890" cy="889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8890"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8890"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8890" cy="889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8890"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8890" cy="88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-270510</wp:posOffset>
            </wp:positionV>
            <wp:extent cx="8890" cy="889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-253365</wp:posOffset>
            </wp:positionV>
            <wp:extent cx="8890"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8890" cy="889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8890"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8890"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8890"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8890" cy="88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8890" cy="889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8890"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8890" cy="889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8890"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8890"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8890" cy="889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8890"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8890" cy="88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8890"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8890"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8890" cy="88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8890"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889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8890"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8890"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8890"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48" w:lineRule="exact"/>
        <w:rPr>
          <w:sz w:val="20"/>
          <w:szCs w:val="20"/>
          <w:color w:val="auto"/>
        </w:rPr>
      </w:pPr>
    </w:p>
    <w:p>
      <w:pPr>
        <w:ind w:left="80"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Participant understands that Data will be transferred to Morgan Stanley Smith Barney, LLC (“</w:t>
      </w:r>
      <w:r>
        <w:rPr>
          <w:rFonts w:ascii="Times New Roman" w:cs="Times New Roman" w:eastAsia="Times New Roman" w:hAnsi="Times New Roman"/>
          <w:sz w:val="20"/>
          <w:szCs w:val="20"/>
          <w:b w:val="1"/>
          <w:bCs w:val="1"/>
          <w:i w:val="1"/>
          <w:iCs w:val="1"/>
          <w:u w:val="single" w:color="auto"/>
          <w:color w:val="auto"/>
        </w:rPr>
        <w:t>Morgan Stanley</w:t>
      </w:r>
      <w:r>
        <w:rPr>
          <w:rFonts w:ascii="Times New Roman" w:cs="Times New Roman" w:eastAsia="Times New Roman" w:hAnsi="Times New Roman"/>
          <w:sz w:val="20"/>
          <w:szCs w:val="20"/>
          <w:b w:val="1"/>
          <w:bCs w:val="1"/>
          <w:i w:val="1"/>
          <w:iCs w:val="1"/>
          <w:color w:val="auto"/>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or such other public accounting firm that may be engaged by the Company in the future. The Participant understands that the recipients of the Data may be located in the United States or elsewhere, and that the recipients’ country (e g the United States) may have different 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-2077720</wp:posOffset>
            </wp:positionV>
            <wp:extent cx="8890"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-2060575</wp:posOffset>
            </wp:positionV>
            <wp:extent cx="8890" cy="889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-2043430</wp:posOffset>
            </wp:positionV>
            <wp:extent cx="8890"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-2026285</wp:posOffset>
            </wp:positionV>
            <wp:extent cx="8890" cy="889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-2009140</wp:posOffset>
            </wp:positionV>
            <wp:extent cx="8890"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-1991995</wp:posOffset>
            </wp:positionV>
            <wp:extent cx="8890"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-1974850</wp:posOffset>
            </wp:positionV>
            <wp:extent cx="8890"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-1957705</wp:posOffset>
            </wp:positionV>
            <wp:extent cx="8890"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-1940560</wp:posOffset>
            </wp:positionV>
            <wp:extent cx="8890"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-1923415</wp:posOffset>
            </wp:positionV>
            <wp:extent cx="8890" cy="889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-1906270</wp:posOffset>
            </wp:positionV>
            <wp:extent cx="8890"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-1889125</wp:posOffset>
            </wp:positionV>
            <wp:extent cx="889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8890"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-1854835</wp:posOffset>
            </wp:positionV>
            <wp:extent cx="8890"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-1837690</wp:posOffset>
            </wp:positionV>
            <wp:extent cx="8890" cy="889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-1820545</wp:posOffset>
            </wp:positionV>
            <wp:extent cx="8890"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-1803400</wp:posOffset>
            </wp:positionV>
            <wp:extent cx="8890"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-1786255</wp:posOffset>
            </wp:positionV>
            <wp:extent cx="8890"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-1769110</wp:posOffset>
            </wp:positionV>
            <wp:extent cx="8890"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-1751965</wp:posOffset>
            </wp:positionV>
            <wp:extent cx="8890"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-1734820</wp:posOffset>
            </wp:positionV>
            <wp:extent cx="8890"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-1717675</wp:posOffset>
            </wp:positionV>
            <wp:extent cx="8890"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-1700530</wp:posOffset>
            </wp:positionV>
            <wp:extent cx="8890"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-1683385</wp:posOffset>
            </wp:positionV>
            <wp:extent cx="8890" cy="889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-1666240</wp:posOffset>
            </wp:positionV>
            <wp:extent cx="8890"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-1649095</wp:posOffset>
            </wp:positionV>
            <wp:extent cx="8890" cy="889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-1631950</wp:posOffset>
            </wp:positionV>
            <wp:extent cx="889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-1614805</wp:posOffset>
            </wp:positionV>
            <wp:extent cx="8890"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-1597660</wp:posOffset>
            </wp:positionV>
            <wp:extent cx="8890" cy="889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-1580515</wp:posOffset>
            </wp:positionV>
            <wp:extent cx="8890"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-1563370</wp:posOffset>
            </wp:positionV>
            <wp:extent cx="8890"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-1546225</wp:posOffset>
            </wp:positionV>
            <wp:extent cx="8890"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-1529080</wp:posOffset>
            </wp:positionV>
            <wp:extent cx="8890"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-1511935</wp:posOffset>
            </wp:positionV>
            <wp:extent cx="8890"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-1494790</wp:posOffset>
            </wp:positionV>
            <wp:extent cx="8890"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-1477645</wp:posOffset>
            </wp:positionV>
            <wp:extent cx="8890"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-1460500</wp:posOffset>
            </wp:positionV>
            <wp:extent cx="889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-1443355</wp:posOffset>
            </wp:positionV>
            <wp:extent cx="8890"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-1426210</wp:posOffset>
            </wp:positionV>
            <wp:extent cx="8890"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-1409065</wp:posOffset>
            </wp:positionV>
            <wp:extent cx="8890"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-1391920</wp:posOffset>
            </wp:positionV>
            <wp:extent cx="8890"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-1374775</wp:posOffset>
            </wp:positionV>
            <wp:extent cx="8890"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-1357630</wp:posOffset>
            </wp:positionV>
            <wp:extent cx="8890"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-1340485</wp:posOffset>
            </wp:positionV>
            <wp:extent cx="8890"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-1323340</wp:posOffset>
            </wp:positionV>
            <wp:extent cx="8890"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-1306195</wp:posOffset>
            </wp:positionV>
            <wp:extent cx="8890" cy="889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-1289050</wp:posOffset>
            </wp:positionV>
            <wp:extent cx="889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-1271905</wp:posOffset>
            </wp:positionV>
            <wp:extent cx="8890"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-1254760</wp:posOffset>
            </wp:positionV>
            <wp:extent cx="8890"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-1237615</wp:posOffset>
            </wp:positionV>
            <wp:extent cx="8890"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-1220470</wp:posOffset>
            </wp:positionV>
            <wp:extent cx="8890"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-1203325</wp:posOffset>
            </wp:positionV>
            <wp:extent cx="889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-1186180</wp:posOffset>
            </wp:positionV>
            <wp:extent cx="8890" cy="889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-1169035</wp:posOffset>
            </wp:positionV>
            <wp:extent cx="8890" cy="889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-1151890</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-1134745</wp:posOffset>
            </wp:positionV>
            <wp:extent cx="889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-1117600</wp:posOffset>
            </wp:positionV>
            <wp:extent cx="8890"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-1100455</wp:posOffset>
            </wp:positionV>
            <wp:extent cx="8890"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-1083310</wp:posOffset>
            </wp:positionV>
            <wp:extent cx="8890"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-1066165</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-1049020</wp:posOffset>
            </wp:positionV>
            <wp:extent cx="8890"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-1031875</wp:posOffset>
            </wp:positionV>
            <wp:extent cx="8890"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-1014730</wp:posOffset>
            </wp:positionV>
            <wp:extent cx="8890"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-997585</wp:posOffset>
            </wp:positionV>
            <wp:extent cx="8890"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-980440</wp:posOffset>
            </wp:positionV>
            <wp:extent cx="8890"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-963295</wp:posOffset>
            </wp:positionV>
            <wp:extent cx="8890"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-946150</wp:posOffset>
            </wp:positionV>
            <wp:extent cx="8890"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-929005</wp:posOffset>
            </wp:positionV>
            <wp:extent cx="8890"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-911860</wp:posOffset>
            </wp:positionV>
            <wp:extent cx="8890"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-894715</wp:posOffset>
            </wp:positionV>
            <wp:extent cx="8890"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-877570</wp:posOffset>
            </wp:positionV>
            <wp:extent cx="8890"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-860425</wp:posOffset>
            </wp:positionV>
            <wp:extent cx="8890"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-843280</wp:posOffset>
            </wp:positionV>
            <wp:extent cx="8890"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-826135</wp:posOffset>
            </wp:positionV>
            <wp:extent cx="8890"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-808990</wp:posOffset>
            </wp:positionV>
            <wp:extent cx="8890"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-791845</wp:posOffset>
            </wp:positionV>
            <wp:extent cx="8890"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-774700</wp:posOffset>
            </wp:positionV>
            <wp:extent cx="8890"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-757555</wp:posOffset>
            </wp:positionV>
            <wp:extent cx="8890"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-740410</wp:posOffset>
            </wp:positionV>
            <wp:extent cx="8890"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-723265</wp:posOffset>
            </wp:positionV>
            <wp:extent cx="8890"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-706120</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-688975</wp:posOffset>
            </wp:positionV>
            <wp:extent cx="8890"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-671830</wp:posOffset>
            </wp:positionV>
            <wp:extent cx="8890" cy="889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-654685</wp:posOffset>
            </wp:positionV>
            <wp:extent cx="8890"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-637540</wp:posOffset>
            </wp:positionV>
            <wp:extent cx="8890"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-620395</wp:posOffset>
            </wp:positionV>
            <wp:extent cx="8890"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8890"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-586105</wp:posOffset>
            </wp:positionV>
            <wp:extent cx="8890"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-568960</wp:posOffset>
            </wp:positionV>
            <wp:extent cx="8890"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-551815</wp:posOffset>
            </wp:positionV>
            <wp:extent cx="8890"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-534670</wp:posOffset>
            </wp:positionV>
            <wp:extent cx="8890"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-517525</wp:posOffset>
            </wp:positionV>
            <wp:extent cx="8890"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-500380</wp:posOffset>
            </wp:positionV>
            <wp:extent cx="8890"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-483235</wp:posOffset>
            </wp:positionV>
            <wp:extent cx="8890" cy="889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8890"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-448945</wp:posOffset>
            </wp:positionV>
            <wp:extent cx="8890"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-431800</wp:posOffset>
            </wp:positionV>
            <wp:extent cx="8890" cy="889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8890"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-397510</wp:posOffset>
            </wp:positionV>
            <wp:extent cx="8890" cy="889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-380365</wp:posOffset>
            </wp:positionV>
            <wp:extent cx="8890"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-363220</wp:posOffset>
            </wp:positionV>
            <wp:extent cx="8890"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8890" cy="889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-328930</wp:posOffset>
            </wp:positionV>
            <wp:extent cx="8890" cy="889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8890"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8890"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8890"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-260350</wp:posOffset>
            </wp:positionV>
            <wp:extent cx="8890"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8890"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-226060</wp:posOffset>
            </wp:positionV>
            <wp:extent cx="8890" cy="88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8890" cy="88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8890"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8890" cy="88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8890"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8890" cy="88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8890"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8890"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8890" cy="571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1">
                      <a:extLst>
                        <a:ext uri="{28A0092B-C50C-407E-A947-70E740481C1C}"/>
                      </a:extLst>
                    </a:blip>
                    <a:srcRect/>
                    <a:stretch>
                      <a:fillRect/>
                    </a:stretch>
                  </pic:blipFill>
                  <pic:spPr bwMode="auto">
                    <a:xfrm>
                      <a:off x="0" y="0"/>
                      <a:ext cx="889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b w:val="1"/>
          <w:bCs w:val="1"/>
          <w:i w:val="1"/>
          <w:iCs w:val="1"/>
          <w:color w:val="auto"/>
        </w:rPr>
        <w:t>Peserta memahami bahawa Syarikat dan Majikan mungkin memegang maklumat peribadi tertentu tentang Peserta, termasuk, tetapi tidak terhad kepada, nama Peserta, alamat rumah dan nombor telefon, almat emal, tarikh lahir, insurans sosial, nombor pasport atau pengenalan lain, gaji, kewarganegaraan, jawatan, apa-apa syer dalam Saham atau jawatan pengarah yang dipegang dalam Syarikat, maklumat berkaitan semua Geran LTI atau apa-apa kelayakan lain untuk syer dalam saham yang dianugerahkan, dibatalkan, dilaksanakan, terletak hak, tidak diletak hak ataupun yang belum dijelaskan bagi faedah Peserta, untuk tujuan eksklusif bagi melaksanakan, mentadbir dan menguruskan Pelan tersebut.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-2103120</wp:posOffset>
            </wp:positionV>
            <wp:extent cx="8255"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-2085975</wp:posOffset>
            </wp:positionV>
            <wp:extent cx="8255"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-2068830</wp:posOffset>
            </wp:positionV>
            <wp:extent cx="8255" cy="88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-2051685</wp:posOffset>
            </wp:positionV>
            <wp:extent cx="8255"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-2034540</wp:posOffset>
            </wp:positionV>
            <wp:extent cx="8255"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-2017395</wp:posOffset>
            </wp:positionV>
            <wp:extent cx="8255"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-2000250</wp:posOffset>
            </wp:positionV>
            <wp:extent cx="8255"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-1983105</wp:posOffset>
            </wp:positionV>
            <wp:extent cx="8255" cy="88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-1965960</wp:posOffset>
            </wp:positionV>
            <wp:extent cx="8255"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-1948815</wp:posOffset>
            </wp:positionV>
            <wp:extent cx="8255"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-1931670</wp:posOffset>
            </wp:positionV>
            <wp:extent cx="8255"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-1914525</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-1897380</wp:posOffset>
            </wp:positionV>
            <wp:extent cx="8255" cy="88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-1880235</wp:posOffset>
            </wp:positionV>
            <wp:extent cx="8255" cy="889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-1863090</wp:posOffset>
            </wp:positionV>
            <wp:extent cx="8255"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-1845945</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-1828800</wp:posOffset>
            </wp:positionV>
            <wp:extent cx="8255"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-1811655</wp:posOffset>
            </wp:positionV>
            <wp:extent cx="8255"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-1794510</wp:posOffset>
            </wp:positionV>
            <wp:extent cx="8255"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-1777365</wp:posOffset>
            </wp:positionV>
            <wp:extent cx="8255"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-1760220</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-1743075</wp:posOffset>
            </wp:positionV>
            <wp:extent cx="8255" cy="889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-1725930</wp:posOffset>
            </wp:positionV>
            <wp:extent cx="8255"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-1708785</wp:posOffset>
            </wp:positionV>
            <wp:extent cx="8255"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-1691640</wp:posOffset>
            </wp:positionV>
            <wp:extent cx="8255"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-1674495</wp:posOffset>
            </wp:positionV>
            <wp:extent cx="8255"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-1657350</wp:posOffset>
            </wp:positionV>
            <wp:extent cx="8255" cy="889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-1640205</wp:posOffset>
            </wp:positionV>
            <wp:extent cx="8255" cy="889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-1623060</wp:posOffset>
            </wp:positionV>
            <wp:extent cx="8255"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-1605915</wp:posOffset>
            </wp:positionV>
            <wp:extent cx="8255"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-1588770</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-1571625</wp:posOffset>
            </wp:positionV>
            <wp:extent cx="8255" cy="889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-1554480</wp:posOffset>
            </wp:positionV>
            <wp:extent cx="8255"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-1537335</wp:posOffset>
            </wp:positionV>
            <wp:extent cx="8255"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-1520190</wp:posOffset>
            </wp:positionV>
            <wp:extent cx="8255"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-1503045</wp:posOffset>
            </wp:positionV>
            <wp:extent cx="8255"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-1485900</wp:posOffset>
            </wp:positionV>
            <wp:extent cx="8255" cy="889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-1468755</wp:posOffset>
            </wp:positionV>
            <wp:extent cx="8255" cy="889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-1451610</wp:posOffset>
            </wp:positionV>
            <wp:extent cx="8255"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-1434465</wp:posOffset>
            </wp:positionV>
            <wp:extent cx="8255"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-1417320</wp:posOffset>
            </wp:positionV>
            <wp:extent cx="8255"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-1400175</wp:posOffset>
            </wp:positionV>
            <wp:extent cx="8255" cy="889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-1383030</wp:posOffset>
            </wp:positionV>
            <wp:extent cx="8255" cy="889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-1365885</wp:posOffset>
            </wp:positionV>
            <wp:extent cx="8255" cy="889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-1348740</wp:posOffset>
            </wp:positionV>
            <wp:extent cx="8255"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-1331595</wp:posOffset>
            </wp:positionV>
            <wp:extent cx="8255" cy="889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-1314450</wp:posOffset>
            </wp:positionV>
            <wp:extent cx="8255"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-1297305</wp:posOffset>
            </wp:positionV>
            <wp:extent cx="8255"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-1280160</wp:posOffset>
            </wp:positionV>
            <wp:extent cx="8255" cy="889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-1263015</wp:posOffset>
            </wp:positionV>
            <wp:extent cx="8255" cy="889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-1245870</wp:posOffset>
            </wp:positionV>
            <wp:extent cx="8255" cy="889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-1228725</wp:posOffset>
            </wp:positionV>
            <wp:extent cx="8255"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-1211580</wp:posOffset>
            </wp:positionV>
            <wp:extent cx="8255"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-1194435</wp:posOffset>
            </wp:positionV>
            <wp:extent cx="8255" cy="889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-1177290</wp:posOffset>
            </wp:positionV>
            <wp:extent cx="8255" cy="889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-1160145</wp:posOffset>
            </wp:positionV>
            <wp:extent cx="8255" cy="889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-1143000</wp:posOffset>
            </wp:positionV>
            <wp:extent cx="8255"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-1125855</wp:posOffset>
            </wp:positionV>
            <wp:extent cx="8255" cy="889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-1108710</wp:posOffset>
            </wp:positionV>
            <wp:extent cx="8255" cy="889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-1091565</wp:posOffset>
            </wp:positionV>
            <wp:extent cx="8255" cy="889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-1074420</wp:posOffset>
            </wp:positionV>
            <wp:extent cx="8255" cy="889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-1057275</wp:posOffset>
            </wp:positionV>
            <wp:extent cx="8255"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-1040130</wp:posOffset>
            </wp:positionV>
            <wp:extent cx="8255" cy="889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-1022985</wp:posOffset>
            </wp:positionV>
            <wp:extent cx="8255" cy="889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-1005840</wp:posOffset>
            </wp:positionV>
            <wp:extent cx="8255" cy="889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-988695</wp:posOffset>
            </wp:positionV>
            <wp:extent cx="8255" cy="889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-971550</wp:posOffset>
            </wp:positionV>
            <wp:extent cx="8255"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-954405</wp:posOffset>
            </wp:positionV>
            <wp:extent cx="8255" cy="889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-937260</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-920115</wp:posOffset>
            </wp:positionV>
            <wp:extent cx="8255" cy="889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-902970</wp:posOffset>
            </wp:positionV>
            <wp:extent cx="8255" cy="889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-885825</wp:posOffset>
            </wp:positionV>
            <wp:extent cx="8255" cy="889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-868680</wp:posOffset>
            </wp:positionV>
            <wp:extent cx="8255" cy="889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-851535</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-834390</wp:posOffset>
            </wp:positionV>
            <wp:extent cx="8255" cy="889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-817245</wp:posOffset>
            </wp:positionV>
            <wp:extent cx="8255" cy="889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-800100</wp:posOffset>
            </wp:positionV>
            <wp:extent cx="8255" cy="889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-782955</wp:posOffset>
            </wp:positionV>
            <wp:extent cx="8255" cy="889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-765810</wp:posOffset>
            </wp:positionV>
            <wp:extent cx="8255"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-748665</wp:posOffset>
            </wp:positionV>
            <wp:extent cx="8255" cy="889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-731520</wp:posOffset>
            </wp:positionV>
            <wp:extent cx="8255" cy="889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-714375</wp:posOffset>
            </wp:positionV>
            <wp:extent cx="8255" cy="889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-697230</wp:posOffset>
            </wp:positionV>
            <wp:extent cx="8255" cy="889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-680085</wp:posOffset>
            </wp:positionV>
            <wp:extent cx="8255"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-662940</wp:posOffset>
            </wp:positionV>
            <wp:extent cx="8255" cy="889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-645795</wp:posOffset>
            </wp:positionV>
            <wp:extent cx="8255" cy="889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-628650</wp:posOffset>
            </wp:positionV>
            <wp:extent cx="8255" cy="889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-611505</wp:posOffset>
            </wp:positionV>
            <wp:extent cx="8255" cy="889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-594360</wp:posOffset>
            </wp:positionV>
            <wp:extent cx="8255" cy="889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-577215</wp:posOffset>
            </wp:positionV>
            <wp:extent cx="8255" cy="889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-560070</wp:posOffset>
            </wp:positionV>
            <wp:extent cx="8255"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-542925</wp:posOffset>
            </wp:positionV>
            <wp:extent cx="8255" cy="889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-525780</wp:posOffset>
            </wp:positionV>
            <wp:extent cx="8255" cy="889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-508635</wp:posOffset>
            </wp:positionV>
            <wp:extent cx="8255" cy="889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-491490</wp:posOffset>
            </wp:positionV>
            <wp:extent cx="8255" cy="889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-474345</wp:posOffset>
            </wp:positionV>
            <wp:extent cx="8255"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-457200</wp:posOffset>
            </wp:positionV>
            <wp:extent cx="8255" cy="889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-440055</wp:posOffset>
            </wp:positionV>
            <wp:extent cx="8255" cy="889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-422910</wp:posOffset>
            </wp:positionV>
            <wp:extent cx="8255" cy="889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-405765</wp:posOffset>
            </wp:positionV>
            <wp:extent cx="8255" cy="889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-388620</wp:posOffset>
            </wp:positionV>
            <wp:extent cx="8255"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-371475</wp:posOffset>
            </wp:positionV>
            <wp:extent cx="8255" cy="88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-354330</wp:posOffset>
            </wp:positionV>
            <wp:extent cx="8255" cy="889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-337185</wp:posOffset>
            </wp:positionV>
            <wp:extent cx="8255" cy="889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-320040</wp:posOffset>
            </wp:positionV>
            <wp:extent cx="8255" cy="889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-302895</wp:posOffset>
            </wp:positionV>
            <wp:extent cx="8255"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-285750</wp:posOffset>
            </wp:positionV>
            <wp:extent cx="8255" cy="889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-268605</wp:posOffset>
            </wp:positionV>
            <wp:extent cx="8255"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-251460</wp:posOffset>
            </wp:positionV>
            <wp:extent cx="8255" cy="889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-234315</wp:posOffset>
            </wp:positionV>
            <wp:extent cx="8255" cy="889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-217170</wp:posOffset>
            </wp:positionV>
            <wp:extent cx="8255" cy="889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-200025</wp:posOffset>
            </wp:positionV>
            <wp:extent cx="8255" cy="88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-182880</wp:posOffset>
            </wp:positionV>
            <wp:extent cx="8255"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-165735</wp:posOffset>
            </wp:positionV>
            <wp:extent cx="8255" cy="889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-148590</wp:posOffset>
            </wp:positionV>
            <wp:extent cx="8255" cy="889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-131445</wp:posOffset>
            </wp:positionV>
            <wp:extent cx="8255"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-114300</wp:posOffset>
            </wp:positionV>
            <wp:extent cx="8255" cy="889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-97155</wp:posOffset>
            </wp:positionV>
            <wp:extent cx="8255"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-80010</wp:posOffset>
            </wp:positionV>
            <wp:extent cx="8255" cy="889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-62865</wp:posOffset>
            </wp:positionV>
            <wp:extent cx="8255" cy="889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-45720</wp:posOffset>
            </wp:positionV>
            <wp:extent cx="8255" cy="88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-28575</wp:posOffset>
            </wp:positionV>
            <wp:extent cx="8255"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-11430</wp:posOffset>
            </wp:positionV>
            <wp:extent cx="8255"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5080</wp:posOffset>
            </wp:positionV>
            <wp:extent cx="8255" cy="889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22225</wp:posOffset>
            </wp:positionV>
            <wp:extent cx="8255" cy="889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39370</wp:posOffset>
            </wp:positionV>
            <wp:extent cx="8255"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56515</wp:posOffset>
            </wp:positionV>
            <wp:extent cx="8255" cy="889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73660</wp:posOffset>
            </wp:positionV>
            <wp:extent cx="8255" cy="889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90805</wp:posOffset>
            </wp:positionV>
            <wp:extent cx="8255" cy="889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107950</wp:posOffset>
            </wp:positionV>
            <wp:extent cx="8255"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-2103120</wp:posOffset>
            </wp:positionV>
            <wp:extent cx="8890"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-2085975</wp:posOffset>
            </wp:positionV>
            <wp:extent cx="8890"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-2068830</wp:posOffset>
            </wp:positionV>
            <wp:extent cx="8890" cy="88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-2051685</wp:posOffset>
            </wp:positionV>
            <wp:extent cx="8890" cy="889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-2034540</wp:posOffset>
            </wp:positionV>
            <wp:extent cx="8890"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-2017395</wp:posOffset>
            </wp:positionV>
            <wp:extent cx="8890"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-2000250</wp:posOffset>
            </wp:positionV>
            <wp:extent cx="8890"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-1983105</wp:posOffset>
            </wp:positionV>
            <wp:extent cx="8890" cy="889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-1965960</wp:posOffset>
            </wp:positionV>
            <wp:extent cx="8890" cy="889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-1948815</wp:posOffset>
            </wp:positionV>
            <wp:extent cx="8890"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-1931670</wp:posOffset>
            </wp:positionV>
            <wp:extent cx="8890"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-1914525</wp:posOffset>
            </wp:positionV>
            <wp:extent cx="8890"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-1897380</wp:posOffset>
            </wp:positionV>
            <wp:extent cx="8890" cy="889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-1880235</wp:posOffset>
            </wp:positionV>
            <wp:extent cx="8890" cy="889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-1863090</wp:posOffset>
            </wp:positionV>
            <wp:extent cx="8890"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-1845945</wp:posOffset>
            </wp:positionV>
            <wp:extent cx="8890"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-1828800</wp:posOffset>
            </wp:positionV>
            <wp:extent cx="8890"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-1811655</wp:posOffset>
            </wp:positionV>
            <wp:extent cx="8890" cy="889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-1794510</wp:posOffset>
            </wp:positionV>
            <wp:extent cx="8890"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-1777365</wp:posOffset>
            </wp:positionV>
            <wp:extent cx="8890"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-1760220</wp:posOffset>
            </wp:positionV>
            <wp:extent cx="8890"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-1743075</wp:posOffset>
            </wp:positionV>
            <wp:extent cx="8890" cy="88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-1725930</wp:posOffset>
            </wp:positionV>
            <wp:extent cx="8890"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-1708785</wp:posOffset>
            </wp:positionV>
            <wp:extent cx="8890"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-1691640</wp:posOffset>
            </wp:positionV>
            <wp:extent cx="8890"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-1674495</wp:posOffset>
            </wp:positionV>
            <wp:extent cx="8890"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-1657350</wp:posOffset>
            </wp:positionV>
            <wp:extent cx="8890" cy="889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-1640205</wp:posOffset>
            </wp:positionV>
            <wp:extent cx="8890" cy="889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-1623060</wp:posOffset>
            </wp:positionV>
            <wp:extent cx="8890"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-1605915</wp:posOffset>
            </wp:positionV>
            <wp:extent cx="8890"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-1588770</wp:posOffset>
            </wp:positionV>
            <wp:extent cx="8890"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-1571625</wp:posOffset>
            </wp:positionV>
            <wp:extent cx="8890" cy="889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-1554480</wp:posOffset>
            </wp:positionV>
            <wp:extent cx="8890" cy="889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-1537335</wp:posOffset>
            </wp:positionV>
            <wp:extent cx="8890"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-1520190</wp:posOffset>
            </wp:positionV>
            <wp:extent cx="8890"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-1503045</wp:posOffset>
            </wp:positionV>
            <wp:extent cx="8890"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-1485900</wp:posOffset>
            </wp:positionV>
            <wp:extent cx="8890"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-1468755</wp:posOffset>
            </wp:positionV>
            <wp:extent cx="8890" cy="889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-1451610</wp:posOffset>
            </wp:positionV>
            <wp:extent cx="8890"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-1434465</wp:posOffset>
            </wp:positionV>
            <wp:extent cx="8890"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-1417320</wp:posOffset>
            </wp:positionV>
            <wp:extent cx="8890"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-1400175</wp:posOffset>
            </wp:positionV>
            <wp:extent cx="8890"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-1383030</wp:posOffset>
            </wp:positionV>
            <wp:extent cx="8890" cy="889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-1365885</wp:posOffset>
            </wp:positionV>
            <wp:extent cx="8890" cy="889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-1348740</wp:posOffset>
            </wp:positionV>
            <wp:extent cx="8890"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-1331595</wp:posOffset>
            </wp:positionV>
            <wp:extent cx="8890" cy="889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-1314450</wp:posOffset>
            </wp:positionV>
            <wp:extent cx="8890"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-1297305</wp:posOffset>
            </wp:positionV>
            <wp:extent cx="8890" cy="889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-1280160</wp:posOffset>
            </wp:positionV>
            <wp:extent cx="8890" cy="889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-1263015</wp:posOffset>
            </wp:positionV>
            <wp:extent cx="8890" cy="889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-1245870</wp:posOffset>
            </wp:positionV>
            <wp:extent cx="8890" cy="8890"/>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-1228725</wp:posOffset>
            </wp:positionV>
            <wp:extent cx="8890"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-1211580</wp:posOffset>
            </wp:positionV>
            <wp:extent cx="8890" cy="889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-1194435</wp:posOffset>
            </wp:positionV>
            <wp:extent cx="8890" cy="889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-1177290</wp:posOffset>
            </wp:positionV>
            <wp:extent cx="8890" cy="889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-1160145</wp:posOffset>
            </wp:positionV>
            <wp:extent cx="8890" cy="889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-1143000</wp:posOffset>
            </wp:positionV>
            <wp:extent cx="8890"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-1125855</wp:posOffset>
            </wp:positionV>
            <wp:extent cx="8890" cy="889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-1108710</wp:posOffset>
            </wp:positionV>
            <wp:extent cx="8890" cy="889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-1091565</wp:posOffset>
            </wp:positionV>
            <wp:extent cx="8890" cy="889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-1074420</wp:posOffset>
            </wp:positionV>
            <wp:extent cx="8890" cy="889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-1057275</wp:posOffset>
            </wp:positionV>
            <wp:extent cx="8890"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-1040130</wp:posOffset>
            </wp:positionV>
            <wp:extent cx="8890" cy="889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-1022985</wp:posOffset>
            </wp:positionV>
            <wp:extent cx="8890" cy="889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-1005840</wp:posOffset>
            </wp:positionV>
            <wp:extent cx="8890" cy="889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-988695</wp:posOffset>
            </wp:positionV>
            <wp:extent cx="8890" cy="8890"/>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-971550</wp:posOffset>
            </wp:positionV>
            <wp:extent cx="8890"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-954405</wp:posOffset>
            </wp:positionV>
            <wp:extent cx="8890" cy="889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-937260</wp:posOffset>
            </wp:positionV>
            <wp:extent cx="8890"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-920115</wp:posOffset>
            </wp:positionV>
            <wp:extent cx="8890" cy="889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-902970</wp:posOffset>
            </wp:positionV>
            <wp:extent cx="8890" cy="8890"/>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-885825</wp:posOffset>
            </wp:positionV>
            <wp:extent cx="8890" cy="889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-868680</wp:posOffset>
            </wp:positionV>
            <wp:extent cx="8890" cy="889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-851535</wp:posOffset>
            </wp:positionV>
            <wp:extent cx="8890"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-834390</wp:posOffset>
            </wp:positionV>
            <wp:extent cx="8890" cy="889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-817245</wp:posOffset>
            </wp:positionV>
            <wp:extent cx="8890" cy="889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-800100</wp:posOffset>
            </wp:positionV>
            <wp:extent cx="8890" cy="889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-782955</wp:posOffset>
            </wp:positionV>
            <wp:extent cx="8890" cy="889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-765810</wp:posOffset>
            </wp:positionV>
            <wp:extent cx="8890"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-748665</wp:posOffset>
            </wp:positionV>
            <wp:extent cx="8890" cy="889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-731520</wp:posOffset>
            </wp:positionV>
            <wp:extent cx="8890" cy="8890"/>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-714375</wp:posOffset>
            </wp:positionV>
            <wp:extent cx="8890" cy="889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-697230</wp:posOffset>
            </wp:positionV>
            <wp:extent cx="8890" cy="8890"/>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-680085</wp:posOffset>
            </wp:positionV>
            <wp:extent cx="8890"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-662940</wp:posOffset>
            </wp:positionV>
            <wp:extent cx="8890" cy="889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-645795</wp:posOffset>
            </wp:positionV>
            <wp:extent cx="8890" cy="889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-628650</wp:posOffset>
            </wp:positionV>
            <wp:extent cx="8890" cy="889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-611505</wp:posOffset>
            </wp:positionV>
            <wp:extent cx="8890" cy="889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-594360</wp:posOffset>
            </wp:positionV>
            <wp:extent cx="8890" cy="889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-577215</wp:posOffset>
            </wp:positionV>
            <wp:extent cx="8890" cy="889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-560070</wp:posOffset>
            </wp:positionV>
            <wp:extent cx="8890"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-542925</wp:posOffset>
            </wp:positionV>
            <wp:extent cx="8890" cy="889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-525780</wp:posOffset>
            </wp:positionV>
            <wp:extent cx="8890" cy="8890"/>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-508635</wp:posOffset>
            </wp:positionV>
            <wp:extent cx="8890" cy="889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-491490</wp:posOffset>
            </wp:positionV>
            <wp:extent cx="8890" cy="889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-474345</wp:posOffset>
            </wp:positionV>
            <wp:extent cx="8890"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-457200</wp:posOffset>
            </wp:positionV>
            <wp:extent cx="8890" cy="889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-440055</wp:posOffset>
            </wp:positionV>
            <wp:extent cx="8890" cy="8890"/>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-422910</wp:posOffset>
            </wp:positionV>
            <wp:extent cx="8890" cy="889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-405765</wp:posOffset>
            </wp:positionV>
            <wp:extent cx="8890"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-388620</wp:posOffset>
            </wp:positionV>
            <wp:extent cx="8890"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-371475</wp:posOffset>
            </wp:positionV>
            <wp:extent cx="8890" cy="8890"/>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-354330</wp:posOffset>
            </wp:positionV>
            <wp:extent cx="8890" cy="889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-337185</wp:posOffset>
            </wp:positionV>
            <wp:extent cx="8890" cy="8890"/>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-320040</wp:posOffset>
            </wp:positionV>
            <wp:extent cx="8890" cy="889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-302895</wp:posOffset>
            </wp:positionV>
            <wp:extent cx="8890"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-285750</wp:posOffset>
            </wp:positionV>
            <wp:extent cx="8890" cy="889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-268605</wp:posOffset>
            </wp:positionV>
            <wp:extent cx="8890"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-251460</wp:posOffset>
            </wp:positionV>
            <wp:extent cx="8890" cy="889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-234315</wp:posOffset>
            </wp:positionV>
            <wp:extent cx="8890"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-217170</wp:posOffset>
            </wp:positionV>
            <wp:extent cx="8890" cy="889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-200025</wp:posOffset>
            </wp:positionV>
            <wp:extent cx="8890" cy="889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-182880</wp:posOffset>
            </wp:positionV>
            <wp:extent cx="8890"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-165735</wp:posOffset>
            </wp:positionV>
            <wp:extent cx="8890" cy="889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-148590</wp:posOffset>
            </wp:positionV>
            <wp:extent cx="8890"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-131445</wp:posOffset>
            </wp:positionV>
            <wp:extent cx="8890" cy="889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-114300</wp:posOffset>
            </wp:positionV>
            <wp:extent cx="8890" cy="889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-97155</wp:posOffset>
            </wp:positionV>
            <wp:extent cx="8890"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-80010</wp:posOffset>
            </wp:positionV>
            <wp:extent cx="8890" cy="8890"/>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-62865</wp:posOffset>
            </wp:positionV>
            <wp:extent cx="8890"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-45720</wp:posOffset>
            </wp:positionV>
            <wp:extent cx="8890" cy="889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-28575</wp:posOffset>
            </wp:positionV>
            <wp:extent cx="8890" cy="889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-11430</wp:posOffset>
            </wp:positionV>
            <wp:extent cx="8890"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5080</wp:posOffset>
            </wp:positionV>
            <wp:extent cx="8890" cy="8890"/>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22225</wp:posOffset>
            </wp:positionV>
            <wp:extent cx="8890" cy="889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39370</wp:posOffset>
            </wp:positionV>
            <wp:extent cx="8890" cy="889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56515</wp:posOffset>
            </wp:positionV>
            <wp:extent cx="8890" cy="889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73660</wp:posOffset>
            </wp:positionV>
            <wp:extent cx="8890" cy="889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90805</wp:posOffset>
            </wp:positionV>
            <wp:extent cx="8890" cy="8890"/>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107950</wp:posOffset>
            </wp:positionV>
            <wp:extent cx="8890"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Peserta memahami bahawa Data tersebut akan dipindahkan ke Morgan Stanley Smith Barney, LLC (“</w:t>
      </w:r>
      <w:r>
        <w:rPr>
          <w:rFonts w:ascii="Times New Roman" w:cs="Times New Roman" w:eastAsia="Times New Roman" w:hAnsi="Times New Roman"/>
          <w:sz w:val="20"/>
          <w:szCs w:val="20"/>
          <w:b w:val="1"/>
          <w:bCs w:val="1"/>
          <w:i w:val="1"/>
          <w:iCs w:val="1"/>
          <w:u w:val="single" w:color="auto"/>
          <w:color w:val="auto"/>
        </w:rPr>
        <w:t>Morgan Stanley</w:t>
      </w:r>
      <w:r>
        <w:rPr>
          <w:rFonts w:ascii="Times New Roman" w:cs="Times New Roman" w:eastAsia="Times New Roman" w:hAnsi="Times New Roman"/>
          <w:sz w:val="20"/>
          <w:szCs w:val="20"/>
          <w:b w:val="1"/>
          <w:bCs w:val="1"/>
          <w:i w:val="1"/>
          <w:iCs w:val="1"/>
          <w:color w:val="auto"/>
        </w:rPr>
        <w:t>”) atau pembekal perkhidmatan pelan saham lain yang mungkin dipilih oleh Syarikat pada masa hadapan, yang membantu Syarikat melaksanakan, mentadbir dan menguruskan Pelan tersebut. Peserta memahami bahawa Data juga mungkin dipindahkan kepada firma akauntansi awam berdaftar bebas Syarikat, PricewaterhouseCoopers LLP, atau firma akauntansi awam lain yang mungkin digunakan oleh Syarikat pada masa hadapan. Peserta turut memahami bahawa penerima Data mungkin berada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-1737360</wp:posOffset>
            </wp:positionV>
            <wp:extent cx="8255" cy="889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-1720215</wp:posOffset>
            </wp:positionV>
            <wp:extent cx="8255" cy="889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-1703070</wp:posOffset>
            </wp:positionV>
            <wp:extent cx="8255" cy="889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-1685925</wp:posOffset>
            </wp:positionV>
            <wp:extent cx="8255" cy="889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-1668780</wp:posOffset>
            </wp:positionV>
            <wp:extent cx="8255"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-1651635</wp:posOffset>
            </wp:positionV>
            <wp:extent cx="8255" cy="889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-1634490</wp:posOffset>
            </wp:positionV>
            <wp:extent cx="8255" cy="889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-1617345</wp:posOffset>
            </wp:positionV>
            <wp:extent cx="8255"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-1600200</wp:posOffset>
            </wp:positionV>
            <wp:extent cx="8255" cy="889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-1583055</wp:posOffset>
            </wp:positionV>
            <wp:extent cx="8255" cy="889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-1565910</wp:posOffset>
            </wp:positionV>
            <wp:extent cx="8255" cy="8890"/>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-1548765</wp:posOffset>
            </wp:positionV>
            <wp:extent cx="8255"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-1531620</wp:posOffset>
            </wp:positionV>
            <wp:extent cx="8255"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-1514475</wp:posOffset>
            </wp:positionV>
            <wp:extent cx="8255"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-1497330</wp:posOffset>
            </wp:positionV>
            <wp:extent cx="8255" cy="889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-1480185</wp:posOffset>
            </wp:positionV>
            <wp:extent cx="8255" cy="889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-1463040</wp:posOffset>
            </wp:positionV>
            <wp:extent cx="8255" cy="889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-1445895</wp:posOffset>
            </wp:positionV>
            <wp:extent cx="8255"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-1428750</wp:posOffset>
            </wp:positionV>
            <wp:extent cx="8255"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-1411605</wp:posOffset>
            </wp:positionV>
            <wp:extent cx="8255"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-1394460</wp:posOffset>
            </wp:positionV>
            <wp:extent cx="8255" cy="889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-1377315</wp:posOffset>
            </wp:positionV>
            <wp:extent cx="8255" cy="889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-1360170</wp:posOffset>
            </wp:positionV>
            <wp:extent cx="8255" cy="889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-1343025</wp:posOffset>
            </wp:positionV>
            <wp:extent cx="8255" cy="825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-1325880</wp:posOffset>
            </wp:positionV>
            <wp:extent cx="8255" cy="825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-1308735</wp:posOffset>
            </wp:positionV>
            <wp:extent cx="8255" cy="889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-1291590</wp:posOffset>
            </wp:positionV>
            <wp:extent cx="8255" cy="889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-1274445</wp:posOffset>
            </wp:positionV>
            <wp:extent cx="8255" cy="889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-1257300</wp:posOffset>
            </wp:positionV>
            <wp:extent cx="8255"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-1240155</wp:posOffset>
            </wp:positionV>
            <wp:extent cx="8255" cy="825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-1223010</wp:posOffset>
            </wp:positionV>
            <wp:extent cx="8255" cy="889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-1205865</wp:posOffset>
            </wp:positionV>
            <wp:extent cx="8255" cy="889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-1188720</wp:posOffset>
            </wp:positionV>
            <wp:extent cx="8255" cy="889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-1171575</wp:posOffset>
            </wp:positionV>
            <wp:extent cx="8255"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-1154430</wp:posOffset>
            </wp:positionV>
            <wp:extent cx="8255" cy="825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-1137285</wp:posOffset>
            </wp:positionV>
            <wp:extent cx="8255"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-1120140</wp:posOffset>
            </wp:positionV>
            <wp:extent cx="8255" cy="889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-1102995</wp:posOffset>
            </wp:positionV>
            <wp:extent cx="8255" cy="8890"/>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-1085850</wp:posOffset>
            </wp:positionV>
            <wp:extent cx="8255" cy="889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-1068705</wp:posOffset>
            </wp:positionV>
            <wp:extent cx="8255" cy="825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-1051560</wp:posOffset>
            </wp:positionV>
            <wp:extent cx="8255"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-1034415</wp:posOffset>
            </wp:positionV>
            <wp:extent cx="8255"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-1017270</wp:posOffset>
            </wp:positionV>
            <wp:extent cx="8255" cy="8890"/>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-1000125</wp:posOffset>
            </wp:positionV>
            <wp:extent cx="8255" cy="889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-982980</wp:posOffset>
            </wp:positionV>
            <wp:extent cx="8255" cy="889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-965835</wp:posOffset>
            </wp:positionV>
            <wp:extent cx="8255" cy="825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-948690</wp:posOffset>
            </wp:positionV>
            <wp:extent cx="8255"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-931545</wp:posOffset>
            </wp:positionV>
            <wp:extent cx="8255" cy="889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-914400</wp:posOffset>
            </wp:positionV>
            <wp:extent cx="8255" cy="889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-897255</wp:posOffset>
            </wp:positionV>
            <wp:extent cx="8255" cy="889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-880110</wp:posOffset>
            </wp:positionV>
            <wp:extent cx="8255"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-862965</wp:posOffset>
            </wp:positionV>
            <wp:extent cx="8255"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-845820</wp:posOffset>
            </wp:positionV>
            <wp:extent cx="8255"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-828675</wp:posOffset>
            </wp:positionV>
            <wp:extent cx="8255" cy="889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-811530</wp:posOffset>
            </wp:positionV>
            <wp:extent cx="8255" cy="889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-794385</wp:posOffset>
            </wp:positionV>
            <wp:extent cx="8255"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-777240</wp:posOffset>
            </wp:positionV>
            <wp:extent cx="8255"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-760095</wp:posOffset>
            </wp:positionV>
            <wp:extent cx="8255" cy="825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-742950</wp:posOffset>
            </wp:positionV>
            <wp:extent cx="8255" cy="825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-725805</wp:posOffset>
            </wp:positionV>
            <wp:extent cx="8255"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-708660</wp:posOffset>
            </wp:positionV>
            <wp:extent cx="8255"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-691515</wp:posOffset>
            </wp:positionV>
            <wp:extent cx="8255"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-674370</wp:posOffset>
            </wp:positionV>
            <wp:extent cx="8255" cy="889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-657225</wp:posOffset>
            </wp:positionV>
            <wp:extent cx="8255" cy="825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-640080</wp:posOffset>
            </wp:positionV>
            <wp:extent cx="8255" cy="825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-622935</wp:posOffset>
            </wp:positionV>
            <wp:extent cx="8255" cy="889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-605790</wp:posOffset>
            </wp:positionV>
            <wp:extent cx="8255"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-588645</wp:posOffset>
            </wp:positionV>
            <wp:extent cx="8255"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-571500</wp:posOffset>
            </wp:positionV>
            <wp:extent cx="8255"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-554355</wp:posOffset>
            </wp:positionV>
            <wp:extent cx="8255" cy="825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-537210</wp:posOffset>
            </wp:positionV>
            <wp:extent cx="8255"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-520065</wp:posOffset>
            </wp:positionV>
            <wp:extent cx="8255"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-502920</wp:posOffset>
            </wp:positionV>
            <wp:extent cx="8255" cy="825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-485775</wp:posOffset>
            </wp:positionV>
            <wp:extent cx="8255" cy="889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-468630</wp:posOffset>
            </wp:positionV>
            <wp:extent cx="8255"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-451485</wp:posOffset>
            </wp:positionV>
            <wp:extent cx="8255"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-434340</wp:posOffset>
            </wp:positionV>
            <wp:extent cx="8255" cy="889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-417195</wp:posOffset>
            </wp:positionV>
            <wp:extent cx="8255" cy="825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-400050</wp:posOffset>
            </wp:positionV>
            <wp:extent cx="8255" cy="889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-382905</wp:posOffset>
            </wp:positionV>
            <wp:extent cx="8255"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-365760</wp:posOffset>
            </wp:positionV>
            <wp:extent cx="8255"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-348615</wp:posOffset>
            </wp:positionV>
            <wp:extent cx="8255" cy="889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-331470</wp:posOffset>
            </wp:positionV>
            <wp:extent cx="8255" cy="889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-314325</wp:posOffset>
            </wp:positionV>
            <wp:extent cx="8255"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-297180</wp:posOffset>
            </wp:positionV>
            <wp:extent cx="8255"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-280035</wp:posOffset>
            </wp:positionV>
            <wp:extent cx="8255" cy="889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-262890</wp:posOffset>
            </wp:positionV>
            <wp:extent cx="8255"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-245745</wp:posOffset>
            </wp:positionV>
            <wp:extent cx="8255"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-228600</wp:posOffset>
            </wp:positionV>
            <wp:extent cx="8255" cy="8890"/>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-211455</wp:posOffset>
            </wp:positionV>
            <wp:extent cx="8255" cy="889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-194310</wp:posOffset>
            </wp:positionV>
            <wp:extent cx="8255" cy="889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-177165</wp:posOffset>
            </wp:positionV>
            <wp:extent cx="8255" cy="889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-160020</wp:posOffset>
            </wp:positionV>
            <wp:extent cx="8255"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-142875</wp:posOffset>
            </wp:positionV>
            <wp:extent cx="8255" cy="889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-125730</wp:posOffset>
            </wp:positionV>
            <wp:extent cx="8255"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-108585</wp:posOffset>
            </wp:positionV>
            <wp:extent cx="8255" cy="889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-91440</wp:posOffset>
            </wp:positionV>
            <wp:extent cx="8255" cy="571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8">
                      <a:extLst>
                        <a:ext uri="{28A0092B-C50C-407E-A947-70E740481C1C}"/>
                      </a:extLst>
                    </a:blip>
                    <a:srcRect/>
                    <a:stretch>
                      <a:fillRect/>
                    </a:stretch>
                  </pic:blipFill>
                  <pic:spPr bwMode="auto">
                    <a:xfrm>
                      <a:off x="0" y="0"/>
                      <a:ext cx="8255" cy="571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-1737360</wp:posOffset>
            </wp:positionV>
            <wp:extent cx="8890" cy="889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-1720215</wp:posOffset>
            </wp:positionV>
            <wp:extent cx="8890" cy="889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-1703070</wp:posOffset>
            </wp:positionV>
            <wp:extent cx="8890" cy="8890"/>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-1685925</wp:posOffset>
            </wp:positionV>
            <wp:extent cx="8890" cy="8890"/>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-1668780</wp:posOffset>
            </wp:positionV>
            <wp:extent cx="8890"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-1651635</wp:posOffset>
            </wp:positionV>
            <wp:extent cx="8890" cy="8890"/>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-1634490</wp:posOffset>
            </wp:positionV>
            <wp:extent cx="8890" cy="8890"/>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-1617345</wp:posOffset>
            </wp:positionV>
            <wp:extent cx="8890"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-1600200</wp:posOffset>
            </wp:positionV>
            <wp:extent cx="8890" cy="8890"/>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-1583055</wp:posOffset>
            </wp:positionV>
            <wp:extent cx="8890" cy="8890"/>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-1565910</wp:posOffset>
            </wp:positionV>
            <wp:extent cx="8890" cy="8890"/>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-1548765</wp:posOffset>
            </wp:positionV>
            <wp:extent cx="8890" cy="825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-1531620</wp:posOffset>
            </wp:positionV>
            <wp:extent cx="8890"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-1514475</wp:posOffset>
            </wp:positionV>
            <wp:extent cx="8890"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-1497330</wp:posOffset>
            </wp:positionV>
            <wp:extent cx="8890" cy="8890"/>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-1480185</wp:posOffset>
            </wp:positionV>
            <wp:extent cx="8890" cy="8890"/>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-1463040</wp:posOffset>
            </wp:positionV>
            <wp:extent cx="8890" cy="8890"/>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-1445895</wp:posOffset>
            </wp:positionV>
            <wp:extent cx="8890"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-1428750</wp:posOffset>
            </wp:positionV>
            <wp:extent cx="8890"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-1411605</wp:posOffset>
            </wp:positionV>
            <wp:extent cx="8890" cy="8890"/>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-1394460</wp:posOffset>
            </wp:positionV>
            <wp:extent cx="8890" cy="8890"/>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-1377315</wp:posOffset>
            </wp:positionV>
            <wp:extent cx="8890" cy="8890"/>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-1360170</wp:posOffset>
            </wp:positionV>
            <wp:extent cx="8890" cy="8890"/>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-1343025</wp:posOffset>
            </wp:positionV>
            <wp:extent cx="8890"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-1325880</wp:posOffset>
            </wp:positionV>
            <wp:extent cx="8890"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-1308735</wp:posOffset>
            </wp:positionV>
            <wp:extent cx="8890" cy="8890"/>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-1291590</wp:posOffset>
            </wp:positionV>
            <wp:extent cx="8890" cy="8890"/>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-1274445</wp:posOffset>
            </wp:positionV>
            <wp:extent cx="8890" cy="8890"/>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-1257300</wp:posOffset>
            </wp:positionV>
            <wp:extent cx="8890"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-1240155</wp:posOffset>
            </wp:positionV>
            <wp:extent cx="8890"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-1223010</wp:posOffset>
            </wp:positionV>
            <wp:extent cx="8890" cy="8890"/>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-1205865</wp:posOffset>
            </wp:positionV>
            <wp:extent cx="8890" cy="8890"/>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-1188720</wp:posOffset>
            </wp:positionV>
            <wp:extent cx="8890" cy="8890"/>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-1171575</wp:posOffset>
            </wp:positionV>
            <wp:extent cx="8890" cy="8890"/>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-1154430</wp:posOffset>
            </wp:positionV>
            <wp:extent cx="8890"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-1137285</wp:posOffset>
            </wp:positionV>
            <wp:extent cx="8890"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-1120140</wp:posOffset>
            </wp:positionV>
            <wp:extent cx="8890" cy="8890"/>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-1102995</wp:posOffset>
            </wp:positionV>
            <wp:extent cx="8890" cy="8890"/>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-1085850</wp:posOffset>
            </wp:positionV>
            <wp:extent cx="8890" cy="8890"/>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-1068705</wp:posOffset>
            </wp:positionV>
            <wp:extent cx="8890"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-1051560</wp:posOffset>
            </wp:positionV>
            <wp:extent cx="8890"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-1034415</wp:posOffset>
            </wp:positionV>
            <wp:extent cx="8890" cy="825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-1017270</wp:posOffset>
            </wp:positionV>
            <wp:extent cx="8890" cy="8890"/>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-1000125</wp:posOffset>
            </wp:positionV>
            <wp:extent cx="8890" cy="8890"/>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-982980</wp:posOffset>
            </wp:positionV>
            <wp:extent cx="8890" cy="8890"/>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-965835</wp:posOffset>
            </wp:positionV>
            <wp:extent cx="8890" cy="825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-948690</wp:posOffset>
            </wp:positionV>
            <wp:extent cx="8890"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-931545</wp:posOffset>
            </wp:positionV>
            <wp:extent cx="8890" cy="8890"/>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-914400</wp:posOffset>
            </wp:positionV>
            <wp:extent cx="8890" cy="8890"/>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-897255</wp:posOffset>
            </wp:positionV>
            <wp:extent cx="8890" cy="8890"/>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-880110</wp:posOffset>
            </wp:positionV>
            <wp:extent cx="8890"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-862965</wp:posOffset>
            </wp:positionV>
            <wp:extent cx="8890"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-845820</wp:posOffset>
            </wp:positionV>
            <wp:extent cx="8890"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-828675</wp:posOffset>
            </wp:positionV>
            <wp:extent cx="8890" cy="8890"/>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-811530</wp:posOffset>
            </wp:positionV>
            <wp:extent cx="8890" cy="8890"/>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-794385</wp:posOffset>
            </wp:positionV>
            <wp:extent cx="8890" cy="82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-777240</wp:posOffset>
            </wp:positionV>
            <wp:extent cx="8890" cy="825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-760095</wp:posOffset>
            </wp:positionV>
            <wp:extent cx="8890" cy="825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-742950</wp:posOffset>
            </wp:positionV>
            <wp:extent cx="8890" cy="825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-725805</wp:posOffset>
            </wp:positionV>
            <wp:extent cx="8890" cy="825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-708660</wp:posOffset>
            </wp:positionV>
            <wp:extent cx="8890" cy="825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-691515</wp:posOffset>
            </wp:positionV>
            <wp:extent cx="8890" cy="825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-674370</wp:posOffset>
            </wp:positionV>
            <wp:extent cx="8890" cy="889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-657225</wp:posOffset>
            </wp:positionV>
            <wp:extent cx="8890" cy="825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-640080</wp:posOffset>
            </wp:positionV>
            <wp:extent cx="8890" cy="825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-622935</wp:posOffset>
            </wp:positionV>
            <wp:extent cx="8890" cy="8890"/>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-605790</wp:posOffset>
            </wp:positionV>
            <wp:extent cx="8890"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-588645</wp:posOffset>
            </wp:positionV>
            <wp:extent cx="8890"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-571500</wp:posOffset>
            </wp:positionV>
            <wp:extent cx="8890" cy="825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-554355</wp:posOffset>
            </wp:positionV>
            <wp:extent cx="8890"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-537210</wp:posOffset>
            </wp:positionV>
            <wp:extent cx="8890"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-520065</wp:posOffset>
            </wp:positionV>
            <wp:extent cx="8890"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-502920</wp:posOffset>
            </wp:positionV>
            <wp:extent cx="8890"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-485775</wp:posOffset>
            </wp:positionV>
            <wp:extent cx="8890" cy="8890"/>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-468630</wp:posOffset>
            </wp:positionV>
            <wp:extent cx="8890"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-451485</wp:posOffset>
            </wp:positionV>
            <wp:extent cx="8890"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-434340</wp:posOffset>
            </wp:positionV>
            <wp:extent cx="8890" cy="8890"/>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-417195</wp:posOffset>
            </wp:positionV>
            <wp:extent cx="8890"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-400050</wp:posOffset>
            </wp:positionV>
            <wp:extent cx="8890" cy="8890"/>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-382905</wp:posOffset>
            </wp:positionV>
            <wp:extent cx="8890"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-365760</wp:posOffset>
            </wp:positionV>
            <wp:extent cx="8890" cy="825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-348615</wp:posOffset>
            </wp:positionV>
            <wp:extent cx="8890" cy="8890"/>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-331470</wp:posOffset>
            </wp:positionV>
            <wp:extent cx="8890" cy="8890"/>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-314325</wp:posOffset>
            </wp:positionV>
            <wp:extent cx="8890"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-297180</wp:posOffset>
            </wp:positionV>
            <wp:extent cx="8890"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-280035</wp:posOffset>
            </wp:positionV>
            <wp:extent cx="8890" cy="8890"/>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-262890</wp:posOffset>
            </wp:positionV>
            <wp:extent cx="8890"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-245745</wp:posOffset>
            </wp:positionV>
            <wp:extent cx="8890"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-228600</wp:posOffset>
            </wp:positionV>
            <wp:extent cx="8890" cy="8890"/>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-211455</wp:posOffset>
            </wp:positionV>
            <wp:extent cx="8890" cy="8890"/>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-194310</wp:posOffset>
            </wp:positionV>
            <wp:extent cx="8890" cy="8890"/>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-177165</wp:posOffset>
            </wp:positionV>
            <wp:extent cx="8890" cy="8890"/>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-160020</wp:posOffset>
            </wp:positionV>
            <wp:extent cx="8890"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-142875</wp:posOffset>
            </wp:positionV>
            <wp:extent cx="8890" cy="8890"/>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-125730</wp:posOffset>
            </wp:positionV>
            <wp:extent cx="8890"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-108585</wp:posOffset>
            </wp:positionV>
            <wp:extent cx="8890" cy="8890"/>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-91440</wp:posOffset>
            </wp:positionV>
            <wp:extent cx="8890" cy="571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5">
                      <a:extLst>
                        <a:ext uri="{28A0092B-C50C-407E-A947-70E740481C1C}"/>
                      </a:extLst>
                    </a:blip>
                    <a:srcRect/>
                    <a:stretch>
                      <a:fillRect/>
                    </a:stretch>
                  </pic:blipFill>
                  <pic:spPr bwMode="auto">
                    <a:xfrm>
                      <a:off x="0" y="0"/>
                      <a:ext cx="8890" cy="5715"/>
                    </a:xfrm>
                    <a:prstGeom prst="rect">
                      <a:avLst/>
                    </a:prstGeom>
                    <a:noFill/>
                  </pic:spPr>
                </pic:pic>
              </a:graphicData>
            </a:graphic>
          </wp:anchor>
        </w:drawing>
      </w:r>
    </w:p>
    <w:p>
      <w:pPr>
        <w:sectPr>
          <w:pgSz w:w="11900" w:h="17036" w:orient="portrait"/>
          <w:cols w:equalWidth="0" w:num="2">
            <w:col w:w="5520" w:space="140"/>
            <w:col w:w="5520"/>
          </w:cols>
          <w:pgMar w:left="320" w:top="1436" w:right="399" w:bottom="0" w:gutter="0" w:footer="0" w:header="0"/>
          <w:type w:val="continuous"/>
        </w:sectPr>
      </w:pPr>
    </w:p>
    <w:bookmarkStart w:id="140" w:name="page141"/>
    <w:bookmarkEnd w:id="140"/>
    <w:p>
      <w:pPr>
        <w:ind w:left="80"/>
        <w:spacing w:after="0" w:line="303" w:lineRule="auto"/>
        <w:rPr>
          <w:sz w:val="20"/>
          <w:szCs w:val="20"/>
          <w:color w:val="auto"/>
        </w:rPr>
      </w:pPr>
      <w:r>
        <w:rPr>
          <w:rFonts w:ascii="Times New Roman" w:cs="Times New Roman" w:eastAsia="Times New Roman" w:hAnsi="Times New Roman"/>
          <w:sz w:val="19"/>
          <w:szCs w:val="19"/>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90"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106045</wp:posOffset>
            </wp:positionV>
            <wp:extent cx="8890"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8890" cy="8890"/>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140335</wp:posOffset>
            </wp:positionV>
            <wp:extent cx="8890"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8890"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800">
                      <a:extLst>
                        <a:ext uri="{28A0092B-C50C-407E-A947-70E740481C1C}"/>
                      </a:extLst>
                    </a:blip>
                    <a:srcRect/>
                    <a:stretch>
                      <a:fillRect/>
                    </a:stretch>
                  </pic:blipFill>
                  <pic:spPr bwMode="auto">
                    <a:xfrm>
                      <a:off x="0" y="0"/>
                      <a:ext cx="8890" cy="8255"/>
                    </a:xfrm>
                    <a:prstGeom prst="rect">
                      <a:avLst/>
                    </a:prstGeom>
                    <a:noFill/>
                  </pic:spPr>
                </pic:pic>
              </a:graphicData>
            </a:graphic>
          </wp:anchor>
        </w:drawing>
        <w:t>laws and protections than the Participant’s country. The Participant understands that the Participant may request a list with the names and addresses of any potential recipients of the Data by contacting the Participant’s local human resources representative at Mondelez Malaysia Sales Sdn Bhd, Lot 9.01 Level 9, 1 First Avenue, 2A, Dataran Bandar Utama, Bandar Utama Damasara, 47800 Petaling Jaya, Selangor, Malaysia. The Participant authorizes the Company, Morgan Stanley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Further, the Participant understands that he or she is providing the consents herein on a purely voluntary basis. If the Participant does not consent, or if the Participant later seeks to revoke their consent, their employment status or service and career with the Employer will not be adversely affected; the only consequence of refusing or withdrawing the Participant’s consent is that the Company would not be able to grant the Participant LTI Grants or other equity awards or administer or maintain such awards. The Participant also understands that the Company has no obligation to substitute other forms of awards or compensation in lieu of the LTI Grant as a consequence of the Participant’s refusal or withdrawal of their consent. Therefore, the Participant understands that refusing or withdrawing their consent may affect the Participant’s ability to participate in the Plan. For more information on the consequences of the Participant’s refusal to consent or withdrawal of consent, the Participant understands that he or she may contact their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-6471285</wp:posOffset>
            </wp:positionV>
            <wp:extent cx="3531870" cy="8323580"/>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1">
                      <a:extLst>
                        <a:ext uri="{28A0092B-C50C-407E-A947-70E740481C1C}"/>
                      </a:extLst>
                    </a:blip>
                    <a:srcRect/>
                    <a:stretch>
                      <a:fillRect/>
                    </a:stretch>
                  </pic:blipFill>
                  <pic:spPr bwMode="auto">
                    <a:xfrm>
                      <a:off x="0" y="0"/>
                      <a:ext cx="3531870" cy="8323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Times New Roman" w:cs="Times New Roman" w:eastAsia="Times New Roman" w:hAnsi="Times New Roman"/>
          <w:sz w:val="20"/>
          <w:szCs w:val="20"/>
          <w:b w:val="1"/>
          <w:bCs w:val="1"/>
          <w:i w:val="1"/>
          <w:iCs w:val="1"/>
          <w:color w:val="auto"/>
        </w:rPr>
        <w:t>di Amerika Syarikat atau negara lain dan negara asal penerima Data (contohnya, Amerika Syarikat) mungkin mempunyai undang-undang data peribadi serta perlindungan yang berbeza daripada negara asal Peserta. Peserta memahami bahawa Peserta boleh meminta satu senarai yang mengandungi nama dan alamat penerima-penerima Data yang berpotensi dengan menghubungi wakil sumber manusia tempatan Peserta di Mondelez Malaysia Sales Sdn Bhd, Lot 9.01 Level 9, 1 First Avenue, 2A, Dataran Bandar Utama, Bandar Utama Damasara, 47800 Petaling Jaya, Selangor, Malaysia.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-1841500</wp:posOffset>
            </wp:positionV>
            <wp:extent cx="8255"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-1824355</wp:posOffset>
            </wp:positionV>
            <wp:extent cx="8255"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-1807210</wp:posOffset>
            </wp:positionV>
            <wp:extent cx="8255" cy="8890"/>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-1790065</wp:posOffset>
            </wp:positionV>
            <wp:extent cx="8255"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-1772920</wp:posOffset>
            </wp:positionV>
            <wp:extent cx="8255"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-1755775</wp:posOffset>
            </wp:positionV>
            <wp:extent cx="8255"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-1738630</wp:posOffset>
            </wp:positionV>
            <wp:extent cx="8255"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-1721485</wp:posOffset>
            </wp:positionV>
            <wp:extent cx="8255" cy="8890"/>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-1704340</wp:posOffset>
            </wp:positionV>
            <wp:extent cx="8255"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-1687195</wp:posOffset>
            </wp:positionV>
            <wp:extent cx="8255"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-1670050</wp:posOffset>
            </wp:positionV>
            <wp:extent cx="8255"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-1652905</wp:posOffset>
            </wp:positionV>
            <wp:extent cx="8255"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-1635760</wp:posOffset>
            </wp:positionV>
            <wp:extent cx="8255" cy="8890"/>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-1618615</wp:posOffset>
            </wp:positionV>
            <wp:extent cx="8255"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-1601470</wp:posOffset>
            </wp:positionV>
            <wp:extent cx="8255"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-1584325</wp:posOffset>
            </wp:positionV>
            <wp:extent cx="8255"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-1567180</wp:posOffset>
            </wp:positionV>
            <wp:extent cx="8255"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-1550035</wp:posOffset>
            </wp:positionV>
            <wp:extent cx="8255" cy="8890"/>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-1532890</wp:posOffset>
            </wp:positionV>
            <wp:extent cx="8255"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-1515745</wp:posOffset>
            </wp:positionV>
            <wp:extent cx="8255"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-1498600</wp:posOffset>
            </wp:positionV>
            <wp:extent cx="8255"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-1481455</wp:posOffset>
            </wp:positionV>
            <wp:extent cx="8255"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-1464310</wp:posOffset>
            </wp:positionV>
            <wp:extent cx="8255" cy="8890"/>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-1447165</wp:posOffset>
            </wp:positionV>
            <wp:extent cx="8255"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-1430020</wp:posOffset>
            </wp:positionV>
            <wp:extent cx="8255"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-1412875</wp:posOffset>
            </wp:positionV>
            <wp:extent cx="8255"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-1395730</wp:posOffset>
            </wp:positionV>
            <wp:extent cx="8255"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-1378585</wp:posOffset>
            </wp:positionV>
            <wp:extent cx="8255" cy="8890"/>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-1361440</wp:posOffset>
            </wp:positionV>
            <wp:extent cx="8255"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-1344295</wp:posOffset>
            </wp:positionV>
            <wp:extent cx="8255"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-1327150</wp:posOffset>
            </wp:positionV>
            <wp:extent cx="8255"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-1310005</wp:posOffset>
            </wp:positionV>
            <wp:extent cx="8255"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-1292860</wp:posOffset>
            </wp:positionV>
            <wp:extent cx="8255" cy="8890"/>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-1275715</wp:posOffset>
            </wp:positionV>
            <wp:extent cx="8255"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-1258570</wp:posOffset>
            </wp:positionV>
            <wp:extent cx="8255"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-1241425</wp:posOffset>
            </wp:positionV>
            <wp:extent cx="8255"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-1224280</wp:posOffset>
            </wp:positionV>
            <wp:extent cx="8255"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-1207135</wp:posOffset>
            </wp:positionV>
            <wp:extent cx="8255"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-1189990</wp:posOffset>
            </wp:positionV>
            <wp:extent cx="8255"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-1172845</wp:posOffset>
            </wp:positionV>
            <wp:extent cx="8255"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-1155700</wp:posOffset>
            </wp:positionV>
            <wp:extent cx="8255" cy="8890"/>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-1138555</wp:posOffset>
            </wp:positionV>
            <wp:extent cx="8255"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-1121410</wp:posOffset>
            </wp:positionV>
            <wp:extent cx="8255"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-1104265</wp:posOffset>
            </wp:positionV>
            <wp:extent cx="8255"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-1087120</wp:posOffset>
            </wp:positionV>
            <wp:extent cx="8255"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-1069975</wp:posOffset>
            </wp:positionV>
            <wp:extent cx="8255" cy="8890"/>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-1052830</wp:posOffset>
            </wp:positionV>
            <wp:extent cx="8255"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-1035685</wp:posOffset>
            </wp:positionV>
            <wp:extent cx="8255"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-1018540</wp:posOffset>
            </wp:positionV>
            <wp:extent cx="8255"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-1001395</wp:posOffset>
            </wp:positionV>
            <wp:extent cx="8255"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-984250</wp:posOffset>
            </wp:positionV>
            <wp:extent cx="8255" cy="8890"/>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-967105</wp:posOffset>
            </wp:positionV>
            <wp:extent cx="8255"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-949960</wp:posOffset>
            </wp:positionV>
            <wp:extent cx="8255"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-932815</wp:posOffset>
            </wp:positionV>
            <wp:extent cx="8255"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-915670</wp:posOffset>
            </wp:positionV>
            <wp:extent cx="8255"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-898525</wp:posOffset>
            </wp:positionV>
            <wp:extent cx="8255" cy="8890"/>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-881380</wp:posOffset>
            </wp:positionV>
            <wp:extent cx="8255"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-864235</wp:posOffset>
            </wp:positionV>
            <wp:extent cx="8255"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-847090</wp:posOffset>
            </wp:positionV>
            <wp:extent cx="8255"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-829945</wp:posOffset>
            </wp:positionV>
            <wp:extent cx="8255"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-812800</wp:posOffset>
            </wp:positionV>
            <wp:extent cx="8255" cy="8890"/>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-795655</wp:posOffset>
            </wp:positionV>
            <wp:extent cx="8255"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-778510</wp:posOffset>
            </wp:positionV>
            <wp:extent cx="8255"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-761365</wp:posOffset>
            </wp:positionV>
            <wp:extent cx="8255"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-744220</wp:posOffset>
            </wp:positionV>
            <wp:extent cx="8255"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-727075</wp:posOffset>
            </wp:positionV>
            <wp:extent cx="8255" cy="8890"/>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-709930</wp:posOffset>
            </wp:positionV>
            <wp:extent cx="8255" cy="825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-692785</wp:posOffset>
            </wp:positionV>
            <wp:extent cx="8255"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-675640</wp:posOffset>
            </wp:positionV>
            <wp:extent cx="8255"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-658495</wp:posOffset>
            </wp:positionV>
            <wp:extent cx="8255"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-641350</wp:posOffset>
            </wp:positionV>
            <wp:extent cx="8255" cy="8890"/>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-624205</wp:posOffset>
            </wp:positionV>
            <wp:extent cx="8255"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-607060</wp:posOffset>
            </wp:positionV>
            <wp:extent cx="8255"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-589915</wp:posOffset>
            </wp:positionV>
            <wp:extent cx="8255"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-572770</wp:posOffset>
            </wp:positionV>
            <wp:extent cx="8255"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-555625</wp:posOffset>
            </wp:positionV>
            <wp:extent cx="8255" cy="8890"/>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-538480</wp:posOffset>
            </wp:positionV>
            <wp:extent cx="8255"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-521335</wp:posOffset>
            </wp:positionV>
            <wp:extent cx="8255"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-504190</wp:posOffset>
            </wp:positionV>
            <wp:extent cx="8255"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-487045</wp:posOffset>
            </wp:positionV>
            <wp:extent cx="8255"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-469900</wp:posOffset>
            </wp:positionV>
            <wp:extent cx="8255" cy="8890"/>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-452755</wp:posOffset>
            </wp:positionV>
            <wp:extent cx="8255"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-435610</wp:posOffset>
            </wp:positionV>
            <wp:extent cx="8255"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-418465</wp:posOffset>
            </wp:positionV>
            <wp:extent cx="8255"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-401320</wp:posOffset>
            </wp:positionV>
            <wp:extent cx="8255"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-384175</wp:posOffset>
            </wp:positionV>
            <wp:extent cx="8255" cy="8890"/>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-367030</wp:posOffset>
            </wp:positionV>
            <wp:extent cx="8255"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-349885</wp:posOffset>
            </wp:positionV>
            <wp:extent cx="8255"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-332740</wp:posOffset>
            </wp:positionV>
            <wp:extent cx="8255"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-315595</wp:posOffset>
            </wp:positionV>
            <wp:extent cx="8255"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-298450</wp:posOffset>
            </wp:positionV>
            <wp:extent cx="8255" cy="8890"/>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-281305</wp:posOffset>
            </wp:positionV>
            <wp:extent cx="8255" cy="825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-264160</wp:posOffset>
            </wp:positionV>
            <wp:extent cx="8255"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-247015</wp:posOffset>
            </wp:positionV>
            <wp:extent cx="8255"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-229870</wp:posOffset>
            </wp:positionV>
            <wp:extent cx="8255"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-212725</wp:posOffset>
            </wp:positionV>
            <wp:extent cx="8255" cy="8890"/>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-195580</wp:posOffset>
            </wp:positionV>
            <wp:extent cx="8255"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-178435</wp:posOffset>
            </wp:positionV>
            <wp:extent cx="8255"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-161290</wp:posOffset>
            </wp:positionV>
            <wp:extent cx="8255"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-144145</wp:posOffset>
            </wp:positionV>
            <wp:extent cx="8255"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-127000</wp:posOffset>
            </wp:positionV>
            <wp:extent cx="8255" cy="8890"/>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-109855</wp:posOffset>
            </wp:positionV>
            <wp:extent cx="8255" cy="825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-92710</wp:posOffset>
            </wp:positionV>
            <wp:extent cx="8255"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-75565</wp:posOffset>
            </wp:positionV>
            <wp:extent cx="8255"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-58420</wp:posOffset>
            </wp:positionV>
            <wp:extent cx="8255"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-41275</wp:posOffset>
            </wp:positionV>
            <wp:extent cx="8255" cy="8890"/>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-24130</wp:posOffset>
            </wp:positionV>
            <wp:extent cx="8255"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-6985</wp:posOffset>
            </wp:positionV>
            <wp:extent cx="8255"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9525</wp:posOffset>
            </wp:positionV>
            <wp:extent cx="8255"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26670</wp:posOffset>
            </wp:positionV>
            <wp:extent cx="8255"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43815</wp:posOffset>
            </wp:positionV>
            <wp:extent cx="8255" cy="8890"/>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60960</wp:posOffset>
            </wp:positionV>
            <wp:extent cx="8255"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78105</wp:posOffset>
            </wp:positionV>
            <wp:extent cx="8255"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95250</wp:posOffset>
            </wp:positionV>
            <wp:extent cx="8255"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112395</wp:posOffset>
            </wp:positionV>
            <wp:extent cx="8255"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-1841500</wp:posOffset>
            </wp:positionV>
            <wp:extent cx="8890"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-1824355</wp:posOffset>
            </wp:positionV>
            <wp:extent cx="8890"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-1807210</wp:posOffset>
            </wp:positionV>
            <wp:extent cx="8890" cy="8890"/>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-1790065</wp:posOffset>
            </wp:positionV>
            <wp:extent cx="8890"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-1772920</wp:posOffset>
            </wp:positionV>
            <wp:extent cx="8890" cy="825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-1755775</wp:posOffset>
            </wp:positionV>
            <wp:extent cx="8890"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-1738630</wp:posOffset>
            </wp:positionV>
            <wp:extent cx="8890" cy="825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-1721485</wp:posOffset>
            </wp:positionV>
            <wp:extent cx="8890" cy="8890"/>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-1704340</wp:posOffset>
            </wp:positionV>
            <wp:extent cx="8890"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-1687195</wp:posOffset>
            </wp:positionV>
            <wp:extent cx="8890"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-1670050</wp:posOffset>
            </wp:positionV>
            <wp:extent cx="8890"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-1652905</wp:posOffset>
            </wp:positionV>
            <wp:extent cx="8890"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-1635760</wp:posOffset>
            </wp:positionV>
            <wp:extent cx="8890" cy="8890"/>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-1618615</wp:posOffset>
            </wp:positionV>
            <wp:extent cx="8890"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-1601470</wp:posOffset>
            </wp:positionV>
            <wp:extent cx="8890"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-1584325</wp:posOffset>
            </wp:positionV>
            <wp:extent cx="8890"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-1567180</wp:posOffset>
            </wp:positionV>
            <wp:extent cx="8890"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-1550035</wp:posOffset>
            </wp:positionV>
            <wp:extent cx="8890" cy="8890"/>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-1532890</wp:posOffset>
            </wp:positionV>
            <wp:extent cx="8890"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-1515745</wp:posOffset>
            </wp:positionV>
            <wp:extent cx="8890"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-1498600</wp:posOffset>
            </wp:positionV>
            <wp:extent cx="8890"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-1481455</wp:posOffset>
            </wp:positionV>
            <wp:extent cx="8890"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-1464310</wp:posOffset>
            </wp:positionV>
            <wp:extent cx="8890" cy="8890"/>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-1447165</wp:posOffset>
            </wp:positionV>
            <wp:extent cx="8890"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-1430020</wp:posOffset>
            </wp:positionV>
            <wp:extent cx="8890" cy="825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-1412875</wp:posOffset>
            </wp:positionV>
            <wp:extent cx="8890"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-1395730</wp:posOffset>
            </wp:positionV>
            <wp:extent cx="8890" cy="825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-1378585</wp:posOffset>
            </wp:positionV>
            <wp:extent cx="8890" cy="8890"/>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-1361440</wp:posOffset>
            </wp:positionV>
            <wp:extent cx="8890"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-1344295</wp:posOffset>
            </wp:positionV>
            <wp:extent cx="8890"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-1327150</wp:posOffset>
            </wp:positionV>
            <wp:extent cx="8890"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-1310005</wp:posOffset>
            </wp:positionV>
            <wp:extent cx="8890" cy="825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-1292860</wp:posOffset>
            </wp:positionV>
            <wp:extent cx="8890" cy="8890"/>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-1275715</wp:posOffset>
            </wp:positionV>
            <wp:extent cx="8890"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-1258570</wp:posOffset>
            </wp:positionV>
            <wp:extent cx="8890"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-1241425</wp:posOffset>
            </wp:positionV>
            <wp:extent cx="8890"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-1224280</wp:posOffset>
            </wp:positionV>
            <wp:extent cx="8890" cy="825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-1207135</wp:posOffset>
            </wp:positionV>
            <wp:extent cx="8890"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-1189990</wp:posOffset>
            </wp:positionV>
            <wp:extent cx="8890"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-1172845</wp:posOffset>
            </wp:positionV>
            <wp:extent cx="8890"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-1155700</wp:posOffset>
            </wp:positionV>
            <wp:extent cx="8890" cy="8890"/>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-1138555</wp:posOffset>
            </wp:positionV>
            <wp:extent cx="8890" cy="825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-1121410</wp:posOffset>
            </wp:positionV>
            <wp:extent cx="8890"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-1104265</wp:posOffset>
            </wp:positionV>
            <wp:extent cx="8890"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-1087120</wp:posOffset>
            </wp:positionV>
            <wp:extent cx="8890"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-1069975</wp:posOffset>
            </wp:positionV>
            <wp:extent cx="8890" cy="8890"/>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-1052830</wp:posOffset>
            </wp:positionV>
            <wp:extent cx="8890"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-1035685</wp:posOffset>
            </wp:positionV>
            <wp:extent cx="8890" cy="825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-1018540</wp:posOffset>
            </wp:positionV>
            <wp:extent cx="8890"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-1001395</wp:posOffset>
            </wp:positionV>
            <wp:extent cx="8890"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-984250</wp:posOffset>
            </wp:positionV>
            <wp:extent cx="8890" cy="8890"/>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-967105</wp:posOffset>
            </wp:positionV>
            <wp:extent cx="8890" cy="825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-949960</wp:posOffset>
            </wp:positionV>
            <wp:extent cx="8890" cy="825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-932815</wp:posOffset>
            </wp:positionV>
            <wp:extent cx="8890"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-915670</wp:posOffset>
            </wp:positionV>
            <wp:extent cx="8890"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-898525</wp:posOffset>
            </wp:positionV>
            <wp:extent cx="8890" cy="8890"/>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-881380</wp:posOffset>
            </wp:positionV>
            <wp:extent cx="8890"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-864235</wp:posOffset>
            </wp:positionV>
            <wp:extent cx="8890"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-847090</wp:posOffset>
            </wp:positionV>
            <wp:extent cx="8890"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-829945</wp:posOffset>
            </wp:positionV>
            <wp:extent cx="8890" cy="825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-812800</wp:posOffset>
            </wp:positionV>
            <wp:extent cx="8890" cy="8890"/>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-795655</wp:posOffset>
            </wp:positionV>
            <wp:extent cx="8890"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-778510</wp:posOffset>
            </wp:positionV>
            <wp:extent cx="8890" cy="825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-761365</wp:posOffset>
            </wp:positionV>
            <wp:extent cx="8890"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-744220</wp:posOffset>
            </wp:positionV>
            <wp:extent cx="8890"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-727075</wp:posOffset>
            </wp:positionV>
            <wp:extent cx="8890" cy="8890"/>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-709930</wp:posOffset>
            </wp:positionV>
            <wp:extent cx="8890"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-692785</wp:posOffset>
            </wp:positionV>
            <wp:extent cx="8890"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-675640</wp:posOffset>
            </wp:positionV>
            <wp:extent cx="8890"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-658495</wp:posOffset>
            </wp:positionV>
            <wp:extent cx="8890"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-641350</wp:posOffset>
            </wp:positionV>
            <wp:extent cx="8890" cy="8890"/>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-624205</wp:posOffset>
            </wp:positionV>
            <wp:extent cx="8890" cy="825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-607060</wp:posOffset>
            </wp:positionV>
            <wp:extent cx="8890"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-589915</wp:posOffset>
            </wp:positionV>
            <wp:extent cx="8890"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-572770</wp:posOffset>
            </wp:positionV>
            <wp:extent cx="8890"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-555625</wp:posOffset>
            </wp:positionV>
            <wp:extent cx="8890" cy="8890"/>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-538480</wp:posOffset>
            </wp:positionV>
            <wp:extent cx="8890"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-521335</wp:posOffset>
            </wp:positionV>
            <wp:extent cx="8890"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-504190</wp:posOffset>
            </wp:positionV>
            <wp:extent cx="8890"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-487045</wp:posOffset>
            </wp:positionV>
            <wp:extent cx="8890"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-469900</wp:posOffset>
            </wp:positionV>
            <wp:extent cx="8890" cy="8890"/>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-452755</wp:posOffset>
            </wp:positionV>
            <wp:extent cx="8890" cy="825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-435610</wp:posOffset>
            </wp:positionV>
            <wp:extent cx="8890"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-418465</wp:posOffset>
            </wp:positionV>
            <wp:extent cx="8890"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3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-401320</wp:posOffset>
            </wp:positionV>
            <wp:extent cx="8890"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-384175</wp:posOffset>
            </wp:positionV>
            <wp:extent cx="8890" cy="8890"/>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-367030</wp:posOffset>
            </wp:positionV>
            <wp:extent cx="8890"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-349885</wp:posOffset>
            </wp:positionV>
            <wp:extent cx="8890" cy="825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-332740</wp:posOffset>
            </wp:positionV>
            <wp:extent cx="8890"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-315595</wp:posOffset>
            </wp:positionV>
            <wp:extent cx="8890"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-298450</wp:posOffset>
            </wp:positionV>
            <wp:extent cx="8890" cy="8890"/>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-281305</wp:posOffset>
            </wp:positionV>
            <wp:extent cx="8890"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-264160</wp:posOffset>
            </wp:positionV>
            <wp:extent cx="8890"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-247015</wp:posOffset>
            </wp:positionV>
            <wp:extent cx="8890"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-229870</wp:posOffset>
            </wp:positionV>
            <wp:extent cx="8890"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-212725</wp:posOffset>
            </wp:positionV>
            <wp:extent cx="8890" cy="8890"/>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-195580</wp:posOffset>
            </wp:positionV>
            <wp:extent cx="8890"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-178435</wp:posOffset>
            </wp:positionV>
            <wp:extent cx="8890" cy="825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-161290</wp:posOffset>
            </wp:positionV>
            <wp:extent cx="8890"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-144145</wp:posOffset>
            </wp:positionV>
            <wp:extent cx="8890"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-127000</wp:posOffset>
            </wp:positionV>
            <wp:extent cx="8890" cy="8890"/>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-109855</wp:posOffset>
            </wp:positionV>
            <wp:extent cx="8890"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-92710</wp:posOffset>
            </wp:positionV>
            <wp:extent cx="8890"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-75565</wp:posOffset>
            </wp:positionV>
            <wp:extent cx="8890"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-58420</wp:posOffset>
            </wp:positionV>
            <wp:extent cx="8890"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-41275</wp:posOffset>
            </wp:positionV>
            <wp:extent cx="8890" cy="8890"/>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-24130</wp:posOffset>
            </wp:positionV>
            <wp:extent cx="8890"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-6985</wp:posOffset>
            </wp:positionV>
            <wp:extent cx="8890"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9525</wp:posOffset>
            </wp:positionV>
            <wp:extent cx="8890"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26670</wp:posOffset>
            </wp:positionV>
            <wp:extent cx="8890"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43815</wp:posOffset>
            </wp:positionV>
            <wp:extent cx="8890" cy="8890"/>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60960</wp:posOffset>
            </wp:positionV>
            <wp:extent cx="8890"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78105</wp:posOffset>
            </wp:positionV>
            <wp:extent cx="8890"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95250</wp:posOffset>
            </wp:positionV>
            <wp:extent cx="8890"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112395</wp:posOffset>
            </wp:positionV>
            <wp:extent cx="8890"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5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9"/>
          <w:szCs w:val="19"/>
          <w:b w:val="1"/>
          <w:bCs w:val="1"/>
          <w:i w:val="1"/>
          <w:iCs w:val="1"/>
          <w:color w:val="auto"/>
        </w:rPr>
        <w:t>Pesertadengan ini membenarkan Syarikat, Morgan Stanley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Peserta dalam Pelan. Peserta memahami bahawa Data hanya akan disimpan untuk tempoh yang diperlukan untuk melaksana, mentadbir, dan mengurus penyertaan Peserta dalam Pelan. Peserta memahami bahawa Peserta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Peserta memahami bahawa Peserta memberikan persetujuan di sini secara sukarela. Jikalau, Peserta tidak bersetuju, atau sekiranaya Peserta kemudiannya membatalkan persetujuannya, status Pesertaan atau perkhidmatan dan kerjaya Peserta dengan Majikan tidak akan terjejas; satu-satunya akibat jika Peserta tidak bersetuju atau menarik balik persetujuan Peserta adalah bahawa Syarikat tidak akan dapat memberikan kepada Peserta opsyen atau anugerah-anugerah ekuiti yang lain atau mentadbir atau mengekalkan anugerah tersebut. Peserta turut memahami bahawa pihak Syarikat tidak mempunyai sebarang kewajiban untuk menggantikan bentuk anugerah yang lain atau memberikan sebarang bentuk kompensasi sebagai pengganti opsyen disebabkan keengganan atau penarikan balik persetujuan Peserta. Oleh kerana itu, Peserta memahami bahawa keengganan atau penarikan balik persetujuan Peserta boleh menjejaskan keupayaan Peserta untuk mengambil bahagian dalam Pelan. Untuk maklumat lanjut mengenai akibat keengganan Peserta untuk memberikan keizinan atau penarikan balik keizinan, Peserta memahami bahawa Peserta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-6112510</wp:posOffset>
            </wp:positionV>
            <wp:extent cx="3600450" cy="6437630"/>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2">
                      <a:extLst>
                        <a:ext uri="{28A0092B-C50C-407E-A947-70E740481C1C}"/>
                      </a:extLst>
                    </a:blip>
                    <a:srcRect/>
                    <a:stretch>
                      <a:fillRect/>
                    </a:stretch>
                  </pic:blipFill>
                  <pic:spPr bwMode="auto">
                    <a:xfrm>
                      <a:off x="0" y="0"/>
                      <a:ext cx="3600450" cy="6437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160"/>
            <w:col w:w="5520"/>
          </w:cols>
          <w:pgMar w:left="320" w:top="26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180"/>
          </w:cols>
          <w:pgMar w:left="320" w:top="261" w:right="399" w:bottom="1440" w:gutter="0" w:footer="0" w:header="0"/>
          <w:type w:val="continuous"/>
        </w:sect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pacing w:after="0" w:line="20" w:lineRule="exact"/>
        <w:rPr>
          <w:sz w:val="20"/>
          <w:szCs w:val="20"/>
          <w:color w:val="auto"/>
        </w:rPr>
      </w:pPr>
    </w:p>
    <w:p>
      <w:pPr>
        <w:sectPr>
          <w:pgSz w:w="11900" w:h="16838" w:orient="portrait"/>
          <w:cols w:equalWidth="0" w:num="1">
            <w:col w:w="11180"/>
          </w:cols>
          <w:pgMar w:left="320" w:top="261" w:right="399" w:bottom="1440" w:gutter="0" w:footer="0" w:header="0"/>
          <w:type w:val="continuous"/>
        </w:sectPr>
      </w:pPr>
    </w:p>
    <w:bookmarkStart w:id="141" w:name="page142"/>
    <w:bookmarkEnd w:id="141"/>
    <w:p>
      <w:pPr>
        <w:spacing w:after="0" w:line="200" w:lineRule="exact"/>
        <w:rPr>
          <w:sz w:val="20"/>
          <w:szCs w:val="20"/>
          <w:color w:val="auto"/>
        </w:rPr>
      </w:pPr>
    </w:p>
    <w:p>
      <w:pPr>
        <w:spacing w:after="0" w:line="255"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Exchange Control Compliance. </w:t>
      </w:r>
      <w:r>
        <w:rPr>
          <w:rFonts w:ascii="Times New Roman" w:cs="Times New Roman" w:eastAsia="Times New Roman" w:hAnsi="Times New Roman"/>
          <w:sz w:val="20"/>
          <w:szCs w:val="20"/>
          <w:color w:val="auto"/>
        </w:rPr>
        <w:t>If requested by the Company, the Participant or any third party designated by the Company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 the Participant must execute and return a compliance declaration related to the Participant’s foreign investments to such person, as provided by the Company or the Employer in order to participate in the Plan. The Participant understands that failure to do so may prevent the Participant from being able to participate in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Obligation. </w:t>
      </w:r>
      <w:r>
        <w:rPr>
          <w:rFonts w:ascii="Times New Roman" w:cs="Times New Roman" w:eastAsia="Times New Roman" w:hAnsi="Times New Roman"/>
          <w:sz w:val="20"/>
          <w:szCs w:val="20"/>
          <w:color w:val="auto"/>
        </w:rPr>
        <w:t>If the Participant is a director of the Company’s Malaysian subsidiary or affiliate, the Participant is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certain notification requirements under the Malaysian Companies Act. Among these requirements is an obligation to notify the Malaysian subsidiary or affiliate in writing when the Participant receives or disposes of an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LTI Grants or shares of Common Stock) in the Company or any related company. Such notifications must be made within 14 days of receiving or disposing of any interest in the Company or any related company.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MEXICO</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70"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20"/>
          <w:szCs w:val="20"/>
          <w:b w:val="1"/>
          <w:bCs w:val="1"/>
          <w:color w:val="auto"/>
        </w:rPr>
        <w:t xml:space="preserve">Labor Law Policy. </w:t>
      </w:r>
      <w:r>
        <w:rPr>
          <w:rFonts w:ascii="Times New Roman" w:cs="Times New Roman" w:eastAsia="Times New Roman" w:hAnsi="Times New Roman"/>
          <w:sz w:val="20"/>
          <w:szCs w:val="20"/>
          <w:color w:val="auto"/>
        </w:rPr>
        <w:t>In participating in the Plan and receiving this LTI Grant, the Participant expressly recognizes that Mondelēz</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International, Inc., with registered offices at 905 West Fulton Market, Suite 200, Chicago, Illinois 60607, U.S.A., is solely responsible for the administration of the Plan and that the Participant’s participation in the Plan and acquisition of shares of Common Stock do not constitute an employment relationship between the Participant and Mondelēz International, Inc. since the Participant is participating in the Plan on a wholly commercial basis and their sole Employer is Mondelēz México, S. de R.L. de C.V., located at Av. 18 de Noviembre 1028, Camino a Manzanilla, Heroica Puebla de Zaragoza, Puebla, C.P. 72304. Based on the foregoing, the Participant expressly recognizes that the Plan and the benefits that he or she may derive from participating in the Plan do not establish any rights between the Participant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Participant’s employment.</w:t>
      </w:r>
    </w:p>
    <w:p>
      <w:pPr>
        <w:spacing w:after="0" w:line="182" w:lineRule="exact"/>
        <w:rPr>
          <w:sz w:val="20"/>
          <w:szCs w:val="20"/>
          <w:color w:val="auto"/>
        </w:rPr>
      </w:pPr>
    </w:p>
    <w:p>
      <w:pPr>
        <w:ind w:right="380"/>
        <w:spacing w:after="0" w:line="303" w:lineRule="auto"/>
        <w:rPr>
          <w:sz w:val="20"/>
          <w:szCs w:val="20"/>
          <w:color w:val="auto"/>
        </w:rPr>
      </w:pPr>
      <w:r>
        <w:rPr>
          <w:rFonts w:ascii="Times New Roman" w:cs="Times New Roman" w:eastAsia="Times New Roman" w:hAnsi="Times New Roman"/>
          <w:sz w:val="20"/>
          <w:szCs w:val="20"/>
          <w:color w:val="auto"/>
        </w:rPr>
        <w:t>The Participant further understands that their participation in the Plan is as a result of a unilateral and discretionary decision of Mondelēz International, Inc.; therefore, Mondelēz International, Inc. reserves the absolute right to amend and/or discontinue the Participant’s participation at any time without any liability to the Participant.</w:t>
      </w:r>
    </w:p>
    <w:p>
      <w:pPr>
        <w:spacing w:after="0" w:line="164" w:lineRule="exact"/>
        <w:rPr>
          <w:sz w:val="20"/>
          <w:szCs w:val="20"/>
          <w:color w:val="auto"/>
        </w:rPr>
      </w:pPr>
    </w:p>
    <w:p>
      <w:pPr>
        <w:ind w:right="520"/>
        <w:spacing w:after="0" w:line="305" w:lineRule="auto"/>
        <w:rPr>
          <w:sz w:val="20"/>
          <w:szCs w:val="20"/>
          <w:color w:val="auto"/>
        </w:rPr>
      </w:pPr>
      <w:r>
        <w:rPr>
          <w:rFonts w:ascii="Times New Roman" w:cs="Times New Roman" w:eastAsia="Times New Roman" w:hAnsi="Times New Roman"/>
          <w:sz w:val="20"/>
          <w:szCs w:val="20"/>
          <w:b w:val="1"/>
          <w:bCs w:val="1"/>
          <w:color w:val="auto"/>
        </w:rPr>
        <w:t>Plan Document Acknowledgment</w:t>
      </w:r>
      <w:r>
        <w:rPr>
          <w:rFonts w:ascii="Times New Roman" w:cs="Times New Roman" w:eastAsia="Times New Roman" w:hAnsi="Times New Roman"/>
          <w:sz w:val="20"/>
          <w:szCs w:val="20"/>
          <w:color w:val="auto"/>
        </w:rPr>
        <w:t>. By accepting the LTI Grant, the Participant acknowledges that he or she has received copies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has reviewed the Plan and the Agreement in their entirety and fully understands and accepts all provisions of the Plan and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39</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42" w:name="page143"/>
    <w:bookmarkEnd w:id="142"/>
    <w:p>
      <w:pPr>
        <w:ind w:right="380"/>
        <w:spacing w:after="0" w:line="293" w:lineRule="auto"/>
        <w:rPr>
          <w:sz w:val="20"/>
          <w:szCs w:val="20"/>
          <w:color w:val="auto"/>
        </w:rPr>
      </w:pPr>
      <w:r>
        <w:rPr>
          <w:rFonts w:ascii="Times New Roman" w:cs="Times New Roman" w:eastAsia="Times New Roman" w:hAnsi="Times New Roman"/>
          <w:sz w:val="20"/>
          <w:szCs w:val="20"/>
          <w:color w:val="auto"/>
        </w:rPr>
        <w:t>In addition, by accepting the Agreement, the Participant further acknowledges that he or she has read and specifically and expressly approves the terms and conditions in paragraph 9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LTI Grant.</w:t>
      </w:r>
    </w:p>
    <w:p>
      <w:pPr>
        <w:spacing w:after="0" w:line="178"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20"/>
          <w:szCs w:val="20"/>
          <w:color w:val="auto"/>
        </w:rPr>
        <w:t>Finally, the Participant hereby declares that he or she does not reserve to him- or herself any action or right to bring any claim against Mondelēz International, Inc. for any compensation or damages regarding any provision of the Plan or the benefits derived under the Plan, and the Participant therefore grants a full and broad release to Mondelēz International, Inc., its affiliates, branches, representation offices, its shareholders, officers, agents or legal representatives with respect to any claim that may arise.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TÉRMINOS Y CONDICIONES</w:t>
      </w:r>
    </w:p>
    <w:p>
      <w:pPr>
        <w:spacing w:after="0" w:line="256" w:lineRule="exact"/>
        <w:rPr>
          <w:sz w:val="20"/>
          <w:szCs w:val="20"/>
          <w:color w:val="auto"/>
        </w:rPr>
      </w:pPr>
    </w:p>
    <w:p>
      <w:pPr>
        <w:ind w:right="20"/>
        <w:spacing w:after="0" w:line="308" w:lineRule="auto"/>
        <w:rPr>
          <w:sz w:val="20"/>
          <w:szCs w:val="20"/>
          <w:color w:val="auto"/>
        </w:rPr>
      </w:pPr>
      <w:r>
        <w:rPr>
          <w:rFonts w:ascii="Times New Roman" w:cs="Times New Roman" w:eastAsia="Times New Roman" w:hAnsi="Times New Roman"/>
          <w:sz w:val="19"/>
          <w:szCs w:val="19"/>
          <w:b w:val="1"/>
          <w:bCs w:val="1"/>
          <w:color w:val="auto"/>
        </w:rPr>
        <w:t xml:space="preserve">Política Laboral y Reconocimiento/Aceptación. </w:t>
      </w:r>
      <w:r>
        <w:rPr>
          <w:rFonts w:ascii="Times New Roman" w:cs="Times New Roman" w:eastAsia="Times New Roman" w:hAnsi="Times New Roman"/>
          <w:sz w:val="19"/>
          <w:szCs w:val="19"/>
          <w:color w:val="auto"/>
        </w:rPr>
        <w:t>Al participar en el Plan LTI y recibir el Premio LTIP, el Participante expresamente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reconoce que Mondelēz International, Inc., con domicilio registrado ubicado en 905 West Fulton Market, Suite 200, Chicago, Illinois 60607, U.S.A., es la única responsable por la administración del Plan LTI y que la participación del Participante en el Plan LTI y en su caso la adquisición de las Acciones no constituye ni podrá constituir en ningún momento una relación de trabajo entre el Participante y Mondelēz International, Inc., ya que el Participante participa en el Plan LTI en un marco totalmente comercial y su único Patrón lo es Mondelēz México, S. de R.L. de C.V., con domicilio ubicado en Avenida Santa Fe 485, Piso 7, Colonia Cruz Manca, Mexico City, C.P. 05349 Mexico. Derivado de lo anterior, el Participante expresamente reconoce que el Plan LTI y los beneficios que pudieran derivar de la participación en el mismo no establecen derecho alguno entre el Participante y el Patrón, Mondelēz México, S. de R.L. de C.V., y no forma parte de las condiciones de trabajo y/o las prestaciones otorgadas por Mondelēz México, S. de R.L. de C.V., y que cualquier modificación al Plan LTI o su terminación no constituye un cambio o impedimento de los términos y condiciones de la relación de trabajo del Participante.</w:t>
      </w:r>
    </w:p>
    <w:p>
      <w:pPr>
        <w:spacing w:after="0" w:line="170" w:lineRule="exact"/>
        <w:rPr>
          <w:sz w:val="20"/>
          <w:szCs w:val="20"/>
          <w:color w:val="auto"/>
        </w:rPr>
      </w:pPr>
    </w:p>
    <w:p>
      <w:pPr>
        <w:ind w:right="580"/>
        <w:spacing w:after="0" w:line="303" w:lineRule="auto"/>
        <w:rPr>
          <w:sz w:val="20"/>
          <w:szCs w:val="20"/>
          <w:color w:val="auto"/>
        </w:rPr>
      </w:pPr>
      <w:r>
        <w:rPr>
          <w:rFonts w:ascii="Times New Roman" w:cs="Times New Roman" w:eastAsia="Times New Roman" w:hAnsi="Times New Roman"/>
          <w:sz w:val="20"/>
          <w:szCs w:val="20"/>
          <w:color w:val="auto"/>
        </w:rPr>
        <w:t>De igual manera, el Participante entiende que su participación en el Plan LTI es resultado de una decisión unilateral y discrecional de Mondelēz International, Inc.; por lo tanto, Mondelēz International, Inc. se reserva el absoluto derecho de modificar y/o terminar la participación del Participante en cualquier momento, sin responsabilidad alguna frente el Participante.</w:t>
      </w:r>
    </w:p>
    <w:p>
      <w:pPr>
        <w:spacing w:after="0" w:line="16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b w:val="1"/>
          <w:bCs w:val="1"/>
          <w:color w:val="auto"/>
        </w:rPr>
        <w:t>Reconocimiento del Plan de Documentos</w:t>
      </w:r>
      <w:r>
        <w:rPr>
          <w:rFonts w:ascii="Times New Roman" w:cs="Times New Roman" w:eastAsia="Times New Roman" w:hAnsi="Times New Roman"/>
          <w:sz w:val="20"/>
          <w:szCs w:val="20"/>
          <w:color w:val="auto"/>
        </w:rPr>
        <w:t>. Al aceptar el Premio LTIP, el Participante reconoce que ha recibido copias del Plan LTI, que ha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revisado el Plan LTI y el Acuerdo en su totalidad y que entiende y acepta completamente todas las disposiciones contenidas en el Plan LTI y en el Acuerdo.</w:t>
      </w:r>
    </w:p>
    <w:p>
      <w:pPr>
        <w:spacing w:after="0" w:line="167" w:lineRule="exact"/>
        <w:rPr>
          <w:sz w:val="20"/>
          <w:szCs w:val="20"/>
          <w:color w:val="auto"/>
        </w:rPr>
      </w:pPr>
    </w:p>
    <w:p>
      <w:pPr>
        <w:ind w:right="660"/>
        <w:spacing w:after="0" w:line="325" w:lineRule="auto"/>
        <w:rPr>
          <w:sz w:val="20"/>
          <w:szCs w:val="20"/>
          <w:color w:val="auto"/>
        </w:rPr>
      </w:pPr>
      <w:r>
        <w:rPr>
          <w:rFonts w:ascii="Times New Roman" w:cs="Times New Roman" w:eastAsia="Times New Roman" w:hAnsi="Times New Roman"/>
          <w:sz w:val="20"/>
          <w:szCs w:val="20"/>
          <w:color w:val="auto"/>
        </w:rPr>
        <w:t>Adicionalmente, al firmar el Acuerdo, el Participante reconoce que ha leído y que aprueba específica y expresamente los términos y condiciones contenidos en el párrafo 9 del Acuerdo ( “La Naturaleza 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40</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20"/>
          </w:cols>
          <w:pgMar w:left="320" w:top="1440" w:right="459" w:bottom="1440" w:gutter="0" w:footer="0" w:header="0"/>
        </w:sectPr>
      </w:pPr>
    </w:p>
    <w:bookmarkStart w:id="143" w:name="page144"/>
    <w:bookmarkEnd w:id="143"/>
    <w:p>
      <w:pPr>
        <w:ind w:right="340"/>
        <w:spacing w:after="0" w:line="316" w:lineRule="auto"/>
        <w:rPr>
          <w:sz w:val="20"/>
          <w:szCs w:val="20"/>
          <w:color w:val="auto"/>
        </w:rPr>
      </w:pPr>
      <w:r>
        <w:rPr>
          <w:rFonts w:ascii="Times New Roman" w:cs="Times New Roman" w:eastAsia="Times New Roman" w:hAnsi="Times New Roman"/>
          <w:sz w:val="19"/>
          <w:szCs w:val="19"/>
          <w:color w:val="auto"/>
        </w:rPr>
        <w:t>Otorgamiento”) en el cual se encuentra claramente descrito y establecido lo siguiente: (i) la participación en el Plan LTI no constituye un derecho adquirido; (ii) el Plan LTI y la participación en el mismo es ofrecido por Mondelēz International, Inc.de forma completamente discrecional; (iii) la participación en el Plan LTI es voluntaria; y (iv) ni Mondelēz International, Inc. ni de cualqiuer Sociedad controlante, Subsidiaria o Filial son responsables por ninguna disminución en el valor de las Acciones subyacentes del Plan LTI.</w:t>
      </w:r>
    </w:p>
    <w:p>
      <w:pPr>
        <w:spacing w:after="0" w:line="172"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Finalmente, el Participante por este medio declara que no se reserve derecho o acción alguna que ejercitar en contra de Mondelēz International, Inc. por cualquier compensación o daño en relación con las disposiciones del Plan LTI o de los beneficios derivados del mismo y por lo tanto, el Participante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7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The LTI Grants and the shares of Common Stock offered under the Plan have not been registered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National Register of Securities maintained by the Mexican National Banking and Securities Commission and cannot be offered or sold publicly in Mexico. In addition, the Plan, the Agreement and any other document relating to the LTI Grants may not be publicly distributed in Mexico. These materials are addressed to the Participant only because of the Participant’s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MOROCCO</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70" w:lineRule="exact"/>
        <w:rPr>
          <w:sz w:val="20"/>
          <w:szCs w:val="20"/>
          <w:color w:val="auto"/>
        </w:rPr>
      </w:pPr>
    </w:p>
    <w:p>
      <w:pPr>
        <w:ind w:right="400"/>
        <w:spacing w:after="0" w:line="320" w:lineRule="auto"/>
        <w:rPr>
          <w:sz w:val="20"/>
          <w:szCs w:val="20"/>
          <w:color w:val="auto"/>
        </w:rPr>
      </w:pPr>
      <w:r>
        <w:rPr>
          <w:rFonts w:ascii="Times New Roman" w:cs="Times New Roman" w:eastAsia="Times New Roman" w:hAnsi="Times New Roman"/>
          <w:sz w:val="19"/>
          <w:szCs w:val="19"/>
          <w:b w:val="1"/>
          <w:bCs w:val="1"/>
          <w:color w:val="auto"/>
        </w:rPr>
        <w:t xml:space="preserve">LTI Grant Payable Only in Cash. </w:t>
      </w:r>
      <w:r>
        <w:rPr>
          <w:rFonts w:ascii="Times New Roman" w:cs="Times New Roman" w:eastAsia="Times New Roman" w:hAnsi="Times New Roman"/>
          <w:sz w:val="19"/>
          <w:szCs w:val="19"/>
          <w:color w:val="auto"/>
        </w:rPr>
        <w:t>Notwithstanding any discretion in the Plan or anything to the contrary in the Agreement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paragraph 4 of the Agreement), the LTI Grant does not provide any right for the Participant to receive shares of Common Stock. The LTI Grant made to the Participant in Morocco shall be paid in cash in an amount equal to the cash equivalent value of the LTI Award Payout.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NETHERLANDS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NEW ZEALAND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41</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0" w:lineRule="exact"/>
        <w:rPr>
          <w:sz w:val="20"/>
          <w:szCs w:val="20"/>
          <w:color w:val="auto"/>
        </w:rPr>
      </w:pPr>
    </w:p>
    <w:p>
      <w:pPr>
        <w:ind w:right="80"/>
        <w:spacing w:after="0" w:line="326"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WARNING: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The Participant is being offered the LTI Grant which allows the Participant to acquire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Common Stock in accordance with the terms of the Plan and the Agreement. The shares of Common Stock, if issued, give the Participant a stake in the ownership of the Company. The Participant may receive a return if dividends are paid.</w:t>
      </w:r>
    </w:p>
    <w:p>
      <w:pPr>
        <w:spacing w:after="0" w:line="197" w:lineRule="exact"/>
        <w:rPr>
          <w:sz w:val="20"/>
          <w:szCs w:val="20"/>
          <w:color w:val="auto"/>
        </w:rPr>
      </w:pPr>
    </w:p>
    <w:p>
      <w:pPr>
        <w:ind w:right="100"/>
        <w:spacing w:after="0" w:line="329" w:lineRule="auto"/>
        <w:rPr>
          <w:sz w:val="20"/>
          <w:szCs w:val="20"/>
          <w:color w:val="auto"/>
        </w:rPr>
      </w:pPr>
      <w:r>
        <w:rPr>
          <w:rFonts w:ascii="Times New Roman" w:cs="Times New Roman" w:eastAsia="Times New Roman" w:hAnsi="Times New Roman"/>
          <w:sz w:val="20"/>
          <w:szCs w:val="20"/>
          <w:i w:val="1"/>
          <w:iCs w:val="1"/>
          <w:color w:val="auto"/>
        </w:rPr>
        <w:t>If the Company runs into financial difficulties and is wound up, the Participant will be paid only after all creditors and holders of preferred shares have been paid. The Participant may lose some or all of their investment.</w:t>
      </w:r>
    </w:p>
    <w:p>
      <w:pPr>
        <w:spacing w:after="0" w:line="193" w:lineRule="exact"/>
        <w:rPr>
          <w:sz w:val="20"/>
          <w:szCs w:val="20"/>
          <w:color w:val="auto"/>
        </w:rPr>
      </w:pPr>
    </w:p>
    <w:p>
      <w:pPr>
        <w:ind w:right="40"/>
        <w:spacing w:after="0" w:line="343" w:lineRule="auto"/>
        <w:rPr>
          <w:sz w:val="20"/>
          <w:szCs w:val="20"/>
          <w:color w:val="auto"/>
        </w:rPr>
      </w:pPr>
      <w:r>
        <w:rPr>
          <w:rFonts w:ascii="Times New Roman" w:cs="Times New Roman" w:eastAsia="Times New Roman" w:hAnsi="Times New Roman"/>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66" w:lineRule="exact"/>
        <w:rPr>
          <w:sz w:val="20"/>
          <w:szCs w:val="20"/>
          <w:color w:val="auto"/>
        </w:rPr>
      </w:pPr>
    </w:p>
    <w:p>
      <w:pPr>
        <w:ind w:right="80"/>
        <w:spacing w:after="0" w:line="343" w:lineRule="auto"/>
        <w:rPr>
          <w:sz w:val="20"/>
          <w:szCs w:val="20"/>
          <w:color w:val="auto"/>
        </w:rPr>
      </w:pPr>
      <w:r>
        <w:rPr>
          <w:rFonts w:ascii="Times New Roman" w:cs="Times New Roman" w:eastAsia="Times New Roman" w:hAnsi="Times New Roman"/>
          <w:sz w:val="20"/>
          <w:szCs w:val="20"/>
          <w:i w:val="1"/>
          <w:iCs w:val="1"/>
          <w:color w:val="auto"/>
        </w:rPr>
        <w:t>The usual rules do not apply to this offer because it is made under an employee share purchase scheme. As a result, the Participant may not be given all the information usually required. The Participant will also have fewer other legal protections for this investment.</w:t>
      </w:r>
    </w:p>
    <w:p>
      <w:pPr>
        <w:spacing w:after="0" w:line="166" w:lineRule="exact"/>
        <w:rPr>
          <w:sz w:val="20"/>
          <w:szCs w:val="20"/>
          <w:color w:val="auto"/>
        </w:rPr>
      </w:pPr>
    </w:p>
    <w:p>
      <w:pPr>
        <w:ind w:right="60"/>
        <w:spacing w:after="0" w:line="329" w:lineRule="auto"/>
        <w:rPr>
          <w:sz w:val="20"/>
          <w:szCs w:val="20"/>
          <w:color w:val="auto"/>
        </w:rPr>
      </w:pPr>
      <w:r>
        <w:rPr>
          <w:rFonts w:ascii="Times New Roman" w:cs="Times New Roman" w:eastAsia="Times New Roman" w:hAnsi="Times New Roman"/>
          <w:sz w:val="20"/>
          <w:szCs w:val="20"/>
          <w:i w:val="1"/>
          <w:iCs w:val="1"/>
          <w:color w:val="auto"/>
        </w:rPr>
        <w:t>The Participant understands that he or she should ask questions, read all documents carefully, and seek independent financial advice before participating in the Plan.</w:t>
      </w:r>
    </w:p>
    <w:p>
      <w:pPr>
        <w:spacing w:after="0" w:line="179" w:lineRule="exact"/>
        <w:rPr>
          <w:sz w:val="20"/>
          <w:szCs w:val="20"/>
          <w:color w:val="auto"/>
        </w:rPr>
      </w:pPr>
    </w:p>
    <w:p>
      <w:pPr>
        <w:spacing w:after="0" w:line="319" w:lineRule="auto"/>
        <w:rPr>
          <w:sz w:val="20"/>
          <w:szCs w:val="20"/>
          <w:color w:val="auto"/>
        </w:rPr>
      </w:pPr>
      <w:r>
        <w:rPr>
          <w:rFonts w:ascii="Times New Roman" w:cs="Times New Roman" w:eastAsia="Times New Roman" w:hAnsi="Times New Roman"/>
          <w:sz w:val="20"/>
          <w:szCs w:val="20"/>
          <w:i w:val="1"/>
          <w:iCs w:val="1"/>
          <w:color w:val="auto"/>
        </w:rPr>
        <w:t>The shares of Common Stock are quoted and approved for trading on the Nasdaq Global Select Market in the United States of America. This means that, if the Participant acquires shares of Common Stock under the Plan, the Participant may be able to sell their investment on the Nasdaq if there are interested buyers. The price will depend on the demand for the shares of Common Stock.</w:t>
      </w:r>
    </w:p>
    <w:p>
      <w:pPr>
        <w:spacing w:after="0" w:line="190"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20"/>
          <w:szCs w:val="20"/>
          <w:i w:val="1"/>
          <w:iCs w:val="1"/>
          <w:color w:val="auto"/>
        </w:rPr>
        <w:t xml:space="preserve">For information on risk factors impacting the Company’s business that may affect the value of the shares of Common Stock, the Participant should refer to the risk factors discussion in the Company’s Annual Report on Form 10-K and Quarterly Reports on Form 10-Q, which are filed with the U.S. Securities and Exchange Commission and are available online at </w:t>
      </w:r>
      <w:r>
        <w:rPr>
          <w:rFonts w:ascii="Times New Roman" w:cs="Times New Roman" w:eastAsia="Times New Roman" w:hAnsi="Times New Roman"/>
          <w:sz w:val="20"/>
          <w:szCs w:val="20"/>
          <w:i w:val="1"/>
          <w:iCs w:val="1"/>
          <w:color w:val="0000FF"/>
        </w:rPr>
        <w:t>www.sec.gov</w:t>
      </w:r>
      <w:r>
        <w:rPr>
          <w:rFonts w:ascii="Times New Roman" w:cs="Times New Roman" w:eastAsia="Times New Roman" w:hAnsi="Times New Roman"/>
          <w:sz w:val="20"/>
          <w:szCs w:val="20"/>
          <w:i w:val="1"/>
          <w:iCs w:val="1"/>
          <w:color w:val="auto"/>
        </w:rPr>
        <w:t xml:space="preserve">, as well as on the Company’s website at </w:t>
      </w:r>
      <w:r>
        <w:rPr>
          <w:rFonts w:ascii="Times New Roman" w:cs="Times New Roman" w:eastAsia="Times New Roman" w:hAnsi="Times New Roman"/>
          <w:sz w:val="20"/>
          <w:szCs w:val="20"/>
          <w:color w:val="0000FF"/>
        </w:rPr>
        <w:t>http://ir.mondelezinternational.com/sec.cfm</w:t>
      </w:r>
      <w:r>
        <w:rPr>
          <w:rFonts w:ascii="Times New Roman" w:cs="Times New Roman" w:eastAsia="Times New Roman" w:hAnsi="Times New Roman"/>
          <w:sz w:val="20"/>
          <w:szCs w:val="20"/>
          <w:color w:val="000000"/>
        </w:rPr>
        <w:t>.</w:t>
      </w:r>
    </w:p>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NIGERIA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NORWAY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20"/>
        <w:spacing w:after="0" w:line="315"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In general, Norwegian residents should not be subject to any foreign exchange requirements in connection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acquisition or sale of shares of Common Stock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42</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60"/>
          </w:cols>
          <w:pgMar w:left="320" w:top="1440" w:right="419" w:bottom="1440" w:gutter="0" w:footer="0" w:header="0"/>
        </w:sectPr>
      </w:pPr>
    </w:p>
    <w:bookmarkStart w:id="145" w:name="page146"/>
    <w:bookmarkEnd w:id="145"/>
    <w:p>
      <w:pPr>
        <w:ind w:right="560"/>
        <w:spacing w:after="0" w:line="311" w:lineRule="auto"/>
        <w:rPr>
          <w:sz w:val="20"/>
          <w:szCs w:val="20"/>
          <w:color w:val="auto"/>
        </w:rPr>
      </w:pPr>
      <w:r>
        <w:rPr>
          <w:rFonts w:ascii="Times New Roman" w:cs="Times New Roman" w:eastAsia="Times New Roman" w:hAnsi="Times New Roman"/>
          <w:sz w:val="20"/>
          <w:szCs w:val="20"/>
          <w:color w:val="auto"/>
        </w:rPr>
        <w:t>Plan, except normal reporting requirements to the Norwegian Currency Registry. If the transfer of funds into or out of Norway is made through a Norwegian bank, the bank will make the registration.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PAKISTAN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70"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9"/>
          <w:szCs w:val="19"/>
          <w:b w:val="1"/>
          <w:bCs w:val="1"/>
          <w:color w:val="auto"/>
        </w:rPr>
        <w:t xml:space="preserve">Forced Sale of Shares. </w:t>
      </w:r>
      <w:r>
        <w:rPr>
          <w:rFonts w:ascii="Times New Roman" w:cs="Times New Roman" w:eastAsia="Times New Roman" w:hAnsi="Times New Roman"/>
          <w:sz w:val="19"/>
          <w:szCs w:val="19"/>
          <w:color w:val="auto"/>
        </w:rPr>
        <w:t>The Company reserves the right to force the immediate sale of the shares of Common Stock to be issued upon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vesting and settlement of the LTI Award. If applicable, the Participant agrees that the Company is authorized to instruct its designated broker, on behalf of the Participant, to assist with the mandatory sale of such shares of Common Stock and the Participant expressly authorizes the Company’s designated broker to complete the sale of such shares of Common Stock. The Participant expressly acknowledges that the Company’s designated broker is under no obligation to arrange for the sale of shares of Common Stock at any particular price. Upon the sale of shares of Common Stock, the Participant shall receive the cash proceeds from the sale of shares of Common Stock, less any brokerage fees or commissions and subject to any obligation to satisfy Tax-Related Items. The Participant also acknowledges that the Participant is unaware of any material non-public information with respect to the Company or any securities of the Company as of the date of the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Participant is required immediately to repatriate to Pakistan the proceeds from the sale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acquired from participation in Plan, including the proceeds from the sale of Common Stock acquired upon the LTI Award Payout. The proceeds must be converted into local currency and the receipt of proceeds must be reported to the State Bank of Pakistan (the “</w:t>
      </w:r>
      <w:r>
        <w:rPr>
          <w:rFonts w:ascii="Times New Roman" w:cs="Times New Roman" w:eastAsia="Times New Roman" w:hAnsi="Times New Roman"/>
          <w:sz w:val="20"/>
          <w:szCs w:val="20"/>
          <w:u w:val="single" w:color="auto"/>
          <w:color w:val="auto"/>
        </w:rPr>
        <w:t>SBP</w:t>
      </w:r>
      <w:r>
        <w:rPr>
          <w:rFonts w:ascii="Times New Roman" w:cs="Times New Roman" w:eastAsia="Times New Roman" w:hAnsi="Times New Roman"/>
          <w:sz w:val="20"/>
          <w:szCs w:val="20"/>
          <w:color w:val="auto"/>
        </w:rPr>
        <w:t>”) by filing a “Proceeds Realization Certificate” issued by the bank converting the proceeds with the SBP. The repatriated amounts cannot be credited to a foreign currency account. The Participant should consult his or her personal advisor prior to repatriation of the sale proceeds to ensure compliance with applicable exchange control regulations in Pakistan, as such regulations are subject to frequent change. The Participant is responsible for ensuring compliance with all exchange control laws in Pakistan.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PANAMA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160"/>
        <w:spacing w:after="0" w:line="329"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Neither the LTI Grant nor any shares of Common Stock that the Participant may acquire at vesting of the LTI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constitute a public offering of securities, as they are available only to eligible employees of the Mondelēz Group.</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PERU</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43</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b w:val="1"/>
          <w:bCs w:val="1"/>
          <w:color w:val="auto"/>
        </w:rPr>
        <w:t xml:space="preserve">Labor Law Acknowledgement. </w:t>
      </w:r>
      <w:r>
        <w:rPr>
          <w:rFonts w:ascii="Times New Roman" w:cs="Times New Roman" w:eastAsia="Times New Roman" w:hAnsi="Times New Roman"/>
          <w:sz w:val="20"/>
          <w:szCs w:val="20"/>
          <w:color w:val="auto"/>
        </w:rPr>
        <w:t>The following provision supplements the acknowledgment contained in paragraph 9 of the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By accepting the LTI Grant, the Participant acknowledges, understands and agrees that the LTI Grant is granted </w:t>
      </w:r>
      <w:r>
        <w:rPr>
          <w:rFonts w:ascii="Times New Roman" w:cs="Times New Roman" w:eastAsia="Times New Roman" w:hAnsi="Times New Roman"/>
          <w:sz w:val="19"/>
          <w:szCs w:val="19"/>
          <w:i w:val="1"/>
          <w:iCs w:val="1"/>
          <w:color w:val="auto"/>
        </w:rPr>
        <w:t>ex gratia</w:t>
      </w:r>
      <w:r>
        <w:rPr>
          <w:rFonts w:ascii="Times New Roman" w:cs="Times New Roman" w:eastAsia="Times New Roman" w:hAnsi="Times New Roman"/>
          <w:sz w:val="19"/>
          <w:szCs w:val="19"/>
          <w:color w:val="auto"/>
        </w:rPr>
        <w:t xml:space="preserve"> to the Participant.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LTI Grant is considered a private offering in Peru; therefore, it is not subject to registration. For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information concerning this offer, the Participant should refer to the Plan, the Agreement and any other grant documents made available by the Company. For more information regarding the Company, the Participant may refer to the Company’s most recent annual report on Form 10-K and quarterly report on Form 10-Q available at </w:t>
      </w:r>
      <w:r>
        <w:rPr>
          <w:rFonts w:ascii="Times New Roman" w:cs="Times New Roman" w:eastAsia="Times New Roman" w:hAnsi="Times New Roman"/>
          <w:sz w:val="20"/>
          <w:szCs w:val="20"/>
          <w:u w:val="single" w:color="auto"/>
          <w:color w:val="0000FF"/>
        </w:rPr>
        <w:t>www.sec.gov</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u w:val="single" w:color="auto"/>
          <w:color w:val="auto"/>
        </w:rPr>
        <w:t>PHILIPPINES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20"/>
          <w:szCs w:val="20"/>
          <w:b w:val="1"/>
          <w:bCs w:val="1"/>
          <w:color w:val="auto"/>
        </w:rPr>
        <w:t xml:space="preserve">LTI Grant Payable Only in Cash. </w:t>
      </w:r>
      <w:r>
        <w:rPr>
          <w:rFonts w:ascii="Times New Roman" w:cs="Times New Roman" w:eastAsia="Times New Roman" w:hAnsi="Times New Roman"/>
          <w:sz w:val="20"/>
          <w:szCs w:val="20"/>
          <w:color w:val="auto"/>
        </w:rPr>
        <w:t>Notwithstanding any discretion in the Plan or anything to the contrary in the Agreement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paragraph 4 of the Agreement), the LTI Grant does not provide any right for the Participant to receive shares of Common Stock. The LTI Grant made to the Participant in the Philippines shall be paid in cash in an amount equal to the cash equivalent value of the LTI Award Payout.</w:t>
      </w:r>
    </w:p>
    <w:p>
      <w:pPr>
        <w:spacing w:after="0" w:line="1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u w:val="single" w:color="auto"/>
          <w:color w:val="auto"/>
        </w:rPr>
        <w:t>POLAND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7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Participant transfers funds in excess of €15,000 (or PLN 15,000 if the transfer of funds is connected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business activity of an entrepreneur) in connection with the sale of shares of Common Stock or the receipt of dividends or dividend equivalents under the Plan, the funds must be transferred via a Polish bank account. The Participant is required to retain the documents connected with a foreign exchange transaction for a period of five (5) years, as measured from the end of the year in which such transaction occurred. Penalties may apply for failure to comply with exchange control requirements.</w:t>
      </w:r>
    </w:p>
    <w:p>
      <w:pPr>
        <w:spacing w:after="0" w:line="189"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Polish residents holding foreign securities (e.g., shares of Common Stock)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maintaining accounts abroad must report information to the National Bank of Poland on transactions and balances of the securities and cash deposited in such accounts if the value of such securities and cash (when combined with all other assets possessed abroad) exceeds PLN 7 million. If required, the reports must be filed on a quarterly basis on special forms that are available on the website of the National Bank of Poland. The Participant should consult with their personal legal advisor to determine their personal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rPr>
        <w:t>44</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00"/>
          </w:cols>
          <w:pgMar w:left="320" w:top="1436" w:right="479" w:bottom="1440" w:gutter="0" w:footer="0" w:header="0"/>
        </w:sectPr>
      </w:pPr>
    </w:p>
    <w:bookmarkStart w:id="147" w:name="page148"/>
    <w:bookmarkEnd w:id="147"/>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PORTUGAL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70" w:lineRule="exact"/>
        <w:rPr>
          <w:sz w:val="20"/>
          <w:szCs w:val="20"/>
          <w:color w:val="auto"/>
        </w:rPr>
      </w:pPr>
    </w:p>
    <w:p>
      <w:pPr>
        <w:ind w:right="560"/>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Language Consent. </w:t>
      </w:r>
      <w:r>
        <w:rPr>
          <w:rFonts w:ascii="Times New Roman" w:cs="Times New Roman" w:eastAsia="Times New Roman" w:hAnsi="Times New Roman"/>
          <w:sz w:val="20"/>
          <w:szCs w:val="20"/>
          <w:color w:val="auto"/>
        </w:rPr>
        <w:t>The Participant hereby expressly declares that he or she has full knowledge of the English language and has read,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understood and fully accepted and agreed with the terms and conditions established in the Plan and the Agreement.</w:t>
      </w:r>
    </w:p>
    <w:p>
      <w:pPr>
        <w:spacing w:after="0" w:line="13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Conhecimento da Lingua. </w:t>
      </w:r>
      <w:r>
        <w:rPr>
          <w:rFonts w:ascii="Times New Roman" w:cs="Times New Roman" w:eastAsia="Times New Roman" w:hAnsi="Times New Roman"/>
          <w:sz w:val="20"/>
          <w:szCs w:val="20"/>
          <w:i w:val="1"/>
          <w:iCs w:val="1"/>
          <w:color w:val="auto"/>
        </w:rPr>
        <w:t>O Contratado, pelo presente instrumento, declara expressamente que tem pleno conhecimento da língua inglesa 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que leu, compreendeu e livremente aceitou e concordou com os termos e condições estabelecidas no Plano e no Acordo de Atribuição (“Agreement” em inglês)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70"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If the Participant acquires shares of Common Stock under the Plan and does not hold the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with a Portuguese financial intermediary, he or she may need to file a report with the Portuguese Central Bank. If the shares of Common Stock are held by a Portuguese financial intermediary, it will file the report for the Participant.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ROMANIA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70"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Participant deposits proceeds from the sale of Common Stock in a bank account in Romania,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may be required to provide the Romanian bank assisting with the transaction with appropriate documentation explaining the source of the income. The Participant should consult with a personal legal advisor to determine whether the Participant will be required to submit such documentation to the Romanian bank.</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SAUDI ARABIA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70" w:lineRule="exact"/>
        <w:rPr>
          <w:sz w:val="20"/>
          <w:szCs w:val="20"/>
          <w:color w:val="auto"/>
        </w:rPr>
      </w:pPr>
    </w:p>
    <w:p>
      <w:pPr>
        <w:ind w:right="60"/>
        <w:spacing w:after="0" w:line="328" w:lineRule="auto"/>
        <w:rPr>
          <w:sz w:val="20"/>
          <w:szCs w:val="20"/>
          <w:color w:val="auto"/>
        </w:rPr>
      </w:pPr>
      <w:r>
        <w:rPr>
          <w:rFonts w:ascii="Times New Roman" w:cs="Times New Roman" w:eastAsia="Times New Roman" w:hAnsi="Times New Roman"/>
          <w:sz w:val="19"/>
          <w:szCs w:val="19"/>
          <w:b w:val="1"/>
          <w:bCs w:val="1"/>
          <w:color w:val="auto"/>
        </w:rPr>
        <w:t xml:space="preserve">LTI Grant Payable Only in Cash. </w:t>
      </w:r>
      <w:r>
        <w:rPr>
          <w:rFonts w:ascii="Times New Roman" w:cs="Times New Roman" w:eastAsia="Times New Roman" w:hAnsi="Times New Roman"/>
          <w:sz w:val="19"/>
          <w:szCs w:val="19"/>
          <w:color w:val="auto"/>
        </w:rPr>
        <w:t>Notwithstanding any discretion in the Plan or anything to the contrary in the Agreement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paragraph 4 of the Agreement), the LTI Grant does not provide any right for the Participant to receive shares of Common Stock. The LTI Grant made to the Participant in Saudi Arabia shall be paid in cash in an amount equal to the cash equivalent value of the LTI Award Payout.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300"/>
        <w:spacing w:after="0" w:line="301"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The grant of the LTI Grant is not subject to the regulations concerning public offers and private placements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Law on Capital Markets.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SERBIA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45</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36"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Pursuant to the Law on Foreign Exchange Transactions, the Participant is permitted to acquire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under the Plan and hold the shares and any proceeds from the sale of shares of Common Stock in a U.S. brokerage account or other foreign brokerage account. However, the Participant needs permission from the National Bank of Serbia to hold any proceeds from the sale of shares of Common Stock in an offshore bank account. Because the exchange control regulations in Serbia may change without notice, the Participant should consult with his or her personal advisor to ensure compliance with applicable exchange control laws.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Transfer Restrictions. </w:t>
      </w:r>
      <w:r>
        <w:rPr>
          <w:rFonts w:ascii="Times New Roman" w:cs="Times New Roman" w:eastAsia="Times New Roman" w:hAnsi="Times New Roman"/>
          <w:sz w:val="20"/>
          <w:szCs w:val="20"/>
          <w:color w:val="auto"/>
        </w:rPr>
        <w:t>The Participant agrees that any shares of Common Stock acquired pursuant to the LTI Grant will not be offered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200"/>
        <w:spacing w:after="0" w:line="305"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LTI Grant is being made pursuant to the “Qualifying Person” exemption under section 273(1)(f)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SFA and is not made to the Participant with a view to the LTI Grant being subsequently offered for sale to any other party. The Plan has not been lodged or registered as a prospectus with the Monetary Authority of Singapore.</w:t>
      </w:r>
    </w:p>
    <w:p>
      <w:pPr>
        <w:spacing w:after="0" w:line="163"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Requirement. </w:t>
      </w:r>
      <w:r>
        <w:rPr>
          <w:rFonts w:ascii="Times New Roman" w:cs="Times New Roman" w:eastAsia="Times New Roman" w:hAnsi="Times New Roman"/>
          <w:sz w:val="20"/>
          <w:szCs w:val="20"/>
          <w:color w:val="auto"/>
        </w:rPr>
        <w:t>The directors, associate directors and shadow directors of a Singapore subsidiary or affiliate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certain notification requirements under the Singapore Companies Act. The directors, associate directors and shadow directors must notify the Singapore subsidiary or affiliate in writing of an interest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LTI Grant, shares of Common Stock, etc.) in the Company or any related companies within two business days of (i) its acquisition or disposal, (ii) any change in a previously disclosed interest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when the shares of Common Stock are sold), or (iii) becoming a director, associate director or shadow director.</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SLOVAK REPUBLIC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SLOVENIA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46</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36" w:right="339" w:bottom="1440" w:gutter="0" w:footer="0" w:header="0"/>
        </w:sectPr>
      </w:pPr>
    </w:p>
    <w:bookmarkStart w:id="149" w:name="page150"/>
    <w:bookmarkEnd w:id="149"/>
    <w:p>
      <w:pPr>
        <w:ind w:right="40"/>
        <w:spacing w:after="0" w:line="297"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Slovenian residents may be required to report the opening of bank and/or brokerage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accounts to tax authorities within eight (8) days of opening such account. The Participant should consult with his or her personal tax advisor to determine whether this requirement will be applicable to any accounts opened in connection with the Participant’s participation in the Plan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the Participant e’s brokerage account with the Company’s designated broker).</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SOUTH AFRICA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ind w:right="360"/>
        <w:spacing w:after="0" w:line="329" w:lineRule="auto"/>
        <w:rPr>
          <w:sz w:val="20"/>
          <w:szCs w:val="20"/>
          <w:color w:val="auto"/>
        </w:rPr>
      </w:pPr>
      <w:r>
        <w:rPr>
          <w:rFonts w:ascii="Times New Roman" w:cs="Times New Roman" w:eastAsia="Times New Roman" w:hAnsi="Times New Roman"/>
          <w:sz w:val="20"/>
          <w:szCs w:val="20"/>
          <w:b w:val="1"/>
          <w:bCs w:val="1"/>
          <w:color w:val="auto"/>
        </w:rPr>
        <w:t>Securities Law Notice</w:t>
      </w:r>
      <w:r>
        <w:rPr>
          <w:rFonts w:ascii="Times New Roman" w:cs="Times New Roman" w:eastAsia="Times New Roman" w:hAnsi="Times New Roman"/>
          <w:sz w:val="20"/>
          <w:szCs w:val="20"/>
          <w:color w:val="auto"/>
        </w:rPr>
        <w:t>. In compliance with South African Securities Law, the documents listed below are available for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review on the Company’s public site or intranet site, as applicable, as listed below:</w:t>
      </w:r>
    </w:p>
    <w:p>
      <w:pPr>
        <w:spacing w:after="0" w:line="143" w:lineRule="exact"/>
        <w:rPr>
          <w:sz w:val="20"/>
          <w:szCs w:val="20"/>
          <w:color w:val="auto"/>
        </w:rPr>
      </w:pPr>
    </w:p>
    <w:p>
      <w:pPr>
        <w:ind w:left="660" w:right="860" w:hanging="328"/>
        <w:spacing w:after="0" w:line="311" w:lineRule="auto"/>
        <w:tabs>
          <w:tab w:leader="none" w:pos="660" w:val="left"/>
        </w:tabs>
        <w:numPr>
          <w:ilvl w:val="0"/>
          <w:numId w:val="8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 xml:space="preserve">The Company’s most recent Annual Report (Form 10-K): from the investor relations section of the Company’s website at </w:t>
      </w:r>
      <w:r>
        <w:rPr>
          <w:rFonts w:ascii="Times New Roman" w:cs="Times New Roman" w:eastAsia="Times New Roman" w:hAnsi="Times New Roman"/>
          <w:sz w:val="20"/>
          <w:szCs w:val="20"/>
          <w:u w:val="single" w:color="auto"/>
          <w:color w:val="0000FF"/>
        </w:rPr>
        <w:t>http://www.mondelezinternational.com/investors</w:t>
      </w:r>
      <w:r>
        <w:rPr>
          <w:rFonts w:ascii="Times New Roman" w:cs="Times New Roman" w:eastAsia="Times New Roman" w:hAnsi="Times New Roman"/>
          <w:sz w:val="20"/>
          <w:szCs w:val="20"/>
          <w:color w:val="000000"/>
        </w:rPr>
        <w:t>.</w:t>
      </w:r>
    </w:p>
    <w:p>
      <w:pPr>
        <w:spacing w:after="0" w:line="173" w:lineRule="exact"/>
        <w:rPr>
          <w:rFonts w:ascii="Times New Roman" w:cs="Times New Roman" w:eastAsia="Times New Roman" w:hAnsi="Times New Roman"/>
          <w:sz w:val="20"/>
          <w:szCs w:val="20"/>
          <w:i w:val="1"/>
          <w:iCs w:val="1"/>
          <w:color w:val="auto"/>
        </w:rPr>
      </w:pPr>
    </w:p>
    <w:p>
      <w:pPr>
        <w:ind w:left="660" w:right="1180" w:hanging="328"/>
        <w:spacing w:after="0" w:line="311" w:lineRule="auto"/>
        <w:tabs>
          <w:tab w:leader="none" w:pos="660" w:val="left"/>
        </w:tabs>
        <w:numPr>
          <w:ilvl w:val="0"/>
          <w:numId w:val="8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 xml:space="preserve">The Company’s most recent Plan prospectus: a copy of which can be found on the Company’s Intranet site located at: </w:t>
      </w:r>
      <w:r>
        <w:rPr>
          <w:rFonts w:ascii="Times New Roman" w:cs="Times New Roman" w:eastAsia="Times New Roman" w:hAnsi="Times New Roman"/>
          <w:sz w:val="20"/>
          <w:szCs w:val="20"/>
          <w:u w:val="single" w:color="auto"/>
          <w:color w:val="0000FF"/>
        </w:rPr>
        <w:t>https://intranet.mdlz.com/sites/globalhr/comp/Pages/Legal-Documents.aspx</w:t>
      </w:r>
      <w:r>
        <w:rPr>
          <w:rFonts w:ascii="Times New Roman" w:cs="Times New Roman" w:eastAsia="Times New Roman" w:hAnsi="Times New Roman"/>
          <w:sz w:val="20"/>
          <w:szCs w:val="20"/>
          <w:color w:val="000000"/>
        </w:rPr>
        <w:t>.</w:t>
      </w:r>
    </w:p>
    <w:p>
      <w:pPr>
        <w:spacing w:after="0" w:line="173"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20"/>
          <w:szCs w:val="20"/>
          <w:color w:val="auto"/>
        </w:rPr>
        <w:t>The Participant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spacing w:after="0" w:line="18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b w:val="1"/>
          <w:bCs w:val="1"/>
          <w:color w:val="auto"/>
        </w:rPr>
        <w:t xml:space="preserve">Exchange Control Obligations. </w:t>
      </w:r>
      <w:r>
        <w:rPr>
          <w:rFonts w:ascii="Times New Roman" w:cs="Times New Roman" w:eastAsia="Times New Roman" w:hAnsi="Times New Roman"/>
          <w:sz w:val="20"/>
          <w:szCs w:val="20"/>
          <w:color w:val="auto"/>
        </w:rPr>
        <w:t>The Participant is solely responsible for complying with applicable South African exchange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regulations. In particular, the Participant may be required to obtain approval from the South African Reserve Bank for payments (including shares of Common Stock received pursuant to the Plan) that the Participant receives into accounts based outside of South Africa (e.g., a U.S. brokerage account). Since the exchange control regulations change frequently and without notice, the Participant should consult their legal advisor prior to the acquisition or sale of the shares of Common Stock under the Plan to ensure compliance with current regulations. As noted, it is the Participant’s responsibility to comply with South African exchange control laws, and neither the Company nor the Employer will be liable for any fines or penalties resulting from failure to comply with applicable laws.</w:t>
      </w:r>
    </w:p>
    <w:p>
      <w:pPr>
        <w:spacing w:after="0" w:line="174"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20"/>
          <w:szCs w:val="20"/>
          <w:b w:val="1"/>
          <w:bCs w:val="1"/>
          <w:color w:val="auto"/>
        </w:rPr>
        <w:t>Tax Clearance Certificate for Plan Participation</w:t>
      </w:r>
      <w:r>
        <w:rPr>
          <w:rFonts w:ascii="Times New Roman" w:cs="Times New Roman" w:eastAsia="Times New Roman" w:hAnsi="Times New Roman"/>
          <w:sz w:val="20"/>
          <w:szCs w:val="20"/>
          <w:color w:val="auto"/>
        </w:rPr>
        <w:t>. To participate in the Plan, the Participant may be required to provide to the Company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Employer, a Tax Clearance Certificate (with respect to Foreign Investments) bearing the official stamp and signature of the Exchange Control Department of the South African Revenue Service (“SARS”).</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SOUTH 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47</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40"/>
          </w:cols>
          <w:pgMar w:left="320" w:top="1436"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Exchange Control Notification. </w:t>
      </w:r>
      <w:r>
        <w:rPr>
          <w:rFonts w:ascii="Times New Roman" w:cs="Times New Roman" w:eastAsia="Times New Roman" w:hAnsi="Times New Roman"/>
          <w:sz w:val="20"/>
          <w:szCs w:val="20"/>
          <w:color w:val="auto"/>
        </w:rPr>
        <w:t>If a Korean resident sells shares of Common Stock and deposits sale proceeds in excess of a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threshold (currently, US $5,000) into a non-Korean bank account, the Korean resident must file a report with a Korean foreign exchange bank. This reporting is not required if sale proceeds are instead deposited into a non-Korean brokerage account. It is the Participant’s responsibility to comply with any applicable exchange control reporting obligations in Korea and the Participant should consult with a personal legal advisor to determine the Participant’s reporting obligations.</w:t>
      </w:r>
    </w:p>
    <w:p>
      <w:pPr>
        <w:spacing w:after="0" w:line="197" w:lineRule="exact"/>
        <w:rPr>
          <w:sz w:val="20"/>
          <w:szCs w:val="20"/>
          <w:color w:val="auto"/>
        </w:rPr>
      </w:pPr>
    </w:p>
    <w:p>
      <w:pPr>
        <w:ind w:right="20"/>
        <w:spacing w:after="0" w:line="316" w:lineRule="auto"/>
        <w:rPr>
          <w:sz w:val="20"/>
          <w:szCs w:val="20"/>
          <w:color w:val="auto"/>
        </w:rPr>
      </w:pPr>
      <w:r>
        <w:rPr>
          <w:rFonts w:ascii="Times New Roman" w:cs="Times New Roman" w:eastAsia="Times New Roman" w:hAnsi="Times New Roman"/>
          <w:sz w:val="19"/>
          <w:szCs w:val="19"/>
          <w:b w:val="1"/>
          <w:bCs w:val="1"/>
          <w:color w:val="auto"/>
        </w:rPr>
        <w:t xml:space="preserve">Foreign Asset/Account Reporting Information. </w:t>
      </w:r>
      <w:r>
        <w:rPr>
          <w:rFonts w:ascii="Times New Roman" w:cs="Times New Roman" w:eastAsia="Times New Roman" w:hAnsi="Times New Roman"/>
          <w:sz w:val="19"/>
          <w:szCs w:val="19"/>
          <w:color w:val="auto"/>
        </w:rPr>
        <w:t>South Korean residents must declare all foreign financial accounts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non-South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Korean bank accounts, brokerage accounts, etc.) to the South Korean tax authority and file a report with respect to such accounts if the value of such accounts exceeds a certain threshold (currently, KRW 500 million (or an equivalent amount in foreign currency)) on any month-end date during a calendar year. The Participant should consult with their personal tax advisor to determine how to value the Participant’s foreign accounts for purposes of this reporting requirement and whether the Participant is required to file a report with respect to such accounts.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SPAIN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Nature of the Grant. </w:t>
      </w:r>
      <w:r>
        <w:rPr>
          <w:rFonts w:ascii="Times New Roman" w:cs="Times New Roman" w:eastAsia="Times New Roman" w:hAnsi="Times New Roman"/>
          <w:sz w:val="20"/>
          <w:szCs w:val="20"/>
          <w:color w:val="auto"/>
        </w:rPr>
        <w:t>The following provision supplements paragraph 9 of the Agreement:</w:t>
      </w:r>
    </w:p>
    <w:p>
      <w:pPr>
        <w:spacing w:after="0" w:line="260" w:lineRule="exact"/>
        <w:rPr>
          <w:sz w:val="20"/>
          <w:szCs w:val="20"/>
          <w:color w:val="auto"/>
        </w:rPr>
      </w:pPr>
    </w:p>
    <w:p>
      <w:pPr>
        <w:ind w:right="220"/>
        <w:spacing w:after="0" w:line="325" w:lineRule="auto"/>
        <w:rPr>
          <w:sz w:val="20"/>
          <w:szCs w:val="20"/>
          <w:color w:val="auto"/>
        </w:rPr>
      </w:pPr>
      <w:r>
        <w:rPr>
          <w:rFonts w:ascii="Times New Roman" w:cs="Times New Roman" w:eastAsia="Times New Roman" w:hAnsi="Times New Roman"/>
          <w:sz w:val="20"/>
          <w:szCs w:val="20"/>
          <w:color w:val="auto"/>
        </w:rPr>
        <w:t>By accepting the LTI Grant, the Participant consents to participation in the Plan and acknowledges that he or she has received a copy of the Plan.</w:t>
      </w:r>
    </w:p>
    <w:p>
      <w:pPr>
        <w:spacing w:after="0" w:line="147" w:lineRule="exact"/>
        <w:rPr>
          <w:sz w:val="20"/>
          <w:szCs w:val="20"/>
          <w:color w:val="auto"/>
        </w:rPr>
      </w:pPr>
    </w:p>
    <w:p>
      <w:pPr>
        <w:ind w:right="160"/>
        <w:spacing w:after="0" w:line="303" w:lineRule="auto"/>
        <w:rPr>
          <w:sz w:val="20"/>
          <w:szCs w:val="20"/>
          <w:color w:val="auto"/>
        </w:rPr>
      </w:pPr>
      <w:r>
        <w:rPr>
          <w:rFonts w:ascii="Times New Roman" w:cs="Times New Roman" w:eastAsia="Times New Roman" w:hAnsi="Times New Roman"/>
          <w:sz w:val="20"/>
          <w:szCs w:val="20"/>
          <w:color w:val="auto"/>
        </w:rPr>
        <w:t>The Participant understands and agrees that, as a condition of the grant of the LTI Grant, except as provided for in paragraph 3 of the Agreement, the termination of the Participant’s employment for any reason (including for the reasons listed below) will automatically result in the loss of the LTI Grant that may have been granted to the Participant and that have not vested on the date of termination.</w:t>
      </w:r>
    </w:p>
    <w:p>
      <w:pPr>
        <w:spacing w:after="0" w:line="16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auto"/>
        </w:rPr>
        <w:t>In particular, the Participant understands and agrees that any unvested LTI Grants as of Participant’s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subject to a “</w:t>
      </w:r>
      <w:r>
        <w:rPr>
          <w:rFonts w:ascii="Times New Roman" w:cs="Times New Roman" w:eastAsia="Times New Roman" w:hAnsi="Times New Roman"/>
          <w:sz w:val="20"/>
          <w:szCs w:val="20"/>
          <w:i w:val="1"/>
          <w:iCs w:val="1"/>
          <w:color w:val="auto"/>
        </w:rPr>
        <w:t>despido improcedente</w:t>
      </w:r>
      <w:r>
        <w:rPr>
          <w:rFonts w:ascii="Times New Roman" w:cs="Times New Roman" w:eastAsia="Times New Roman" w:hAnsi="Times New Roman"/>
          <w:sz w:val="20"/>
          <w:szCs w:val="20"/>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48</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36" w:right="339" w:bottom="1440" w:gutter="0" w:footer="0" w:header="0"/>
        </w:sectPr>
      </w:pPr>
    </w:p>
    <w:bookmarkStart w:id="151" w:name="page152"/>
    <w:bookmarkEnd w:id="151"/>
    <w:p>
      <w:pPr>
        <w:spacing w:after="0" w:line="303" w:lineRule="auto"/>
        <w:rPr>
          <w:sz w:val="20"/>
          <w:szCs w:val="20"/>
          <w:color w:val="auto"/>
        </w:rPr>
      </w:pPr>
      <w:r>
        <w:rPr>
          <w:rFonts w:ascii="Times New Roman" w:cs="Times New Roman" w:eastAsia="Times New Roman" w:hAnsi="Times New Roman"/>
          <w:sz w:val="20"/>
          <w:szCs w:val="20"/>
          <w:color w:val="auto"/>
        </w:rPr>
        <w:t>Furthermore, the Participant understands that the Company has unilaterally, gratuitously and discretionally decided to make the LTI Grant under the Plan to individuals who may be Participants of the Mondelēz Group. The decision is a limited decision that is entered into upon the express assumption and condition that;</w:t>
      </w:r>
    </w:p>
    <w:p>
      <w:pPr>
        <w:spacing w:after="0" w:line="195" w:lineRule="exact"/>
        <w:rPr>
          <w:sz w:val="20"/>
          <w:szCs w:val="20"/>
          <w:color w:val="auto"/>
        </w:rPr>
      </w:pPr>
    </w:p>
    <w:p>
      <w:pPr>
        <w:ind w:left="660" w:right="120" w:hanging="328"/>
        <w:spacing w:after="0" w:line="325" w:lineRule="auto"/>
        <w:tabs>
          <w:tab w:leader="none" w:pos="65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LTI Grant will not economically or otherwise bind the Mondelēz Group on an ongoing basis other than to the extent set forth in the Agreement;</w:t>
      </w:r>
    </w:p>
    <w:p>
      <w:pPr>
        <w:spacing w:after="0" w:line="173" w:lineRule="exact"/>
        <w:rPr>
          <w:rFonts w:ascii="Times New Roman" w:cs="Times New Roman" w:eastAsia="Times New Roman" w:hAnsi="Times New Roman"/>
          <w:sz w:val="20"/>
          <w:szCs w:val="20"/>
          <w:color w:val="auto"/>
        </w:rPr>
      </w:pPr>
    </w:p>
    <w:p>
      <w:pPr>
        <w:ind w:left="660" w:right="280" w:hanging="328"/>
        <w:spacing w:after="0" w:line="303" w:lineRule="auto"/>
        <w:tabs>
          <w:tab w:leader="none" w:pos="65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LTI Grant and the shares of Common Stock issued shall not become a part of any employment or contract (with the Mondelēz Group, including the Employer) and shall not be considered a mandatory benefit, salary for any purposes (including severance compensation) or any other right whatsoever; and</w:t>
      </w:r>
    </w:p>
    <w:p>
      <w:pPr>
        <w:spacing w:after="0" w:line="19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LTI Grant will cease vesting upon termination of the Participant’s employment, as detailed in the paragraph above.</w:t>
      </w:r>
    </w:p>
    <w:p>
      <w:pPr>
        <w:spacing w:after="0" w:line="28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0"/>
          <w:szCs w:val="20"/>
          <w:color w:val="auto"/>
        </w:rPr>
        <w:t>Furthermore, the Participant understands and freely accepts that there is no guarantee that any benefit whatsoever will arise from the LTI Grant, which is gratuitous and discretionary, since the future value of the underlying shares of Common Stock is unknown and unpredictable. In addition, the Participant understands that the LTI Grant would not be made to the Participant but for the assumptions and conditions referred to above; thus, the Participant acknowledges and freely accepts that should any or all of the assumptions be mistaken or should any of the conditions not be met for any reason, then the LTI Grant made to the Participant shall be null and void.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97" w:lineRule="exact"/>
        <w:rPr>
          <w:sz w:val="20"/>
          <w:szCs w:val="20"/>
          <w:color w:val="auto"/>
        </w:rPr>
      </w:pPr>
    </w:p>
    <w:p>
      <w:pPr>
        <w:jc w:val="both"/>
        <w:ind w:right="200"/>
        <w:spacing w:after="0" w:line="298"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No “offer of securities to the public”, as defined under Spanish law, has taken place or will take place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Spanish territory. The Agreement (including this Appendix) has not been nor will it be registered with the </w:t>
      </w:r>
      <w:r>
        <w:rPr>
          <w:rFonts w:ascii="Times New Roman" w:cs="Times New Roman" w:eastAsia="Times New Roman" w:hAnsi="Times New Roman"/>
          <w:sz w:val="20"/>
          <w:szCs w:val="20"/>
          <w:i w:val="1"/>
          <w:iCs w:val="1"/>
          <w:color w:val="auto"/>
        </w:rPr>
        <w:t>Comisión Nacional del Mercado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 Valores</w:t>
      </w:r>
      <w:r>
        <w:rPr>
          <w:rFonts w:ascii="Times New Roman" w:cs="Times New Roman" w:eastAsia="Times New Roman" w:hAnsi="Times New Roman"/>
          <w:sz w:val="20"/>
          <w:szCs w:val="20"/>
          <w:color w:val="auto"/>
        </w:rPr>
        <w:t>, and does not constitute a public offering prospectus.</w:t>
      </w:r>
    </w:p>
    <w:p>
      <w:pPr>
        <w:spacing w:after="0" w:line="183"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Participant may be required to declare electronically to the Bank of Spain any foreign accounts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brokerage accounts held abroad), any foreign instruments (including any shares of Common Stock acquired under the Plan) and any transactions with non-Spanish residents (including any payments of shares of Common Stock made to the Participant by the Company) depending on the value of such accounts and instruments and the amount of the transactions during the relevant year as of December 31 of the relevant year.</w:t>
      </w:r>
    </w:p>
    <w:p>
      <w:pPr>
        <w:spacing w:after="0" w:line="189"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20"/>
          <w:szCs w:val="20"/>
          <w:b w:val="1"/>
          <w:bCs w:val="1"/>
          <w:color w:val="auto"/>
        </w:rPr>
        <w:t xml:space="preserve">Foreign Asset/Accounting Reporting Information. </w:t>
      </w:r>
      <w:r>
        <w:rPr>
          <w:rFonts w:ascii="Times New Roman" w:cs="Times New Roman" w:eastAsia="Times New Roman" w:hAnsi="Times New Roman"/>
          <w:sz w:val="20"/>
          <w:szCs w:val="20"/>
          <w:color w:val="auto"/>
        </w:rPr>
        <w:t>If the Participant holds rights or 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of Common Stock or cash held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or brokerage account) outside Spain with a value in excess of a certain threshold (currently, €50,000) per type of right or asset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shares of Common Stock, cash, etc.) as of December 31 each year, the Participant is required to report certain information regarding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49</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40" w:right="379" w:bottom="1440" w:gutter="0" w:footer="0" w:header="0"/>
        </w:sectPr>
      </w:pPr>
    </w:p>
    <w:bookmarkStart w:id="152" w:name="page153"/>
    <w:bookmarkEnd w:id="152"/>
    <w:p>
      <w:pPr>
        <w:spacing w:after="0" w:line="299" w:lineRule="auto"/>
        <w:rPr>
          <w:sz w:val="20"/>
          <w:szCs w:val="20"/>
          <w:color w:val="auto"/>
        </w:rPr>
      </w:pPr>
      <w:r>
        <w:rPr>
          <w:rFonts w:ascii="Times New Roman" w:cs="Times New Roman" w:eastAsia="Times New Roman" w:hAnsi="Times New Roman"/>
          <w:sz w:val="20"/>
          <w:szCs w:val="20"/>
          <w:color w:val="auto"/>
        </w:rPr>
        <w:t>rights and assets on tax form 720. After such rights and/or assets are initially reported, the reporting obligation will apply for subsequent years only if the value of any previously-reported rights or assets increases by more than a certain threshold (currently, €20,000), or if ownership of the asset is transferred or relinquished during the year. If the value of such rights and/or assets does not exceed a certain threshold (currently, €50,000), a summarized form of declaration may be presented. The Participant should consult their personal tax advisor for details regarding this requirement.</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SWEDEN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Withholding Taxes. </w:t>
      </w:r>
      <w:r>
        <w:rPr>
          <w:rFonts w:ascii="Times New Roman" w:cs="Times New Roman" w:eastAsia="Times New Roman" w:hAnsi="Times New Roman"/>
          <w:sz w:val="20"/>
          <w:szCs w:val="20"/>
          <w:color w:val="auto"/>
        </w:rPr>
        <w:t>The following provision supplements paragraph 8 of the Agreement:</w:t>
      </w:r>
    </w:p>
    <w:p>
      <w:pPr>
        <w:spacing w:after="0" w:line="274"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20"/>
          <w:szCs w:val="20"/>
          <w:color w:val="auto"/>
        </w:rPr>
        <w:t>Without limiting the Company’s and the Employer’s authority to satisfy their withholding obligations for Tax-Related Items as set forth in paragraph 8 of the Agreement, by accepting the LTI Grants, the Participant authorizes the Company and/or the Employer to withhold shares of Common Stock or to sell shares of Common Stock otherwise deliverable to the Participant upon vesting to satisfy Tax-Related Items, regardless of whether the Company and/or the Employer have an obligation to withhold such Tax-Related Items.</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SWITZERLAND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LTI Grant is not intended to be publicly offered in or from Switzerland and is therefore not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registration in Switzerland. Neither this document nor any other materials relating to the LTI Grant (i) constitutes a prospectus according 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TAIWAN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Data Privacy Consent. </w:t>
      </w:r>
      <w:r>
        <w:rPr>
          <w:rFonts w:ascii="Times New Roman" w:cs="Times New Roman" w:eastAsia="Times New Roman" w:hAnsi="Times New Roman"/>
          <w:sz w:val="20"/>
          <w:szCs w:val="20"/>
          <w:color w:val="auto"/>
        </w:rPr>
        <w:t>The Participant hereby acknowledges that he or she has read and understood the terms regarding collection,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processing and transfer of Data contained in paragraph 10 of the Agreement and by participating in the Plan, the Participant agrees to such terms. In this regard, upon request of the Company or the Employer, the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the Participant’s country, either now or in the future. The Participant understands he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50</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40"/>
          </w:cols>
          <w:pgMar w:left="320" w:top="1440"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color w:val="auto"/>
        </w:rPr>
        <w:t>she will not be able to participate in the Plan if the Participant fails to execute any such consent or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ind w:right="6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LTI Grant and the shares of Common Stock to be issued pursuant to the Plan are available only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of the Mondelēz Group. The LTI Grant does not constitute a public offer of securities.</w:t>
      </w:r>
    </w:p>
    <w:p>
      <w:pPr>
        <w:spacing w:after="0" w:line="192"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Participant may acquire and remit foreign currency (including proceeds from the sale of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into and out of Taiwan up to a certain threshold (currently, US$10,000,000) per year. If the transaction amount equals or exceeds a certain threshold (currently, TWD$500,000) in a single transaction, the Participant must submit a foreign exchange transaction form and also provide supporting documentation to the satisfaction of the remitting bank. The Participant should consult his or her personal advisor to ensure compliance with applicable exchange control laws in Taiwan.</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THAILAND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7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9"/>
          <w:szCs w:val="19"/>
          <w:b w:val="1"/>
          <w:bCs w:val="1"/>
          <w:color w:val="auto"/>
        </w:rPr>
        <w:t xml:space="preserve">Exchange Control Information. </w:t>
      </w:r>
      <w:r>
        <w:rPr>
          <w:rFonts w:ascii="Times New Roman" w:cs="Times New Roman" w:eastAsia="Times New Roman" w:hAnsi="Times New Roman"/>
          <w:sz w:val="19"/>
          <w:szCs w:val="19"/>
          <w:color w:val="auto"/>
        </w:rPr>
        <w:t>If the Participant receives proceeds from the sale of shares of Common Stock or cash dividends in relation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shares of Common Stock equal to or in excess of a certain threshold (currently, US$1,000,000) in a single transaction, the Participant must immediately repatriate the funds to Thailand (or utilize such funds offshore for permissible purposes) and convert the funds to Thai Baht within 360 days of repatriation or deposit the funds in an authorized foreign exchange account in Thailand. The Participant is also required to provide details of the transaction (i.e., identification information and purpose of the transaction) to the receiving bank.</w:t>
      </w:r>
    </w:p>
    <w:p>
      <w:pPr>
        <w:spacing w:after="0" w:line="159"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20"/>
          <w:szCs w:val="20"/>
          <w:color w:val="auto"/>
        </w:rPr>
        <w:t>If the Participant does not repatriate such funds and utilizes them offshore for permissible purposes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purposes not listed in the negative list prescribed by the Bank of Thailand), the Participant must obtain a waiver of the repatriation requirement from a commercial bank in Thailand by submitting an application and supporting documents evidencing that such funds will be utilized offshore for permissible purposes.</w:t>
      </w:r>
    </w:p>
    <w:p>
      <w:pPr>
        <w:spacing w:after="0" w:line="169"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The Participant should consult their personal advisor prior to taking any action with respect to remittance of proceeds from the sale of shares of Common Stock into Thailand. The Participant is responsible for ensuring compliance with all exchange control laws in Thailand.</w:t>
      </w:r>
    </w:p>
    <w:p>
      <w:pPr>
        <w:spacing w:after="0" w:line="1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TÜRKIYE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Under Turkish law, the Participant is not permitted to sell shares of Common Stock acquired under the Plan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Turkey. The shares of Common Stock are currently traded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51</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40"/>
          </w:cols>
          <w:pgMar w:left="320" w:top="1440"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color w:val="auto"/>
        </w:rPr>
        <w:t>the Nasdaq Global Select Market, which is located outside Turkey and the shares of Common Stock may be sold through this exchange.</w:t>
      </w:r>
    </w:p>
    <w:p>
      <w:pPr>
        <w:spacing w:after="0" w:line="25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Participant may be required to engage a Turkish financial intermediary to assist with the sale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Common Stock acquired under the Plan. To the extent a Turkish financial intermediary is required in connection with the sale of any shares of Common Stock acquired under the Plan, the Participant is solely responsible for engaging such Turkish financial intermediary. The Participant should consult their personal legal advisor prior to the vesting of the LTI Grant or any sale of shares of Common Stock to ensure compliance with the current requirements.</w:t>
      </w:r>
    </w:p>
    <w:p>
      <w:pPr>
        <w:spacing w:after="0" w:line="1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u w:val="single" w:color="auto"/>
          <w:color w:val="auto"/>
        </w:rPr>
        <w:t>UKRAINE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ind w:right="120"/>
        <w:spacing w:after="0" w:line="328" w:lineRule="auto"/>
        <w:rPr>
          <w:sz w:val="20"/>
          <w:szCs w:val="20"/>
          <w:color w:val="auto"/>
        </w:rPr>
      </w:pPr>
      <w:r>
        <w:rPr>
          <w:rFonts w:ascii="Times New Roman" w:cs="Times New Roman" w:eastAsia="Times New Roman" w:hAnsi="Times New Roman"/>
          <w:sz w:val="19"/>
          <w:szCs w:val="19"/>
          <w:b w:val="1"/>
          <w:bCs w:val="1"/>
          <w:color w:val="auto"/>
        </w:rPr>
        <w:t xml:space="preserve">LTI Grant Payable Only in Cash. </w:t>
      </w:r>
      <w:r>
        <w:rPr>
          <w:rFonts w:ascii="Times New Roman" w:cs="Times New Roman" w:eastAsia="Times New Roman" w:hAnsi="Times New Roman"/>
          <w:sz w:val="19"/>
          <w:szCs w:val="19"/>
          <w:color w:val="auto"/>
        </w:rPr>
        <w:t>Notwithstanding any discretion in the Plan or anything to the contrary in the Agreement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paragraph 4 of the Agreement), the LTI Grant does not provide any right for the Participant to receive shares of Common Stock. The LTI Grant made to the Participant in the Ukraine shall be paid in cash in an amount equal to the cash equivalent value of the LTI Award Payout.</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u w:val="single" w:color="auto"/>
          <w:color w:val="auto"/>
        </w:rPr>
        <w:t>UNITED ARAB EMIRATES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Participation in the Plan is being offered only to selected Participants and is in the nature of providing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incentives to Participants in the United Arab Emirates (“</w:t>
      </w:r>
      <w:r>
        <w:rPr>
          <w:rFonts w:ascii="Times New Roman" w:cs="Times New Roman" w:eastAsia="Times New Roman" w:hAnsi="Times New Roman"/>
          <w:sz w:val="21"/>
          <w:szCs w:val="21"/>
          <w:u w:val="single" w:color="auto"/>
          <w:color w:val="auto"/>
        </w:rPr>
        <w:t>UAE</w:t>
      </w:r>
      <w:r>
        <w:rPr>
          <w:rFonts w:ascii="Times New Roman" w:cs="Times New Roman" w:eastAsia="Times New Roman" w:hAnsi="Times New Roman"/>
          <w:sz w:val="20"/>
          <w:szCs w:val="20"/>
          <w:color w:val="auto"/>
        </w:rPr>
        <w:t>”). The Plan and the Agreement are intended for distribution only to such Participants and must not be delivered to, or relied on by, any other person. Prospective purchasers of the securities offered should conduct their own due diligence on the securities.</w:t>
      </w:r>
    </w:p>
    <w:p>
      <w:pPr>
        <w:spacing w:after="0" w:line="195"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20"/>
          <w:szCs w:val="20"/>
          <w:color w:val="auto"/>
        </w:rPr>
        <w:t>If the Participant does not understand the contents of the Plan and the Agreement, the Participant should consult an authorized financial adviser. The Emirates Securities and Commodities Authority has no responsibility for reviewing or verifying any documents in connection with the Plan. No other UAE authority or governmental agency has approved the Plan or the Agreement nor taken steps to verify the information set out therein, and have no responsibility for such documents.</w:t>
      </w: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 (“U.K.”)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Withholding Taxes. </w:t>
      </w:r>
      <w:r>
        <w:rPr>
          <w:rFonts w:ascii="Times New Roman" w:cs="Times New Roman" w:eastAsia="Times New Roman" w:hAnsi="Times New Roman"/>
          <w:sz w:val="20"/>
          <w:szCs w:val="20"/>
          <w:color w:val="auto"/>
        </w:rPr>
        <w:t>The following provision supplements paragraph 8 of the Agreement:</w:t>
      </w:r>
    </w:p>
    <w:p>
      <w:pPr>
        <w:spacing w:after="0" w:line="274" w:lineRule="exact"/>
        <w:rPr>
          <w:sz w:val="20"/>
          <w:szCs w:val="20"/>
          <w:color w:val="auto"/>
        </w:rPr>
      </w:pPr>
    </w:p>
    <w:p>
      <w:pPr>
        <w:ind w:right="540"/>
        <w:spacing w:after="0" w:line="311" w:lineRule="auto"/>
        <w:rPr>
          <w:sz w:val="20"/>
          <w:szCs w:val="20"/>
          <w:color w:val="auto"/>
        </w:rPr>
      </w:pPr>
      <w:r>
        <w:rPr>
          <w:rFonts w:ascii="Times New Roman" w:cs="Times New Roman" w:eastAsia="Times New Roman" w:hAnsi="Times New Roman"/>
          <w:sz w:val="20"/>
          <w:szCs w:val="20"/>
          <w:color w:val="auto"/>
        </w:rPr>
        <w:t>Without limitation to paragraph 8 of the Agreement, the Participant hereby agrees that he or she is liable for all Tax-Related Items and hereby covenants to pay all such Tax-Related Items, as and when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52</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60"/>
          </w:cols>
          <w:pgMar w:left="320" w:top="1440" w:right="419" w:bottom="1440" w:gutter="0" w:footer="0" w:header="0"/>
        </w:sectPr>
      </w:pPr>
    </w:p>
    <w:bookmarkStart w:id="155" w:name="page156"/>
    <w:bookmarkEnd w:id="155"/>
    <w:p>
      <w:pPr>
        <w:ind w:right="120"/>
        <w:spacing w:after="0" w:line="296" w:lineRule="auto"/>
        <w:rPr>
          <w:sz w:val="20"/>
          <w:szCs w:val="20"/>
          <w:color w:val="auto"/>
        </w:rPr>
      </w:pPr>
      <w:r>
        <w:rPr>
          <w:rFonts w:ascii="Times New Roman" w:cs="Times New Roman" w:eastAsia="Times New Roman" w:hAnsi="Times New Roman"/>
          <w:sz w:val="20"/>
          <w:szCs w:val="20"/>
          <w:color w:val="auto"/>
        </w:rPr>
        <w:t>by the Company or the Employer, as applicable, or by HM Revenue &amp; Customs (“</w:t>
      </w:r>
      <w:r>
        <w:rPr>
          <w:rFonts w:ascii="Times New Roman" w:cs="Times New Roman" w:eastAsia="Times New Roman" w:hAnsi="Times New Roman"/>
          <w:sz w:val="20"/>
          <w:szCs w:val="20"/>
          <w:u w:val="single" w:color="auto"/>
          <w:color w:val="auto"/>
        </w:rPr>
        <w:t>HMRC</w:t>
      </w:r>
      <w:r>
        <w:rPr>
          <w:rFonts w:ascii="Times New Roman" w:cs="Times New Roman" w:eastAsia="Times New Roman" w:hAnsi="Times New Roman"/>
          <w:sz w:val="20"/>
          <w:szCs w:val="20"/>
          <w:color w:val="auto"/>
        </w:rPr>
        <w:t>”) (or any other tax authority or any other relevant authority). The Participant also hereby agrees to indemnify and keep indemnified the Company and the Employer, as applicable, against any Tax-Related Items that they are required to pay or withhold or have paid or will pay on the Participant’s behalf to HMRC (or any other tax authority or any other relevant authority).</w:t>
      </w:r>
    </w:p>
    <w:p>
      <w:pPr>
        <w:spacing w:after="0" w:line="18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auto"/>
        </w:rPr>
        <w:t>Notwithstanding the foregoing, if the Participant is a director or executive officer of the Company (within the meaning of Section 13(k) of the U.S. Securities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w:t>
      </w:r>
      <w:r>
        <w:rPr>
          <w:rFonts w:ascii="Times New Roman" w:cs="Times New Roman" w:eastAsia="Times New Roman" w:hAnsi="Times New Roman"/>
          <w:sz w:val="20"/>
          <w:szCs w:val="20"/>
          <w:u w:val="single" w:color="auto"/>
          <w:color w:val="auto"/>
        </w:rPr>
        <w:t>NICs</w:t>
      </w:r>
      <w:r>
        <w:rPr>
          <w:rFonts w:ascii="Times New Roman" w:cs="Times New Roman" w:eastAsia="Times New Roman" w:hAnsi="Times New Roman"/>
          <w:sz w:val="20"/>
          <w:szCs w:val="20"/>
          <w:color w:val="auto"/>
        </w:rPr>
        <w:t>”)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paragraph 8 of the Agreement.</w:t>
      </w:r>
    </w:p>
    <w:p>
      <w:pPr>
        <w:spacing w:after="0" w:line="193" w:lineRule="exact"/>
        <w:rPr>
          <w:sz w:val="20"/>
          <w:szCs w:val="20"/>
          <w:color w:val="auto"/>
        </w:rPr>
      </w:pPr>
    </w:p>
    <w:p>
      <w:pPr>
        <w:jc w:val="both"/>
        <w:ind w:right="140"/>
        <w:spacing w:after="0" w:line="296" w:lineRule="auto"/>
        <w:rPr>
          <w:sz w:val="20"/>
          <w:szCs w:val="20"/>
          <w:color w:val="auto"/>
        </w:rPr>
      </w:pPr>
      <w:r>
        <w:rPr>
          <w:rFonts w:ascii="Times New Roman" w:cs="Times New Roman" w:eastAsia="Times New Roman" w:hAnsi="Times New Roman"/>
          <w:sz w:val="20"/>
          <w:szCs w:val="20"/>
          <w:color w:val="auto"/>
        </w:rPr>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UNITED STATES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ALL STATES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92"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20"/>
          <w:szCs w:val="20"/>
          <w:b w:val="1"/>
          <w:bCs w:val="1"/>
          <w:color w:val="auto"/>
        </w:rPr>
        <w:t>Foreign Asset/Accounting Reporting Information</w:t>
      </w:r>
      <w:r>
        <w:rPr>
          <w:rFonts w:ascii="Times New Roman" w:cs="Times New Roman" w:eastAsia="Times New Roman" w:hAnsi="Times New Roman"/>
          <w:sz w:val="20"/>
          <w:szCs w:val="20"/>
          <w:color w:val="auto"/>
        </w:rPr>
        <w:t>. If the Participant holds assets (</w:t>
      </w:r>
      <w:r>
        <w:rPr>
          <w:rFonts w:ascii="Times New Roman" w:cs="Times New Roman" w:eastAsia="Times New Roman" w:hAnsi="Times New Roman"/>
          <w:sz w:val="21"/>
          <w:szCs w:val="21"/>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i w:val="1"/>
          <w:iCs w:val="1"/>
          <w:color w:val="auto"/>
        </w:rPr>
        <w:t>g</w:t>
      </w:r>
      <w:r>
        <w:rPr>
          <w:rFonts w:ascii="Times New Roman" w:cs="Times New Roman" w:eastAsia="Times New Roman" w:hAnsi="Times New Roman"/>
          <w:sz w:val="20"/>
          <w:szCs w:val="20"/>
          <w:color w:val="auto"/>
        </w:rPr>
        <w:t>., Common Stock) or other financial assets in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outside the United States and the aggregate amount of said assets is a certain threshold (currently, US$10,000) or more, the Participant is required to submit a report of Foreign Bank and Financial Account with the United States Internal Revenue Service by June 30 of the year following the year in which the assets in the Participant’s account meet the threshold.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CALIFORNIA</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If the Participant is a resident of California:</w:t>
      </w:r>
    </w:p>
    <w:p>
      <w:pPr>
        <w:spacing w:after="0" w:line="314" w:lineRule="exact"/>
        <w:rPr>
          <w:sz w:val="20"/>
          <w:szCs w:val="20"/>
          <w:color w:val="auto"/>
        </w:rPr>
      </w:pPr>
    </w:p>
    <w:p>
      <w:pPr>
        <w:ind w:left="660" w:right="60" w:hanging="328"/>
        <w:spacing w:after="0" w:line="329" w:lineRule="auto"/>
        <w:tabs>
          <w:tab w:leader="none" w:pos="66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Paragraph 6(a), which includes post-termination noncompetition, employee nonsolicitation and customer nonsolicitation restrictions, shall not apply. Paragraph 6(a) shall be deleted and the other sub-sections of paragraph 6 shall be renumbered accordingly.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53</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43" w:lineRule="exact"/>
        <w:rPr>
          <w:sz w:val="20"/>
          <w:szCs w:val="20"/>
          <w:color w:val="auto"/>
        </w:rPr>
      </w:pPr>
    </w:p>
    <w:p>
      <w:pPr>
        <w:ind w:left="640" w:hanging="308"/>
        <w:spacing w:after="0"/>
        <w:tabs>
          <w:tab w:leader="none" w:pos="6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language shall be added as a new sub-section at the end of paragraph 6:</w:t>
      </w:r>
    </w:p>
    <w:p>
      <w:pPr>
        <w:spacing w:after="0" w:line="283" w:lineRule="exact"/>
        <w:rPr>
          <w:sz w:val="20"/>
          <w:szCs w:val="20"/>
          <w:color w:val="auto"/>
        </w:rPr>
      </w:pPr>
    </w:p>
    <w:p>
      <w:pPr>
        <w:ind w:left="1300"/>
        <w:spacing w:after="0" w:line="296" w:lineRule="auto"/>
        <w:rPr>
          <w:sz w:val="20"/>
          <w:szCs w:val="20"/>
          <w:color w:val="auto"/>
        </w:rPr>
      </w:pPr>
      <w:r>
        <w:rPr>
          <w:rFonts w:ascii="Times New Roman" w:cs="Times New Roman" w:eastAsia="Times New Roman" w:hAnsi="Times New Roman"/>
          <w:sz w:val="20"/>
          <w:szCs w:val="20"/>
          <w:color w:val="auto"/>
        </w:rPr>
        <w:t>Nothing in this Agreement is intended to interfere with the Participant’s rights to discuss the Participant’s wages and working conditions under the California Labor Code or the Participant’s rights under California Code of Civil Procedure § 1670.11 or California Government Code § 12964.5. Moreover, nothing in this Agreement prevents the Participant from discussing or disclosing information about unlawful acts in the workplace, such as harassment or discrimination or any other conduct that the Participant has reason to believe is unlawful.</w:t>
      </w:r>
    </w:p>
    <w:p>
      <w:pPr>
        <w:spacing w:after="0" w:line="215" w:lineRule="exact"/>
        <w:rPr>
          <w:sz w:val="20"/>
          <w:szCs w:val="20"/>
          <w:color w:val="auto"/>
        </w:rPr>
      </w:pPr>
    </w:p>
    <w:p>
      <w:pPr>
        <w:ind w:left="660" w:right="200" w:hanging="328"/>
        <w:spacing w:after="0" w:line="301" w:lineRule="auto"/>
        <w:tabs>
          <w:tab w:leader="none" w:pos="6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during employment, the Participant primarily resided in California, this Agreement shall be governed by California law and any disputes arising under this Agreement shall be heard in a California state or federal court.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Terms</w:t>
      </w:r>
      <w:r>
        <w:rPr>
          <w:rFonts w:ascii="Times New Roman" w:cs="Times New Roman" w:eastAsia="Times New Roman" w:hAnsi="Times New Roman"/>
          <w:sz w:val="20"/>
          <w:szCs w:val="20"/>
          <w:color w:val="auto"/>
        </w:rPr>
        <w:t>. This provision supplements paragraph 10 of the Agreement:</w:t>
      </w:r>
    </w:p>
    <w:p>
      <w:pPr>
        <w:spacing w:after="0" w:line="30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auto"/>
        </w:rPr>
        <w:t>Pursuant to applicable data protection laws, the Participant is hereby notified that the Company collects, processes, uses and transfers certain personally-identifiable information about the Participant for the exclusive legitimate purpose of administering the Plan and implementing, administering and managing your participation in the Plan. For California residents, the categories of personal,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Company does not sell the Participant’s Personal Data or share it for cross-context behavioral advertising. If the Participant would like a copy of the Company’s privacy policy, please contact a local human resources representative.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COLORADO</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If the Participant is a resident of Colorado:</w:t>
      </w:r>
    </w:p>
    <w:p>
      <w:pPr>
        <w:spacing w:after="0" w:line="314" w:lineRule="exact"/>
        <w:rPr>
          <w:sz w:val="20"/>
          <w:szCs w:val="20"/>
          <w:color w:val="auto"/>
        </w:rPr>
      </w:pPr>
    </w:p>
    <w:p>
      <w:pPr>
        <w:ind w:left="660" w:right="80" w:hanging="328"/>
        <w:spacing w:after="0" w:line="289" w:lineRule="auto"/>
        <w:tabs>
          <w:tab w:leader="none" w:pos="6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post-termination noncompetition restrictions in paragraph 6(a)(1) shall not apply unless the Participant’s annualized cash compensation exceeds the statutory “highly compensated worker” threshold either at the time the Agreement is entered into or at the time of enforcement. The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54</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40" w:right="359" w:bottom="1440" w:gutter="0" w:footer="0" w:header="0"/>
        </w:sectPr>
      </w:pPr>
    </w:p>
    <w:bookmarkStart w:id="157" w:name="page158"/>
    <w:bookmarkEnd w:id="157"/>
    <w:p>
      <w:pPr>
        <w:ind w:left="660"/>
        <w:spacing w:after="0"/>
        <w:rPr>
          <w:sz w:val="20"/>
          <w:szCs w:val="20"/>
          <w:color w:val="auto"/>
        </w:rPr>
      </w:pPr>
      <w:r>
        <w:rPr>
          <w:rFonts w:ascii="Times New Roman" w:cs="Times New Roman" w:eastAsia="Times New Roman" w:hAnsi="Times New Roman"/>
          <w:sz w:val="20"/>
          <w:szCs w:val="20"/>
          <w:color w:val="auto"/>
        </w:rPr>
        <w:t>highly compensated worker threshold is US$127,091 for 2025 and is adjusted annually for inflation.</w:t>
      </w:r>
    </w:p>
    <w:p>
      <w:pPr>
        <w:spacing w:after="0" w:line="297"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post-termination customer nonsolicitaton restrictions in paragraph 6(a)(3) shall not apply unless the Participant’s annualized cash</w:t>
      </w:r>
    </w:p>
    <w:p>
      <w:pPr>
        <w:spacing w:after="0" w:line="55" w:lineRule="exact"/>
        <w:rPr>
          <w:rFonts w:ascii="Times New Roman" w:cs="Times New Roman" w:eastAsia="Times New Roman" w:hAnsi="Times New Roman"/>
          <w:sz w:val="21"/>
          <w:szCs w:val="21"/>
          <w:color w:val="auto"/>
        </w:rPr>
      </w:pPr>
    </w:p>
    <w:p>
      <w:pPr>
        <w:ind w:left="660" w:right="320"/>
        <w:spacing w:after="0" w:line="29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compensation exceeds 60% of the statutory “highly compensated worker threshold” (“</w:t>
      </w:r>
      <w:r>
        <w:rPr>
          <w:rFonts w:ascii="Times New Roman" w:cs="Times New Roman" w:eastAsia="Times New Roman" w:hAnsi="Times New Roman"/>
          <w:sz w:val="20"/>
          <w:szCs w:val="20"/>
          <w:u w:val="single" w:color="auto"/>
          <w:color w:val="auto"/>
        </w:rPr>
        <w:t>Nonsolicitation Compensation Threshold</w:t>
      </w:r>
      <w:r>
        <w:rPr>
          <w:rFonts w:ascii="Times New Roman" w:cs="Times New Roman" w:eastAsia="Times New Roman" w:hAnsi="Times New Roman"/>
          <w:sz w:val="20"/>
          <w:szCs w:val="20"/>
          <w:color w:val="auto"/>
        </w:rPr>
        <w:t>”) either at the time the Agreement is entered into or at the time of enforcement. The Nonsolicitation Compensation Threshold is US$76,254.60 for 2025.</w:t>
      </w:r>
    </w:p>
    <w:p>
      <w:pPr>
        <w:spacing w:after="0" w:line="229" w:lineRule="exact"/>
        <w:rPr>
          <w:sz w:val="20"/>
          <w:szCs w:val="20"/>
          <w:color w:val="auto"/>
        </w:rPr>
      </w:pPr>
    </w:p>
    <w:p>
      <w:pPr>
        <w:ind w:left="660" w:hanging="328"/>
        <w:spacing w:after="0" w:line="301" w:lineRule="auto"/>
        <w:tabs>
          <w:tab w:leader="none" w:pos="6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 acknowledges that the post-termination noncompetition and customer nonsolicitation restrictions in paragraph 6(a)(1) and 6(a)(3) of the Agreement are no broader than is reasonably necessary to protect the Employer’s trade secrets.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DISTRICT OF COLOMBIA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83"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9"/>
          <w:szCs w:val="19"/>
          <w:b w:val="1"/>
          <w:bCs w:val="1"/>
          <w:color w:val="auto"/>
        </w:rPr>
        <w:t>Restrictions and Covenants</w:t>
      </w:r>
      <w:r>
        <w:rPr>
          <w:rFonts w:ascii="Times New Roman" w:cs="Times New Roman" w:eastAsia="Times New Roman" w:hAnsi="Times New Roman"/>
          <w:sz w:val="19"/>
          <w:szCs w:val="19"/>
          <w:color w:val="auto"/>
        </w:rPr>
        <w:t>. If the Participant is a resident of the District of Colombia, the post-termination noncompetition restrictions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paragraph 6(a)(1) shall not apply unless the Participant’s compensation (including wages, bonus, commissions, vested stock and other payments in connection with employment) is reasonably expected to equal or exceed in a consecutive twelve (12) month period, or does equal or exceed in the consecutive twelve (12) month period preceding the date of the Participant’s termination of employment with the Employer, the statutory threshold for a “highly compensated employee”, which is US$158,363 for 2025 and is adjusted annually for inflation.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ILLINOIS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If the Participant is a resident of Illinois:</w:t>
      </w:r>
    </w:p>
    <w:p>
      <w:pPr>
        <w:spacing w:after="0" w:line="301" w:lineRule="exact"/>
        <w:rPr>
          <w:sz w:val="20"/>
          <w:szCs w:val="20"/>
          <w:color w:val="auto"/>
        </w:rPr>
      </w:pPr>
    </w:p>
    <w:p>
      <w:pPr>
        <w:ind w:left="660" w:right="20" w:hanging="328"/>
        <w:spacing w:after="0" w:line="295" w:lineRule="auto"/>
        <w:tabs>
          <w:tab w:leader="none" w:pos="6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post-termination noncompetition restrictions in paragraph 6(a)(1) shall not apply unless the Participant’s annualized rate of earnings at the time the restrictions are entered into exceeds the statutory minimum, which is US$75,000 per year until December 31,</w:t>
      </w:r>
    </w:p>
    <w:p>
      <w:pPr>
        <w:spacing w:after="0" w:line="1" w:lineRule="exact"/>
        <w:rPr>
          <w:rFonts w:ascii="Times New Roman" w:cs="Times New Roman" w:eastAsia="Times New Roman" w:hAnsi="Times New Roman"/>
          <w:sz w:val="21"/>
          <w:szCs w:val="21"/>
          <w:color w:val="auto"/>
        </w:rPr>
      </w:pPr>
    </w:p>
    <w:p>
      <w:pPr>
        <w:ind w:left="660" w:right="20"/>
        <w:spacing w:after="0" w:line="31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2026 and is scheduled to increase to US$80,000 per year on January 1, 2027, US$85,000 per year on January 1, 2032 and US$90,000 per year on January 1, 2037.</w:t>
      </w:r>
    </w:p>
    <w:p>
      <w:pPr>
        <w:spacing w:after="0" w:line="200" w:lineRule="exact"/>
        <w:rPr>
          <w:sz w:val="20"/>
          <w:szCs w:val="20"/>
          <w:color w:val="auto"/>
        </w:rPr>
      </w:pPr>
    </w:p>
    <w:p>
      <w:pPr>
        <w:ind w:left="660" w:right="380" w:hanging="328"/>
        <w:spacing w:after="0" w:line="315" w:lineRule="auto"/>
        <w:tabs>
          <w:tab w:leader="none" w:pos="6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post-termination employee nonsolicitation restrictions in paragraph 6(a)(2) and the post-termination customer nonsolicitaton restrictions in paragraph 6(a)(3) shall not apply unless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55</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58" w:name="page159"/>
    <w:bookmarkEnd w:id="158"/>
    <w:p>
      <w:pPr>
        <w:ind w:left="660"/>
        <w:spacing w:after="0"/>
        <w:rPr>
          <w:sz w:val="20"/>
          <w:szCs w:val="20"/>
          <w:color w:val="auto"/>
        </w:rPr>
      </w:pPr>
      <w:r>
        <w:rPr>
          <w:rFonts w:ascii="Times New Roman" w:cs="Times New Roman" w:eastAsia="Times New Roman" w:hAnsi="Times New Roman"/>
          <w:sz w:val="20"/>
          <w:szCs w:val="20"/>
          <w:color w:val="auto"/>
        </w:rPr>
        <w:t>Participant’s annualized rate of earnings at the time the restrictions are entered into exceed the statutory minimum, which is</w:t>
      </w:r>
    </w:p>
    <w:p>
      <w:pPr>
        <w:spacing w:after="0" w:line="40" w:lineRule="exact"/>
        <w:rPr>
          <w:sz w:val="20"/>
          <w:szCs w:val="20"/>
          <w:color w:val="auto"/>
        </w:rPr>
      </w:pPr>
    </w:p>
    <w:p>
      <w:pPr>
        <w:ind w:left="660"/>
        <w:spacing w:after="0" w:line="325" w:lineRule="auto"/>
        <w:rPr>
          <w:sz w:val="20"/>
          <w:szCs w:val="20"/>
          <w:color w:val="auto"/>
        </w:rPr>
      </w:pPr>
      <w:r>
        <w:rPr>
          <w:rFonts w:ascii="Times New Roman" w:cs="Times New Roman" w:eastAsia="Times New Roman" w:hAnsi="Times New Roman"/>
          <w:sz w:val="20"/>
          <w:szCs w:val="20"/>
          <w:color w:val="auto"/>
        </w:rPr>
        <w:t>US$45,000 per year until December 31, 2026 and is scheduled to increase to US$47,500 per year on January 1, 2027, US$50,000 per year on January 1, 2032 and US$52,500 per year on January 1, 2037.</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MINNESOTA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Restrictions and Covenants</w:t>
      </w:r>
      <w:r>
        <w:rPr>
          <w:rFonts w:ascii="Times New Roman" w:cs="Times New Roman" w:eastAsia="Times New Roman" w:hAnsi="Times New Roman"/>
          <w:sz w:val="19"/>
          <w:szCs w:val="19"/>
          <w:color w:val="auto"/>
        </w:rPr>
        <w:t>. If the Participant is a resident of Minnesota, the post-termination noncompetition restrictions in paragraph 6(a)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shall not apply.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WASHINGTON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If the Participant is a resident of Washington:</w:t>
      </w:r>
    </w:p>
    <w:p>
      <w:pPr>
        <w:spacing w:after="0" w:line="314" w:lineRule="exact"/>
        <w:rPr>
          <w:sz w:val="20"/>
          <w:szCs w:val="20"/>
          <w:color w:val="auto"/>
        </w:rPr>
      </w:pPr>
    </w:p>
    <w:p>
      <w:pPr>
        <w:ind w:left="660" w:hanging="328"/>
        <w:spacing w:after="0" w:line="289" w:lineRule="auto"/>
        <w:tabs>
          <w:tab w:leader="none" w:pos="6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post-termination noncompetition restrictions in paragraph 6(a)(1) and the post-termination customer nonsolicitation restrictions in paragraph 6(a)(3) shall not apply unless the Participant’s earnings from the Employer exceed the statutory threshold for Box 1 W-2 annual compensation, which is US$126,858.83 for 2026 and is adjusted annually for inflation (“</w:t>
      </w:r>
      <w:r>
        <w:rPr>
          <w:rFonts w:ascii="Times New Roman" w:cs="Times New Roman" w:eastAsia="Times New Roman" w:hAnsi="Times New Roman"/>
          <w:sz w:val="20"/>
          <w:szCs w:val="20"/>
          <w:u w:val="single" w:color="auto"/>
          <w:color w:val="auto"/>
        </w:rPr>
        <w:t>Earnings Threshold</w:t>
      </w:r>
      <w:r>
        <w:rPr>
          <w:rFonts w:ascii="Times New Roman" w:cs="Times New Roman" w:eastAsia="Times New Roman" w:hAnsi="Times New Roman"/>
          <w:sz w:val="20"/>
          <w:szCs w:val="20"/>
          <w:color w:val="auto"/>
        </w:rPr>
        <w:t>”).</w:t>
      </w:r>
    </w:p>
    <w:p>
      <w:pPr>
        <w:spacing w:after="0" w:line="235" w:lineRule="exact"/>
        <w:rPr>
          <w:sz w:val="20"/>
          <w:szCs w:val="20"/>
          <w:color w:val="auto"/>
        </w:rPr>
      </w:pPr>
    </w:p>
    <w:p>
      <w:pPr>
        <w:ind w:left="660" w:right="80" w:hanging="328"/>
        <w:spacing w:after="0" w:line="291" w:lineRule="auto"/>
        <w:tabs>
          <w:tab w:leader="none" w:pos="6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 agrees that if, at the time the Participant signs this Agreement, the Participant’s earnings do not exceed the Earnings Threshold, the post-termination noncompetition restrictions in paragraph 6(a)(1) and the post-termination customer nonsolicitation restrictions in paragraph 6(a)(3) will automatically become enforceable against the Participant if and when the Participant’s earnings exceed the Earnings Threshold.</w:t>
      </w:r>
    </w:p>
    <w:p>
      <w:pPr>
        <w:spacing w:after="0" w:line="207" w:lineRule="exact"/>
        <w:rPr>
          <w:sz w:val="20"/>
          <w:szCs w:val="20"/>
          <w:color w:val="auto"/>
        </w:rPr>
      </w:pPr>
    </w:p>
    <w:p>
      <w:pPr>
        <w:jc w:val="both"/>
        <w:ind w:left="660" w:right="140" w:hanging="328"/>
        <w:spacing w:after="0" w:line="304" w:lineRule="auto"/>
        <w:tabs>
          <w:tab w:leader="none" w:pos="651"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post-termination noncompetition restrictions in paragraph 6(a)(1) and the post-termination customer nonsolicitaton restrictions in paragraph 6(a)(3) shall not apply if the Participant is terminated as the result of a layoff unless, during the period of enforcement,</w:t>
      </w:r>
    </w:p>
    <w:p>
      <w:pPr>
        <w:ind w:left="660" w:right="460"/>
        <w:spacing w:after="0" w:line="30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Employer pays the Participant compensation equivalent to the Participant’s final base pay at the time of termination of employment minus the amount of any compensation the Participant earns through employment after the end of the Participant’s employment with the Employer, which the Participant agrees to promptly disclose. For the purposes of this paragraph, “layoff”</w:t>
      </w:r>
    </w:p>
    <w:p>
      <w:pPr>
        <w:spacing w:after="0" w:line="1" w:lineRule="exact"/>
        <w:rPr>
          <w:rFonts w:ascii="Times New Roman" w:cs="Times New Roman" w:eastAsia="Times New Roman" w:hAnsi="Times New Roman"/>
          <w:sz w:val="19"/>
          <w:szCs w:val="19"/>
          <w:color w:val="auto"/>
        </w:rPr>
      </w:pPr>
    </w:p>
    <w:p>
      <w:pPr>
        <w:ind w:left="660" w:right="40"/>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means termination of the Participant’s employment by the Employer for reasons of the Employer’s insolvency or decline in business, the elimination of the Participant’s position or other purely economic factors, and excludes termination of the Participant’s employment due to the Participant’s performance, misconduct or any other reason, whether with or without cause.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56</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URUGUAY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70"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20"/>
          <w:szCs w:val="20"/>
          <w:b w:val="1"/>
          <w:bCs w:val="1"/>
          <w:color w:val="auto"/>
        </w:rPr>
        <w:t>Data Privacy Consent</w:t>
      </w:r>
      <w:r>
        <w:rPr>
          <w:rFonts w:ascii="Times New Roman" w:cs="Times New Roman" w:eastAsia="Times New Roman" w:hAnsi="Times New Roman"/>
          <w:sz w:val="20"/>
          <w:szCs w:val="20"/>
          <w:color w:val="auto"/>
        </w:rPr>
        <w:t>. The Participant understands that the Data will be collected by the Employer and will be transferred to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905 West Fulton Market, Suite 200, Chicago, Illinois 60607, U.S.A. and/or any financial institutions or brokers involved in the management and administration of the Plan. The Participant further understands that any of these entities may store the Data for purposes of administering the Participant’s participation in the Plan.</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VENEZUELA</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b w:val="1"/>
          <w:bCs w:val="1"/>
          <w:color w:val="auto"/>
        </w:rPr>
        <w:t xml:space="preserve">Investment Representation. </w:t>
      </w:r>
      <w:r>
        <w:rPr>
          <w:rFonts w:ascii="Times New Roman" w:cs="Times New Roman" w:eastAsia="Times New Roman" w:hAnsi="Times New Roman"/>
          <w:sz w:val="20"/>
          <w:szCs w:val="20"/>
          <w:color w:val="auto"/>
        </w:rPr>
        <w:t>As a condition of the LTI Grant, the Participant acknowledges and agrees that any shares of Common Stock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may acquire upon the settlement of the LTI Grant are acquired as and intended to be an investment rather than for the resale of the shares of Common Stock and conversion of shares into foreign currency.</w:t>
      </w:r>
    </w:p>
    <w:p>
      <w:pPr>
        <w:spacing w:after="0" w:line="163"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19"/>
          <w:szCs w:val="19"/>
          <w:b w:val="1"/>
          <w:bCs w:val="1"/>
          <w:color w:val="auto"/>
        </w:rPr>
        <w:t>Exchange Control Information</w:t>
      </w:r>
      <w:r>
        <w:rPr>
          <w:rFonts w:ascii="Times New Roman" w:cs="Times New Roman" w:eastAsia="Times New Roman" w:hAnsi="Times New Roman"/>
          <w:sz w:val="19"/>
          <w:szCs w:val="19"/>
          <w:color w:val="auto"/>
        </w:rPr>
        <w:t>. Exchange control restrictions may limit the ability to vest in the LTI Grant or remit funds into Venezuela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the receipt of the cash proceeds from the sale of shares of Common Stock acquired upon settlement of the LTI Grant under the Plan. The Company reserves the right to further restrict the settlement of the LTI Grant, or to amend or cancel the LTI Grant at any time, in order to comply with the applicable exchange control laws in Venezuela. The Participant is responsible for complying with exchange control laws in Venezuela and neither the Company nor the Employer will be liable for any fines or penalties resulting from the Participant’s failure to comply with applicable laws. Because exchange control laws and regulations change frequently and without notice, the Participant should consult with their personal legal advisor before accepting the LTI Grant to ensure compliance with current regulations.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56"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LTI Grant granted under the Plan and the shares of Common Stock issued under the Plan are offered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 private, exclusive transaction and are not subject to Venezuelan government securities regulations. The LTI Grant granted under the Plan does not qualify as a public offering under the laws of the Bolivarian Republic of Venezuela and, therefore, it is not required to request the previous authorization of the National Superintendent of Securities.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VIETNAM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57</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40" w:right="359" w:bottom="1440" w:gutter="0" w:footer="0" w:header="0"/>
        </w:sectPr>
      </w:pPr>
    </w:p>
    <w:bookmarkStart w:id="160" w:name="page161"/>
    <w:bookmarkEnd w:id="160"/>
    <w:p>
      <w:pPr>
        <w:spacing w:after="0" w:line="328" w:lineRule="auto"/>
        <w:rPr>
          <w:sz w:val="20"/>
          <w:szCs w:val="20"/>
          <w:color w:val="auto"/>
        </w:rPr>
      </w:pPr>
      <w:r>
        <w:rPr>
          <w:rFonts w:ascii="Times New Roman" w:cs="Times New Roman" w:eastAsia="Times New Roman" w:hAnsi="Times New Roman"/>
          <w:sz w:val="19"/>
          <w:szCs w:val="19"/>
          <w:b w:val="1"/>
          <w:bCs w:val="1"/>
          <w:color w:val="auto"/>
        </w:rPr>
        <w:t xml:space="preserve">LTI Grant Payable Only in Cash. </w:t>
      </w:r>
      <w:r>
        <w:rPr>
          <w:rFonts w:ascii="Times New Roman" w:cs="Times New Roman" w:eastAsia="Times New Roman" w:hAnsi="Times New Roman"/>
          <w:sz w:val="19"/>
          <w:szCs w:val="19"/>
          <w:color w:val="auto"/>
        </w:rPr>
        <w:t>Notwithstanding any discretion in the Plan or anything to the contrary in the Agreement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paragraph 4 of the Agreement), the LTI Grant does not provide any right for the Participant to receive shares of Common Stock. The LTI Grant made to the Participant in Vietnam shall be paid in cash in an amount equal to the cash equivalent value of the LTI Award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58</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0840"/>
          </w:cols>
          <w:pgMar w:left="320" w:top="1436" w:right="7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MONDELĒZ INTERNATIONAL,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2024 PERFORMANCE INCENTIVE PLAN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DEFERRED STOCK UNIT AGREEMENT</w:t>
      </w:r>
    </w:p>
    <w:p>
      <w:pPr>
        <w:spacing w:after="0" w:line="22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0"/>
          <w:szCs w:val="20"/>
          <w:color w:val="auto"/>
        </w:rPr>
        <w:t>MONDELĒZ INTERNATIONAL, INC., a Virginia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hereby grants to the employee (the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named in the award statement provided to the Employee (the “</w:t>
      </w:r>
      <w:r>
        <w:rPr>
          <w:rFonts w:ascii="Times New Roman" w:cs="Times New Roman" w:eastAsia="Times New Roman" w:hAnsi="Times New Roman"/>
          <w:sz w:val="20"/>
          <w:szCs w:val="20"/>
          <w:u w:val="single" w:color="auto"/>
          <w:color w:val="auto"/>
        </w:rPr>
        <w:t>Award Statement</w:t>
      </w:r>
      <w:r>
        <w:rPr>
          <w:rFonts w:ascii="Times New Roman" w:cs="Times New Roman" w:eastAsia="Times New Roman" w:hAnsi="Times New Roman"/>
          <w:sz w:val="20"/>
          <w:szCs w:val="20"/>
          <w:color w:val="auto"/>
        </w:rPr>
        <w:t>”) as of the date set forth in the Award Statement (the “</w:t>
      </w: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pursuant to the provisions of the Mondelēz International, Inc. 2024 Performance Incentive Plan, as may be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Deferred Stock Units (the “</w:t>
      </w: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representing a right to receive a corresponding number of shares of Common Stock of the Company set forth in the Award Statement, upon and subject to the restrictions, terms and conditions set forth below (including the country-specific terms set forth in the attached Appendix A), in the Award Statement and in the Plan. Capitalized terms not otherwise defined in this Global Deferred Stock Unit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have the same meaning as defined under the Plan. All references to action of or approval by the Committee shall be deemed to include action of or approval by any other person(s) to whom the Committee has delegated authority to act.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Grant is subject to the following terms and conditions (including the country-specific terms set forth in Appendix A to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203" w:lineRule="exact"/>
        <w:rPr>
          <w:sz w:val="20"/>
          <w:szCs w:val="20"/>
          <w:color w:val="auto"/>
        </w:rPr>
      </w:pPr>
    </w:p>
    <w:p>
      <w:pPr>
        <w:jc w:val="both"/>
        <w:ind w:right="60"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The Employee must either execute and deliver an acceptance of the terms set forth in this Agreement or electronically accept the terms set forth in this Agreement, in the manner and within a period specified by the Committee. The Committee may, in its sole discretion, cancel the Deferred Stock Units if the Employee fails to accept this Agreement and related documents within the specified period or using the procedures for acceptance established by the Committee.</w:t>
      </w:r>
    </w:p>
    <w:p>
      <w:pPr>
        <w:spacing w:after="0" w:line="174" w:lineRule="exact"/>
        <w:rPr>
          <w:sz w:val="20"/>
          <w:szCs w:val="20"/>
          <w:color w:val="auto"/>
        </w:rPr>
      </w:pPr>
    </w:p>
    <w:p>
      <w:pPr>
        <w:ind w:right="60" w:firstLine="656"/>
        <w:spacing w:after="0" w:line="281" w:lineRule="auto"/>
        <w:tabs>
          <w:tab w:leader="none" w:pos="994"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w:t>
      </w:r>
      <w:r>
        <w:rPr>
          <w:rFonts w:ascii="Times New Roman" w:cs="Times New Roman" w:eastAsia="Times New Roman" w:hAnsi="Times New Roman"/>
          <w:sz w:val="19"/>
          <w:szCs w:val="19"/>
          <w:color w:val="auto"/>
        </w:rPr>
        <w:t>. Except as expressly provided in this Agreement, the restrictions on the Deferred Stock Units shall lapse and the Deferred Stock Units shall vest on the Vesting Date shown in the Award Statement (the “</w:t>
      </w:r>
      <w:r>
        <w:rPr>
          <w:rFonts w:ascii="Times New Roman" w:cs="Times New Roman" w:eastAsia="Times New Roman" w:hAnsi="Times New Roman"/>
          <w:sz w:val="19"/>
          <w:szCs w:val="19"/>
          <w:u w:val="single" w:color="auto"/>
          <w:color w:val="auto"/>
        </w:rPr>
        <w:t>Vesting Date</w:t>
      </w:r>
      <w:r>
        <w:rPr>
          <w:rFonts w:ascii="Times New Roman" w:cs="Times New Roman" w:eastAsia="Times New Roman" w:hAnsi="Times New Roman"/>
          <w:sz w:val="19"/>
          <w:szCs w:val="19"/>
          <w:color w:val="auto"/>
        </w:rPr>
        <w:t>”), provided that the Employee remains an active employee of the Mondelēz Group during the entire period commencing on the Grant Date and ending on the Vesting Date.</w:t>
      </w:r>
    </w:p>
    <w:p>
      <w:pPr>
        <w:spacing w:after="0" w:line="150" w:lineRule="exact"/>
        <w:rPr>
          <w:rFonts w:ascii="Times New Roman" w:cs="Times New Roman" w:eastAsia="Times New Roman" w:hAnsi="Times New Roman"/>
          <w:sz w:val="19"/>
          <w:szCs w:val="19"/>
          <w:color w:val="auto"/>
        </w:rPr>
      </w:pPr>
    </w:p>
    <w:p>
      <w:pPr>
        <w:ind w:right="60" w:firstLine="656"/>
        <w:spacing w:after="0" w:line="254" w:lineRule="auto"/>
        <w:tabs>
          <w:tab w:leader="none" w:pos="99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Before Vesting Date</w:t>
      </w:r>
      <w:r>
        <w:rPr>
          <w:rFonts w:ascii="Times New Roman" w:cs="Times New Roman" w:eastAsia="Times New Roman" w:hAnsi="Times New Roman"/>
          <w:sz w:val="20"/>
          <w:szCs w:val="20"/>
          <w:color w:val="auto"/>
        </w:rPr>
        <w:t>. Unless determined otherwise by the Committee or except as expressly provided in this Agreement, if the Employee terminated employment with the Mondelēz Group prior to the Vesting Date, the Employee shall forfeit all rights to the Deferred Stock Units and the shares of Common Stock underlying the Deferred Stock Units. If the Employee terminates employment with the Mondelēz Group prior to the Vesting Date due to:</w:t>
      </w:r>
    </w:p>
    <w:p>
      <w:pPr>
        <w:spacing w:after="0" w:line="173" w:lineRule="exact"/>
        <w:rPr>
          <w:rFonts w:ascii="Times New Roman" w:cs="Times New Roman" w:eastAsia="Times New Roman" w:hAnsi="Times New Roman"/>
          <w:sz w:val="20"/>
          <w:szCs w:val="20"/>
          <w:color w:val="auto"/>
        </w:rPr>
      </w:pPr>
    </w:p>
    <w:p>
      <w:pPr>
        <w:ind w:right="280" w:firstLine="1304"/>
        <w:spacing w:after="0" w:line="310" w:lineRule="auto"/>
        <w:tabs>
          <w:tab w:leader="none" w:pos="1713"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Employee’s death or Disability (as defined below in paragraph 21), the restrictions on the Deferred Stock Units shall lapse and the Deferred Stock Units shall become fully vested on the date of the Employee’s death or termination due to Disability; or</w:t>
      </w:r>
    </w:p>
    <w:p>
      <w:pPr>
        <w:spacing w:after="0" w:line="124" w:lineRule="exact"/>
        <w:rPr>
          <w:rFonts w:ascii="Times New Roman" w:cs="Times New Roman" w:eastAsia="Times New Roman" w:hAnsi="Times New Roman"/>
          <w:sz w:val="19"/>
          <w:szCs w:val="19"/>
          <w:color w:val="auto"/>
        </w:rPr>
      </w:pPr>
    </w:p>
    <w:p>
      <w:pPr>
        <w:ind w:right="440" w:firstLine="1304"/>
        <w:spacing w:after="0" w:line="250" w:lineRule="auto"/>
        <w:tabs>
          <w:tab w:leader="none" w:pos="1725"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Employee’s Retirement (as defined below in paragraph 21), or as otherwise determined by the Committee, and provided that (i) the Deferred Stock Units are not otherwise accounted for, or included in, the Employee’s severance or retirement arrangement with the Mondelēz Group; (ii) the Employee timely executes a general release and waiver of claims in a form and manner determined by the Company in its sole discretion; and (iii) the Retirement date occurs on or after the 181st day following the Grant Date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382" w:right="339" w:bottom="1440" w:gutter="0" w:footer="0" w:header="0"/>
        </w:sectPr>
      </w:pPr>
    </w:p>
    <w:bookmarkStart w:id="162" w:name="page163"/>
    <w:bookmarkEnd w:id="162"/>
    <w:p>
      <w:pPr>
        <w:ind w:left="660" w:right="80" w:firstLine="1292"/>
        <w:spacing w:after="0" w:line="261" w:lineRule="auto"/>
        <w:tabs>
          <w:tab w:leader="none" w:pos="223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Employee’s Retirement occurs because the Employee is age 65 or older with at least five (5) or more years of active continuous employment with the Mondelēz Group, the restrictions on the Deferred Stock Units shall lapse and the Deferred Stock Units shall become fully vested on the date of the Employee’s Retirement;</w:t>
      </w:r>
    </w:p>
    <w:p>
      <w:pPr>
        <w:spacing w:after="0" w:line="167" w:lineRule="exact"/>
        <w:rPr>
          <w:rFonts w:ascii="Times New Roman" w:cs="Times New Roman" w:eastAsia="Times New Roman" w:hAnsi="Times New Roman"/>
          <w:sz w:val="20"/>
          <w:szCs w:val="20"/>
          <w:color w:val="auto"/>
        </w:rPr>
      </w:pPr>
    </w:p>
    <w:p>
      <w:pPr>
        <w:jc w:val="both"/>
        <w:ind w:left="660" w:firstLine="1292"/>
        <w:spacing w:after="0" w:line="250" w:lineRule="auto"/>
        <w:tabs>
          <w:tab w:leader="none" w:pos="223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Employee’s Retirement occurs because the Employee is age 55 or older with at least ten (10) or more years of active continuous employment with the Mondelēz Group, the Deferred Stock Units will vest on a pro-rata basis. The proration amount will be a fraction, the numerator of which is the number of months (excluding the month of the Grant Date and including partial months thereafter, rounded up to the next whole month) the Employee was actively employed by the Mondelēz Group during the vesting period and the denominator of which is the total number of months in the vesting period.</w:t>
      </w:r>
    </w:p>
    <w:p>
      <w:pPr>
        <w:spacing w:after="0" w:line="193" w:lineRule="exact"/>
        <w:rPr>
          <w:sz w:val="20"/>
          <w:szCs w:val="20"/>
          <w:color w:val="auto"/>
        </w:rPr>
      </w:pPr>
    </w:p>
    <w:p>
      <w:pPr>
        <w:ind w:right="40" w:firstLine="648"/>
        <w:spacing w:after="0" w:line="295" w:lineRule="auto"/>
        <w:rPr>
          <w:sz w:val="20"/>
          <w:szCs w:val="20"/>
          <w:color w:val="auto"/>
        </w:rPr>
      </w:pPr>
      <w:r>
        <w:rPr>
          <w:rFonts w:ascii="Times New Roman" w:cs="Times New Roman" w:eastAsia="Times New Roman" w:hAnsi="Times New Roman"/>
          <w:sz w:val="19"/>
          <w:szCs w:val="19"/>
          <w:color w:val="auto"/>
        </w:rPr>
        <w:t>For clarity, in the event any of (i), (ii) or (iii) of this subsection 2(b) are not met then, unless determined otherwise by the Committee, the Employee shall forfeit all rights to the Deferred Stock Units and the shares of Common Stock underlying the Deferred Stock Units.</w:t>
      </w:r>
    </w:p>
    <w:p>
      <w:pPr>
        <w:spacing w:after="0" w:line="138" w:lineRule="exact"/>
        <w:rPr>
          <w:sz w:val="20"/>
          <w:szCs w:val="20"/>
          <w:color w:val="auto"/>
        </w:rPr>
      </w:pPr>
    </w:p>
    <w:p>
      <w:pPr>
        <w:ind w:right="160" w:firstLine="648"/>
        <w:spacing w:after="0" w:line="249" w:lineRule="auto"/>
        <w:rPr>
          <w:sz w:val="20"/>
          <w:szCs w:val="20"/>
          <w:color w:val="auto"/>
        </w:rPr>
      </w:pPr>
      <w:r>
        <w:rPr>
          <w:rFonts w:ascii="Times New Roman" w:cs="Times New Roman" w:eastAsia="Times New Roman" w:hAnsi="Times New Roman"/>
          <w:sz w:val="20"/>
          <w:szCs w:val="20"/>
          <w:color w:val="auto"/>
        </w:rPr>
        <w:t>For purposes of this Agreement, the Employee’s employment shall be deemed to be terminated when he or she is no longer actively employed by the Mondelēz Group (regardless of the reason for such termination and whether or not later found to be invalid or in breach of employment laws in the jurisdiction where the Employee is employed or the terms of the Employee’s employment agreement, if any). The Employee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Employee is no longer actively employed for purposes of the Deferred Stock Units. Unless otherwise determined by the Committee, leaves of absence shall not constitute a termination of employment for purposes of this Agreement.</w:t>
      </w:r>
    </w:p>
    <w:p>
      <w:pPr>
        <w:spacing w:after="0" w:line="184" w:lineRule="exact"/>
        <w:rPr>
          <w:sz w:val="20"/>
          <w:szCs w:val="20"/>
          <w:color w:val="auto"/>
        </w:rPr>
      </w:pPr>
    </w:p>
    <w:p>
      <w:pPr>
        <w:ind w:right="20" w:firstLine="656"/>
        <w:spacing w:after="0" w:line="251" w:lineRule="auto"/>
        <w:tabs>
          <w:tab w:leader="none" w:pos="99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 and Dividend Rights</w:t>
      </w:r>
      <w:r>
        <w:rPr>
          <w:rFonts w:ascii="Times New Roman" w:cs="Times New Roman" w:eastAsia="Times New Roman" w:hAnsi="Times New Roman"/>
          <w:sz w:val="20"/>
          <w:szCs w:val="20"/>
          <w:color w:val="auto"/>
        </w:rPr>
        <w:t>. The Employee does not have the right to vote the Deferred Stock Units or receive dividends or dividend equivalents prior to the date, if any, such Deferred Stock Units vest and are paid to the Employee in the form of Common Stock pursuant to the terms hereof. However, the Employee shall be eligible to receive cash payments (less applicable Tax-Related Items (as defined below)) in lieu of dividends otherwise payable with respect to shares of Common Stock equal in number to the unpaid Deferred Stock Units that have not been forfeited, which shall be subject to the same vesting restrictions as the underlying Deferred Stock Units and be paid following the vesting of such Deferred Stock Units within the timeframe set forth in paragraph 7 below.</w:t>
      </w:r>
    </w:p>
    <w:p>
      <w:pPr>
        <w:spacing w:after="0" w:line="176" w:lineRule="exact"/>
        <w:rPr>
          <w:rFonts w:ascii="Times New Roman" w:cs="Times New Roman" w:eastAsia="Times New Roman" w:hAnsi="Times New Roman"/>
          <w:sz w:val="20"/>
          <w:szCs w:val="20"/>
          <w:color w:val="auto"/>
        </w:rPr>
      </w:pPr>
    </w:p>
    <w:p>
      <w:pPr>
        <w:jc w:val="both"/>
        <w:ind w:right="180" w:firstLine="656"/>
        <w:spacing w:after="0" w:line="254" w:lineRule="auto"/>
        <w:tabs>
          <w:tab w:leader="none" w:pos="99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Restrictions</w:t>
      </w:r>
      <w:r>
        <w:rPr>
          <w:rFonts w:ascii="Times New Roman" w:cs="Times New Roman" w:eastAsia="Times New Roman" w:hAnsi="Times New Roman"/>
          <w:sz w:val="20"/>
          <w:szCs w:val="20"/>
          <w:color w:val="auto"/>
        </w:rPr>
        <w:t>. This Grant and the Deferred Stock Units are non-transferable and may not be assigned, hypothecated or otherwise pledged and shall not be subject to execution, attachment or similar process. Upon any attempt to effect any such disposition, or upon the levy of any such process, the Grant shall immediately become null and void and the Deferred Stock Units shall be forfeited. These restrictions shall not apply, however, to any payments received pursuant to paragraph 7 below.</w:t>
      </w:r>
    </w:p>
    <w:p>
      <w:pPr>
        <w:spacing w:after="0" w:line="173" w:lineRule="exact"/>
        <w:rPr>
          <w:rFonts w:ascii="Times New Roman" w:cs="Times New Roman" w:eastAsia="Times New Roman" w:hAnsi="Times New Roman"/>
          <w:sz w:val="20"/>
          <w:szCs w:val="20"/>
          <w:color w:val="auto"/>
        </w:rPr>
      </w:pPr>
    </w:p>
    <w:p>
      <w:pPr>
        <w:ind w:right="20" w:firstLine="656"/>
        <w:spacing w:after="0" w:line="253" w:lineRule="auto"/>
        <w:tabs>
          <w:tab w:leader="none" w:pos="99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 The Employee acknowledges that regardless of any action taken by the Company or, if different, the Employee’s employer (the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the ultimate liability for all income tax, social insurance, payroll tax, fringe benefits tax, payment on account or other tax-related items related to the Employee’s participation in the Plan and legally applicable to the Employee or deemed by the Company or the Employer, in their discretion, to be an appropriate charge to the Employee even if legally applicable to the Company or the Employer (“</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is and remains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63" w:name="page164"/>
    <w:bookmarkEnd w:id="163"/>
    <w:p>
      <w:pPr>
        <w:spacing w:after="0" w:line="262" w:lineRule="auto"/>
        <w:rPr>
          <w:sz w:val="20"/>
          <w:szCs w:val="20"/>
          <w:color w:val="auto"/>
        </w:rPr>
      </w:pPr>
      <w:r>
        <w:rPr>
          <w:rFonts w:ascii="Times New Roman" w:cs="Times New Roman" w:eastAsia="Times New Roman" w:hAnsi="Times New Roman"/>
          <w:sz w:val="19"/>
          <w:szCs w:val="19"/>
          <w:color w:val="auto"/>
        </w:rPr>
        <w:t>responsibility and may exceed the amount, if any, actually withheld by the Company or the Employer. The Employee further acknowledges that the Company and/or the Employer (a) make no representations or undertakings regarding the treatment of any Tax-Related Items in connection with any aspect of the Deferred Stock Units, including the grant, vesting or settlement of the Deferred Stock Units, the receipt of any dividends or cash payments in lieu of dividends, or the subsequent sale of shares of Common Stock; and (b) do not commit to and are under no obligation to structure the terms of the grant of the Deferred Stock Units or any aspect of the Employee’s participation in the Plan to reduce or eliminate their liability for Tax-Related Items or achieve any particular tax result. Further, if the Employee becomes subject to any Tax-Related Items in more than one jurisdiction, the Employee acknowledges that the Company and/or the Employer (or former employer, as applicable) may be required to withhold or account for (including report) Tax-Related Items in more than one jurisdiction.</w:t>
      </w:r>
    </w:p>
    <w:p>
      <w:pPr>
        <w:spacing w:after="0" w:line="18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Employee acknowledges and agrees that the Company may refuse to issue or deliver shares of Common Stock upon vesting of the Deferred Stock Units if Employee fails to comply with their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spacing w:after="0" w:line="179"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9"/>
          <w:szCs w:val="19"/>
          <w:color w:val="auto"/>
        </w:rPr>
        <w:t>In this regard, the Employee authorizes the Company and/or the Employer, in their sole discretion and without any notice or further authorization by the Employee, to satisfy any applicable withholding obligations with regard to all Tax-Related Items legally due by the Employee (or otherwise due by the Employee as set forth in this paragraph 5) and any hypothetical taxes from the Employee’s wages or other cash compensation paid by the Company and/or the Employer or from proceeds of the sale of the shares of Common Stock issued upon vesting of the Deferred Stock Units, in which case, the Company may instruct the broker it has selected for this purpose (on the Employee’s behalf and at the Employee’s direction pursuant to this authorization without further consent) to sell any shares of Common Stock that the Employee acquires upon vesting of the Deferred Stock Units, except to the extent that such a sale would violate any U.S. federal securities law or other applicable law. Alternatively, or in addition, the Company may (i) deduct the number of Deferred Stock Units having an aggregate value equal to the amount of Tax-Related Items and any hypothetical taxes due from the total number of Deferred Stock Units awarded, vested, paid or otherwise becoming subject to current taxation; and/or (ii) satisfy the Tax-Related Items and any hypothetical taxes arising from the vesting of the Deferred Stock Units through any other method established by the Company. Notwithstanding the foregoing, if the Employee is subject to the short-swing profit rules of Section 16(b) of the Exchange Act, the Company will withhold in shares of Common Stock issuable at vesting of the Deferred Stock Units upon the relevant withholding event or the Committee may determine that a particular method be used to satisfy any required withholding. Finally, the Employee agrees to pay to the Company or the Employer any amount of Tax-Related Items and any hypothetical taxes that the Company or the Employer may be required to withhold or account for as a result of the Employee’s participation in the Plan that cannot be satisfied by the means previously described.</w:t>
      </w:r>
    </w:p>
    <w:p>
      <w:pPr>
        <w:spacing w:after="0" w:line="197" w:lineRule="exact"/>
        <w:rPr>
          <w:sz w:val="20"/>
          <w:szCs w:val="20"/>
          <w:color w:val="auto"/>
        </w:rPr>
      </w:pPr>
    </w:p>
    <w:p>
      <w:pPr>
        <w:ind w:right="40" w:firstLine="392"/>
        <w:spacing w:after="0" w:line="248" w:lineRule="auto"/>
        <w:rPr>
          <w:sz w:val="20"/>
          <w:szCs w:val="20"/>
          <w:color w:val="auto"/>
        </w:rPr>
      </w:pPr>
      <w:r>
        <w:rPr>
          <w:rFonts w:ascii="Times New Roman" w:cs="Times New Roman" w:eastAsia="Times New Roman" w:hAnsi="Times New Roman"/>
          <w:sz w:val="20"/>
          <w:szCs w:val="20"/>
          <w:color w:val="auto"/>
        </w:rPr>
        <w:t>The Company may withhold or account for Tax-Related Items and any hypothetical taxes by considering statutory withholding rates (in accordance with Section 14(d) of the Plan) or other withholding rates, including minimum rates or maximum rates applicable in the Employee’s jurisdiction(s), in which case the Employee may receive a refund of any over-withheld amount in cash and will have no entitlement to the equivalent shares of Common Stock or, if not refunded, the Employee may be able to seek a refund from the applicable tax authorities. In the event of under-withholding, the Employee may be required to pay any additional Tax-Related Items directly to the applicable tax authority or to the Company and/or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13" w:right="359" w:bottom="1440" w:gutter="0" w:footer="0" w:header="0"/>
        </w:sectPr>
      </w:pPr>
    </w:p>
    <w:bookmarkStart w:id="164" w:name="page165"/>
    <w:bookmarkEnd w:id="164"/>
    <w:p>
      <w:pPr>
        <w:spacing w:after="0" w:line="254" w:lineRule="auto"/>
        <w:rPr>
          <w:sz w:val="20"/>
          <w:szCs w:val="20"/>
          <w:color w:val="auto"/>
        </w:rPr>
      </w:pPr>
      <w:r>
        <w:rPr>
          <w:rFonts w:ascii="Times New Roman" w:cs="Times New Roman" w:eastAsia="Times New Roman" w:hAnsi="Times New Roman"/>
          <w:sz w:val="20"/>
          <w:szCs w:val="20"/>
          <w:color w:val="auto"/>
        </w:rPr>
        <w:t>Employer. If the obligation for Tax-Related Items is satisfied by withholding in shares of Common Stock, for tax purposes, the Employee is deemed to have been issued the full number of shares of Common Stock underlying the Grant, notwithstanding that a number of shares of Common Stock are held back solely for the purpose of paying the Tax-Related Items and/or hypothetical taxes due as a result of any aspect of the Employee’s participation in the Plan.</w:t>
      </w:r>
    </w:p>
    <w:p>
      <w:pPr>
        <w:spacing w:after="0" w:line="174" w:lineRule="exact"/>
        <w:rPr>
          <w:sz w:val="20"/>
          <w:szCs w:val="20"/>
          <w:color w:val="auto"/>
        </w:rPr>
      </w:pPr>
    </w:p>
    <w:p>
      <w:pPr>
        <w:ind w:right="140" w:firstLine="656"/>
        <w:spacing w:after="0" w:line="283" w:lineRule="auto"/>
        <w:tabs>
          <w:tab w:leader="none" w:pos="99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of Employee</w:t>
      </w:r>
      <w:r>
        <w:rPr>
          <w:rFonts w:ascii="Times New Roman" w:cs="Times New Roman" w:eastAsia="Times New Roman" w:hAnsi="Times New Roman"/>
          <w:sz w:val="20"/>
          <w:szCs w:val="20"/>
          <w:color w:val="auto"/>
        </w:rPr>
        <w:t>. If any of the Deferred Stock Units shall vest upon the death of the Employee, any Common Stock received in payment of the vested Deferred Stock Units shall be registered in the name of and delivered to the estate of the Employee.</w:t>
      </w:r>
    </w:p>
    <w:p>
      <w:pPr>
        <w:spacing w:after="0" w:line="146" w:lineRule="exact"/>
        <w:rPr>
          <w:rFonts w:ascii="Times New Roman" w:cs="Times New Roman" w:eastAsia="Times New Roman" w:hAnsi="Times New Roman"/>
          <w:sz w:val="20"/>
          <w:szCs w:val="20"/>
          <w:color w:val="auto"/>
        </w:rPr>
      </w:pPr>
    </w:p>
    <w:p>
      <w:pPr>
        <w:ind w:right="140" w:firstLine="656"/>
        <w:spacing w:after="0" w:line="247" w:lineRule="auto"/>
        <w:tabs>
          <w:tab w:leader="none" w:pos="99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Deferred Stock Units</w:t>
      </w:r>
      <w:r>
        <w:rPr>
          <w:rFonts w:ascii="Times New Roman" w:cs="Times New Roman" w:eastAsia="Times New Roman" w:hAnsi="Times New Roman"/>
          <w:sz w:val="20"/>
          <w:szCs w:val="20"/>
          <w:color w:val="auto"/>
        </w:rPr>
        <w:t>. Each Deferred Stock Unit granted pursuant to this Grant represents an unfunded and unsecured promise of the Company to issue to the Employee, after the date the Deferred Stock Units vest pursuant to paragraph 1 or 2 and otherwise subject to the terms of this Agreement (including the country-specific terms set forth in Appendix A to this Agreement), the value of one share of the Common Stock. Except as otherwise expressly provided and subject to the terms of this Agreement (including Appendix A hereto and paragraph 9), such issuance shall be made to the Employee (or, in the event of their death to the Employee’s estate or beneficiary as provided above) in the form of Common Stock as soon as practicable, but not later than 30 days, following the vesting of the Deferred Stock Units pursuant to paragraph 1 or 2 (and with respect to the vesting of Deferred Stock Units pursuant to paragraph 1, in no event later than the last day of the calendar year in which such vesting occurred).</w:t>
      </w:r>
    </w:p>
    <w:p>
      <w:pPr>
        <w:spacing w:after="0" w:line="199" w:lineRule="exact"/>
        <w:rPr>
          <w:rFonts w:ascii="Times New Roman" w:cs="Times New Roman" w:eastAsia="Times New Roman" w:hAnsi="Times New Roman"/>
          <w:sz w:val="20"/>
          <w:szCs w:val="20"/>
          <w:color w:val="auto"/>
        </w:rPr>
      </w:pPr>
    </w:p>
    <w:p>
      <w:pPr>
        <w:ind w:firstLine="656"/>
        <w:spacing w:after="0" w:line="249" w:lineRule="auto"/>
        <w:tabs>
          <w:tab w:leader="none" w:pos="99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Payment Provisions</w:t>
      </w:r>
      <w:r>
        <w:rPr>
          <w:rFonts w:ascii="Times New Roman" w:cs="Times New Roman" w:eastAsia="Times New Roman" w:hAnsi="Times New Roman"/>
          <w:sz w:val="20"/>
          <w:szCs w:val="20"/>
          <w:color w:val="auto"/>
        </w:rPr>
        <w:t>. Notwithstanding anything to the contrary in the Agreement, if the Deferred Stock Units are considered nonqualified deferred compensation subject to Section 409A of the Code and are settled on or on a date that is by reference to the Employee’s “separation from service” and the Employee is a “specified employee” (each within the meaning of Section 409A of the Code and each determined by the Company it its sole discretion) on the date the Employee experiences a separation from service, then the Deferred Stock Units (or applicable portion thereof) shall be settled on the first business day of the seventh month following the Employee’s separation from service, or, if earlier, on the date of the Employee’s death, to the extent such delayed payment is required in order to avoid a prohibited distribution under Section 409A of the Code.</w:t>
      </w:r>
    </w:p>
    <w:p>
      <w:pPr>
        <w:spacing w:after="0" w:line="179"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and Covenants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656"/>
        <w:spacing w:after="0" w:line="261" w:lineRule="auto"/>
        <w:tabs>
          <w:tab w:leader="none" w:pos="128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such other conditions as may be established by the Company or the Committee, in consideration for making a Grant under the terms of the Plan, the Employee agrees and covenants as follows for a period of twelve (12) months following the date of the Employee’s termination of employment from the Mondelēz Group:</w:t>
      </w:r>
    </w:p>
    <w:p>
      <w:pPr>
        <w:spacing w:after="0" w:line="167" w:lineRule="exact"/>
        <w:rPr>
          <w:rFonts w:ascii="Times New Roman" w:cs="Times New Roman" w:eastAsia="Times New Roman" w:hAnsi="Times New Roman"/>
          <w:sz w:val="20"/>
          <w:szCs w:val="20"/>
          <w:color w:val="auto"/>
        </w:rPr>
      </w:pPr>
    </w:p>
    <w:p>
      <w:pPr>
        <w:ind w:left="1300" w:right="100" w:hanging="320"/>
        <w:spacing w:after="0" w:line="248" w:lineRule="auto"/>
        <w:tabs>
          <w:tab w:leader="none" w:pos="130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Employee, without the express written permission of the Company’s chief human resources officer, will not engage in any conduct in which the Employee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65" w:name="page166"/>
    <w:bookmarkEnd w:id="165"/>
    <w:p>
      <w:pPr>
        <w:ind w:left="1300" w:right="540"/>
        <w:spacing w:after="0" w:line="254" w:lineRule="auto"/>
        <w:rPr>
          <w:sz w:val="20"/>
          <w:szCs w:val="20"/>
          <w:color w:val="auto"/>
        </w:rPr>
      </w:pPr>
      <w:r>
        <w:rPr>
          <w:rFonts w:ascii="Times New Roman" w:cs="Times New Roman" w:eastAsia="Times New Roman" w:hAnsi="Times New Roman"/>
          <w:sz w:val="20"/>
          <w:szCs w:val="20"/>
          <w:color w:val="auto"/>
        </w:rPr>
        <w:t>product or service the Employee has reason to know has been under development by the Mondelēz Group during the Employee’s employment with the Mondelēz Group). The Employee will not engage in any activity that may require or inevitably require the Employee’s use or disclosure of the Mondelēz Group’s confidential information, proprietary information and/or trade secrets;</w:t>
      </w:r>
    </w:p>
    <w:p>
      <w:pPr>
        <w:spacing w:after="0" w:line="174" w:lineRule="exact"/>
        <w:rPr>
          <w:sz w:val="20"/>
          <w:szCs w:val="20"/>
          <w:color w:val="auto"/>
        </w:rPr>
      </w:pPr>
    </w:p>
    <w:p>
      <w:pPr>
        <w:ind w:left="1300" w:right="380" w:hanging="320"/>
        <w:spacing w:after="0" w:line="254" w:lineRule="auto"/>
        <w:tabs>
          <w:tab w:leader="none" w:pos="1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investment in its employees and to ensure the long-term success of the business, the Employee, without the express written permission of the Company’s chief human resources officer, will not directly or indirectly solicit, hire, recruit, attempt to hire or recruit, or induce the termination of employment of any employee of the Mondelēz Group; and</w:t>
      </w:r>
    </w:p>
    <w:p>
      <w:pPr>
        <w:spacing w:after="0" w:line="187" w:lineRule="exact"/>
        <w:rPr>
          <w:rFonts w:ascii="Times New Roman" w:cs="Times New Roman" w:eastAsia="Times New Roman" w:hAnsi="Times New Roman"/>
          <w:sz w:val="20"/>
          <w:szCs w:val="20"/>
          <w:color w:val="auto"/>
        </w:rPr>
      </w:pPr>
    </w:p>
    <w:p>
      <w:pPr>
        <w:ind w:left="1300" w:right="20" w:hanging="320"/>
        <w:spacing w:after="0" w:line="250" w:lineRule="auto"/>
        <w:tabs>
          <w:tab w:leader="none" w:pos="1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the Mondelēz Group’s investment in its development of goodwill and customers and to ensure the long-term success of the business, the Employee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79" w:lineRule="exact"/>
        <w:rPr>
          <w:sz w:val="20"/>
          <w:szCs w:val="20"/>
          <w:color w:val="auto"/>
        </w:rPr>
      </w:pPr>
    </w:p>
    <w:p>
      <w:pPr>
        <w:ind w:right="740"/>
        <w:spacing w:after="0" w:line="283" w:lineRule="auto"/>
        <w:rPr>
          <w:sz w:val="20"/>
          <w:szCs w:val="20"/>
          <w:color w:val="auto"/>
        </w:rPr>
      </w:pPr>
      <w:r>
        <w:rPr>
          <w:rFonts w:ascii="Times New Roman" w:cs="Times New Roman" w:eastAsia="Times New Roman" w:hAnsi="Times New Roman"/>
          <w:sz w:val="20"/>
          <w:szCs w:val="20"/>
          <w:color w:val="auto"/>
        </w:rPr>
        <w:t>The provisions contained herein in paragraph 9 are not in lieu of, but are in addition to, the Employee’s confidentiality obligations to Mondelēz Group</w:t>
      </w:r>
    </w:p>
    <w:p>
      <w:pPr>
        <w:spacing w:after="0" w:line="173" w:lineRule="exact"/>
        <w:rPr>
          <w:sz w:val="20"/>
          <w:szCs w:val="20"/>
          <w:color w:val="auto"/>
        </w:rPr>
      </w:pPr>
    </w:p>
    <w:p>
      <w:pPr>
        <w:ind w:firstLine="656"/>
        <w:spacing w:after="0" w:line="261" w:lineRule="auto"/>
        <w:tabs>
          <w:tab w:leader="none" w:pos="1284"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Employee is under a continuing obligation (which the Employee acknowledges by accepting any Grant under the Plan) to not use or disclose the Mondelēz Group’s trade secrets or Confidential Information known to the Employee until any particular trade secret or Confidential Information becomes generally known (through no fault of the Employee), whereupon the restriction on use and disclosure shall cease as to that item. For purposes of this agreement,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includes, but is not limited to, certain sales, marketing, strategy, financial, product, personnel, manufacturing, technical and other proprietary information and material which are the property of the Mondelēz Group. The Employee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The Employee understands and agrees that Confidential Information developed by the Employee in the course of the Employee’s employment by the Employer shall be subject to the terms and conditions of this Agreement as if the Employer furnished the same Confidential Information to the Employee in the first instance.</w:t>
      </w:r>
    </w:p>
    <w:p>
      <w:pPr>
        <w:spacing w:after="0" w:line="202" w:lineRule="exact"/>
        <w:rPr>
          <w:rFonts w:ascii="Times New Roman" w:cs="Times New Roman" w:eastAsia="Times New Roman" w:hAnsi="Times New Roman"/>
          <w:sz w:val="19"/>
          <w:szCs w:val="19"/>
          <w:color w:val="auto"/>
        </w:rPr>
      </w:pPr>
    </w:p>
    <w:p>
      <w:pPr>
        <w:ind w:right="360" w:firstLine="656"/>
        <w:spacing w:after="0" w:line="283" w:lineRule="auto"/>
        <w:tabs>
          <w:tab w:leader="none" w:pos="128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acceptance of any Grant (including the Deferred Stock Units) under the Plan, the Employee acknowledges and agrees that if the Employee breaches any of the covenants set forth in paragraph 9:</w:t>
      </w:r>
    </w:p>
    <w:p>
      <w:pPr>
        <w:spacing w:after="0" w:line="14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unvested Grants (including any unvested Deferred Stock Units) shall be immediately forfeited;</w:t>
      </w:r>
    </w:p>
    <w:p>
      <w:pPr>
        <w:spacing w:after="0" w:line="215" w:lineRule="exact"/>
        <w:rPr>
          <w:rFonts w:ascii="Times New Roman" w:cs="Times New Roman" w:eastAsia="Times New Roman" w:hAnsi="Times New Roman"/>
          <w:sz w:val="20"/>
          <w:szCs w:val="20"/>
          <w:color w:val="auto"/>
        </w:rPr>
      </w:pPr>
    </w:p>
    <w:p>
      <w:pPr>
        <w:jc w:val="both"/>
        <w:ind w:left="1300" w:right="100" w:hanging="320"/>
        <w:spacing w:after="0" w:line="261" w:lineRule="auto"/>
        <w:tabs>
          <w:tab w:leader="none" w:pos="130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cancel, rescind, suspend, withhold or otherwise limit or restrict any unexpired, unpaid or deferred Grants (including the Deferred Stock Units) at any time if the Employee is not in compliance with all terms and conditions set forth in the Plan and this Agreement including, but not limited to, paragraph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66" w:name="page167"/>
    <w:bookmarkEnd w:id="166"/>
    <w:p>
      <w:pPr>
        <w:ind w:left="1300" w:right="60" w:hanging="320"/>
        <w:spacing w:after="0" w:line="247" w:lineRule="auto"/>
        <w:tabs>
          <w:tab w:leader="none" w:pos="130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shall repay to the Mondelēz Group the net proceeds of any Plan benefit that occurs at any time after the earlier of the following two dates: (i) the date twelve (12) months immediately preceding any such violation; or (ii) the date six (6) months prior to the Employee’s termination of employment with the Mondelēz Group. The Employee shall repay to the Mondelēz Group the net proceeds in such a manner and on such terms and conditions as may be required by the Mondelēz Group, and the Mondelēz Group shall be entitled to set-off against the amount of any such net proceeds any amount owed to the Employee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spacing w:after="0" w:line="199" w:lineRule="exact"/>
        <w:rPr>
          <w:rFonts w:ascii="Times New Roman" w:cs="Times New Roman" w:eastAsia="Times New Roman" w:hAnsi="Times New Roman"/>
          <w:sz w:val="20"/>
          <w:szCs w:val="20"/>
          <w:color w:val="auto"/>
        </w:rPr>
      </w:pPr>
    </w:p>
    <w:p>
      <w:pPr>
        <w:ind w:left="1300" w:right="40" w:hanging="320"/>
        <w:spacing w:after="0" w:line="248" w:lineRule="auto"/>
        <w:tabs>
          <w:tab w:leader="none" w:pos="130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Employee acknowledges that such breach would cause the Mondelēz Group to suffer irreparable harm. The aforementioned equitable relief shall be in addition to, not in lieu of, legal remedies, monetary damages or other available forms of relief.</w:t>
      </w:r>
    </w:p>
    <w:p>
      <w:pPr>
        <w:spacing w:after="0" w:line="194" w:lineRule="exact"/>
        <w:rPr>
          <w:rFonts w:ascii="Times New Roman" w:cs="Times New Roman" w:eastAsia="Times New Roman" w:hAnsi="Times New Roman"/>
          <w:sz w:val="20"/>
          <w:szCs w:val="20"/>
          <w:color w:val="auto"/>
        </w:rPr>
      </w:pPr>
    </w:p>
    <w:p>
      <w:pPr>
        <w:ind w:firstLine="656"/>
        <w:spacing w:after="0" w:line="254" w:lineRule="auto"/>
        <w:tabs>
          <w:tab w:leader="none" w:pos="128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contained in this paragraph 9 shall for any reason, whether by application of existing law or law which may develop after the Employee’s acceptance of a Grant under the Plan be determined by a court of competent jurisdiction to be overly broad as to scope of activity, duration or territory, the Employee agrees to join the Mondelēz Group in requesting such court to construe such provision by limiting or reducing it so as to be enforceable to the extent compatible with then applicable law.</w:t>
      </w:r>
    </w:p>
    <w:p>
      <w:pPr>
        <w:spacing w:after="0" w:line="173" w:lineRule="exact"/>
        <w:rPr>
          <w:rFonts w:ascii="Times New Roman" w:cs="Times New Roman" w:eastAsia="Times New Roman" w:hAnsi="Times New Roman"/>
          <w:sz w:val="20"/>
          <w:szCs w:val="20"/>
          <w:color w:val="auto"/>
        </w:rPr>
      </w:pPr>
    </w:p>
    <w:p>
      <w:pPr>
        <w:ind w:right="100" w:firstLine="656"/>
        <w:spacing w:after="0" w:line="248" w:lineRule="auto"/>
        <w:tabs>
          <w:tab w:leader="none" w:pos="128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no section of this Agreement is intended to or shall limit, prevent, impede or interfere with the Employee’s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Employee does not need prior authorization from the Mondelēz Group to make any such reports or disclosures and is not required to notify the Mondelēz Group that the Employee has made such reports or disclosures.</w:t>
      </w:r>
    </w:p>
    <w:p>
      <w:pPr>
        <w:spacing w:after="0" w:line="183" w:lineRule="exact"/>
        <w:rPr>
          <w:rFonts w:ascii="Times New Roman" w:cs="Times New Roman" w:eastAsia="Times New Roman" w:hAnsi="Times New Roman"/>
          <w:sz w:val="20"/>
          <w:szCs w:val="20"/>
          <w:color w:val="auto"/>
        </w:rPr>
      </w:pPr>
    </w:p>
    <w:p>
      <w:pPr>
        <w:ind w:right="40" w:firstLine="656"/>
        <w:spacing w:after="0" w:line="249" w:lineRule="auto"/>
        <w:tabs>
          <w:tab w:leader="none" w:pos="1291"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is hereby advised in writing to consult with an attorney before entering into the covenants outlined in this paragraph 9. The Employee acknowledges that prior to acceptance of this Agreement, the Employee has been advised by the Company of the Employee’s right to seek independent advice from an attorney of the Employee's own selection regarding this Agreement, including the restraints imposed upon him or her pursuant to this paragraph 9. The Employee acknowledges that they have entered into this Agreement knowingly and voluntarily and with full knowledge and understanding of the provisions of this Agreement after being given the opportunity to consult with counsel. The Employee further represents that in entering into this Agreement, the Employee is not relying on any statements or representations made by any of the Company’s directors, officers, employees or agents which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67" w:name="page168"/>
    <w:bookmarkEnd w:id="167"/>
    <w:p>
      <w:pPr>
        <w:ind w:right="180"/>
        <w:spacing w:after="0" w:line="261" w:lineRule="auto"/>
        <w:rPr>
          <w:sz w:val="20"/>
          <w:szCs w:val="20"/>
          <w:color w:val="auto"/>
        </w:rPr>
      </w:pPr>
      <w:r>
        <w:rPr>
          <w:rFonts w:ascii="Times New Roman" w:cs="Times New Roman" w:eastAsia="Times New Roman" w:hAnsi="Times New Roman"/>
          <w:sz w:val="20"/>
          <w:szCs w:val="20"/>
          <w:color w:val="auto"/>
        </w:rPr>
        <w:t>expressly set forth herein, and that the Employee is relying only upon their own judgment and any advice provided by the Employee’s attorney. The Employee acknowledges he or she has been provided at minimum 14 calendar days to review the provisions contained herein but may voluntarily waive this period and sign prior to the 14 calendar day period lapsing.</w:t>
      </w:r>
    </w:p>
    <w:p>
      <w:pPr>
        <w:spacing w:after="0" w:line="168" w:lineRule="exact"/>
        <w:rPr>
          <w:sz w:val="20"/>
          <w:szCs w:val="20"/>
          <w:color w:val="auto"/>
        </w:rPr>
      </w:pPr>
    </w:p>
    <w:p>
      <w:pPr>
        <w:ind w:right="280" w:firstLine="656"/>
        <w:spacing w:after="0" w:line="261" w:lineRule="auto"/>
        <w:tabs>
          <w:tab w:leader="none" w:pos="128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paragraph 9, the Company and any member of the Mondelēz Group shall be deemed to be third-party beneficiaries with the right to seek enforcement of any of the provisions of this paragraph 9. Further, for purposes of this paragraph 9, references to acting directly or indirectly include acting jointly with or through another person.</w:t>
      </w:r>
    </w:p>
    <w:p>
      <w:pPr>
        <w:spacing w:after="0" w:line="168" w:lineRule="exact"/>
        <w:rPr>
          <w:sz w:val="20"/>
          <w:szCs w:val="20"/>
          <w:color w:val="auto"/>
        </w:rPr>
      </w:pPr>
    </w:p>
    <w:p>
      <w:pPr>
        <w:ind w:firstLine="656"/>
        <w:spacing w:after="0" w:line="246" w:lineRule="auto"/>
        <w:tabs>
          <w:tab w:leader="none" w:pos="109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 Policy/ Forfeiture</w:t>
      </w:r>
      <w:r>
        <w:rPr>
          <w:rFonts w:ascii="Times New Roman" w:cs="Times New Roman" w:eastAsia="Times New Roman" w:hAnsi="Times New Roman"/>
          <w:sz w:val="20"/>
          <w:szCs w:val="20"/>
          <w:color w:val="auto"/>
        </w:rPr>
        <w:t>. The Employee understands and agrees that in the Committee’s sole discretion, the Company may cancel all or part of the Deferred Stock Units or require repayment by the Employee to the Company of all or part of any cash payment or shares of Common Stock underlying any vested Deferred Stock Units pursuant to any recovery, recoupment, clawback and/or other forfeiture policy maintained by the Company, including the Company’s Dodd-Frank Clawback Policy, the Company’s Compensation Recoupment Policy, and a violation of paragraph 9 above, from time to time. In addition, any payments or benefits the Employee may receive hereunder shall be subject to repayment or forfeiture as may be required to comply with the requirements under the U.S.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the Exchange Act, rules promulgated by the Commission, any other applicable law, or any securities exchange on which the Common Stock is listed or traded, as may be in effect from time to time. In connection with the enforcement of such clawback policy, the Employee hereby expressly acknowledges and agrees that the Company shall have the right to reduce, cancel, or withhold against outstanding, unvested, vested, or future cash or equity-based compensation owed or due to the Employee, to the maximum extent permitted under applicable law. No such recovery will be an event giving rise to a right to resign for Good Reason or be deemed a “constructive termination” (or any similar term) as such terms are used in any agreement between the Employee and the Company or under any severance plans applicable to the Employee.</w:t>
      </w:r>
    </w:p>
    <w:p>
      <w:pPr>
        <w:spacing w:after="0" w:line="189" w:lineRule="exact"/>
        <w:rPr>
          <w:rFonts w:ascii="Times New Roman" w:cs="Times New Roman" w:eastAsia="Times New Roman" w:hAnsi="Times New Roman"/>
          <w:sz w:val="20"/>
          <w:szCs w:val="20"/>
          <w:color w:val="auto"/>
        </w:rPr>
      </w:pPr>
    </w:p>
    <w:p>
      <w:pPr>
        <w:ind w:right="180" w:firstLine="656"/>
        <w:spacing w:after="0" w:line="310" w:lineRule="auto"/>
        <w:tabs>
          <w:tab w:leader="none" w:pos="1086"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Original Issue or Transfer Taxes</w:t>
      </w:r>
      <w:r>
        <w:rPr>
          <w:rFonts w:ascii="Times New Roman" w:cs="Times New Roman" w:eastAsia="Times New Roman" w:hAnsi="Times New Roman"/>
          <w:sz w:val="19"/>
          <w:szCs w:val="19"/>
          <w:color w:val="auto"/>
        </w:rPr>
        <w:t>. The Company shall pay all original issue or transfer taxes and all fees and expenses incident to the delivery of the shares of Common Stock underlying the vested Deferred Stock Units, except as otherwise provided in paragraph 5.</w:t>
      </w:r>
    </w:p>
    <w:p>
      <w:pPr>
        <w:spacing w:after="0" w:line="124" w:lineRule="exact"/>
        <w:rPr>
          <w:rFonts w:ascii="Times New Roman" w:cs="Times New Roman" w:eastAsia="Times New Roman" w:hAnsi="Times New Roman"/>
          <w:sz w:val="19"/>
          <w:szCs w:val="19"/>
          <w:color w:val="auto"/>
        </w:rPr>
      </w:pPr>
    </w:p>
    <w:p>
      <w:pPr>
        <w:ind w:right="20" w:firstLine="656"/>
        <w:spacing w:after="0" w:line="250" w:lineRule="auto"/>
        <w:tabs>
          <w:tab w:leader="none" w:pos="109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Confers No Rights to Continued Employment</w:t>
      </w:r>
      <w:r>
        <w:rPr>
          <w:rFonts w:ascii="Times New Roman" w:cs="Times New Roman" w:eastAsia="Times New Roman" w:hAnsi="Times New Roman"/>
          <w:sz w:val="20"/>
          <w:szCs w:val="20"/>
          <w:color w:val="auto"/>
        </w:rPr>
        <w:t>. Nothing contained in the Plan or this Agreement (including the country-specific terms set forth in Appendix A to this Agreement) shall give any Employee the right to be retained in the employment of any member of the Mondelēz Group, affect the right of any Employer to terminate any Employee, or be interpreted as forming or amending an employment or service contract with any member of the Mondelēz Group. The adoption and maintenance of the Plan shall not constitute an inducement to, or condition of, the employment of the Employee.</w:t>
      </w:r>
    </w:p>
    <w:p>
      <w:pPr>
        <w:spacing w:after="0" w:line="192"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the Grant</w:t>
      </w:r>
      <w:r>
        <w:rPr>
          <w:rFonts w:ascii="Times New Roman" w:cs="Times New Roman" w:eastAsia="Times New Roman" w:hAnsi="Times New Roman"/>
          <w:sz w:val="20"/>
          <w:szCs w:val="20"/>
          <w:color w:val="auto"/>
        </w:rPr>
        <w:t>. In accepting the Deferred Stock Units, the Employee acknowledges, understands, and agrees that:</w:t>
      </w:r>
    </w:p>
    <w:p>
      <w:pPr>
        <w:spacing w:after="0" w:line="215" w:lineRule="exact"/>
        <w:rPr>
          <w:rFonts w:ascii="Times New Roman" w:cs="Times New Roman" w:eastAsia="Times New Roman" w:hAnsi="Times New Roman"/>
          <w:sz w:val="20"/>
          <w:szCs w:val="20"/>
          <w:color w:val="auto"/>
        </w:rPr>
      </w:pPr>
    </w:p>
    <w:p>
      <w:pPr>
        <w:ind w:right="300" w:firstLine="1304"/>
        <w:spacing w:after="0" w:line="269" w:lineRule="auto"/>
        <w:tabs>
          <w:tab w:leader="none" w:pos="1934"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2" w:lineRule="exact"/>
        <w:rPr>
          <w:rFonts w:ascii="Times New Roman" w:cs="Times New Roman" w:eastAsia="Times New Roman" w:hAnsi="Times New Roman"/>
          <w:sz w:val="20"/>
          <w:szCs w:val="20"/>
          <w:color w:val="auto"/>
        </w:rPr>
      </w:pPr>
    </w:p>
    <w:p>
      <w:pPr>
        <w:ind w:right="40" w:firstLine="1304"/>
        <w:spacing w:after="0" w:line="269" w:lineRule="auto"/>
        <w:tabs>
          <w:tab w:leader="none" w:pos="1932"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is exceptional, voluntary and occasional and does not create any contractual or other right to receive future Grants, or benefits in lieu of Deferred Stock Units, even if Deferred Stock Units have been granted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7</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13" w:right="359" w:bottom="1440" w:gutter="0" w:footer="0" w:header="0"/>
        </w:sectPr>
      </w:pPr>
    </w:p>
    <w:bookmarkStart w:id="168" w:name="page169"/>
    <w:bookmarkEnd w:id="168"/>
    <w:p>
      <w:pPr>
        <w:ind w:left="1940" w:hanging="636"/>
        <w:spacing w:after="0"/>
        <w:tabs>
          <w:tab w:leader="none" w:pos="19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Grants, if any, will be at the sole discretion of the Committee;</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Employee’s participation in the Plan is voluntary;</w:t>
      </w:r>
    </w:p>
    <w:p>
      <w:pPr>
        <w:spacing w:after="0" w:line="229" w:lineRule="exact"/>
        <w:rPr>
          <w:rFonts w:ascii="Times New Roman" w:cs="Times New Roman" w:eastAsia="Times New Roman" w:hAnsi="Times New Roman"/>
          <w:sz w:val="20"/>
          <w:szCs w:val="20"/>
          <w:color w:val="auto"/>
        </w:rPr>
      </w:pPr>
    </w:p>
    <w:p>
      <w:pPr>
        <w:ind w:right="140" w:firstLine="1304"/>
        <w:spacing w:after="0" w:line="269" w:lineRule="auto"/>
        <w:tabs>
          <w:tab w:leader="none" w:pos="193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Deferred Stock Units and the shares of Common Stock subject to the Deferred Stock Units, and the income and value of same, are not intended to replace any pension rights or compensation;</w:t>
      </w:r>
    </w:p>
    <w:p>
      <w:pPr>
        <w:spacing w:after="0" w:line="159" w:lineRule="exact"/>
        <w:rPr>
          <w:rFonts w:ascii="Times New Roman" w:cs="Times New Roman" w:eastAsia="Times New Roman" w:hAnsi="Times New Roman"/>
          <w:sz w:val="20"/>
          <w:szCs w:val="20"/>
          <w:color w:val="auto"/>
        </w:rPr>
      </w:pPr>
    </w:p>
    <w:p>
      <w:pPr>
        <w:ind w:right="160" w:firstLine="1304"/>
        <w:spacing w:after="0" w:line="254" w:lineRule="auto"/>
        <w:tabs>
          <w:tab w:leader="none" w:pos="193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and the shares of Common Stock subject to the Deferred Stock Units,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spacing w:after="0" w:line="18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of Common Stock is unknown, indeterminable and cannot be predicted;</w:t>
      </w:r>
    </w:p>
    <w:p>
      <w:pPr>
        <w:spacing w:after="0" w:line="215" w:lineRule="exact"/>
        <w:rPr>
          <w:rFonts w:ascii="Times New Roman" w:cs="Times New Roman" w:eastAsia="Times New Roman" w:hAnsi="Times New Roman"/>
          <w:sz w:val="20"/>
          <w:szCs w:val="20"/>
          <w:color w:val="auto"/>
        </w:rPr>
      </w:pPr>
    </w:p>
    <w:p>
      <w:pPr>
        <w:ind w:right="220" w:firstLine="1304"/>
        <w:spacing w:after="0" w:line="261" w:lineRule="auto"/>
        <w:tabs>
          <w:tab w:leader="none" w:pos="193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Deferred Stock Units and the shares of Common Stock underlying the Deferred Stock Units, and the income and value of same, are not granted as consideration for, or in connection with, the service the Employee may provide as a director of any entity of the Mondelēz Group;</w:t>
      </w:r>
    </w:p>
    <w:p>
      <w:pPr>
        <w:spacing w:after="0" w:line="167"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understands and agrees that the Employee should consult with the Employee’s own personal tax, legal and financial advisors regarding the Employee’s participation in the Plan before taking any action related to the Plan and that the Company is not providing any tax, legal or financial advice, nor is the Company making any recommendations regarding the Employee’s participation in the Plan or Employee’s acquisition or sale of the underlying shares of Common Stock;</w:t>
      </w:r>
    </w:p>
    <w:p>
      <w:pPr>
        <w:spacing w:after="0" w:line="173" w:lineRule="exact"/>
        <w:rPr>
          <w:rFonts w:ascii="Times New Roman" w:cs="Times New Roman" w:eastAsia="Times New Roman" w:hAnsi="Times New Roman"/>
          <w:sz w:val="20"/>
          <w:szCs w:val="20"/>
          <w:color w:val="auto"/>
        </w:rPr>
      </w:pPr>
    </w:p>
    <w:p>
      <w:pPr>
        <w:ind w:right="40" w:firstLine="1304"/>
        <w:spacing w:after="0" w:line="254" w:lineRule="auto"/>
        <w:tabs>
          <w:tab w:leader="none" w:pos="194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discretion, the Grant of Deferred Stock Units and the benefits evidenced by this Agreement do not create any entitlement to have the Deferred Stock Units or any such benefits transferred to, or assumed by, another company, nor to be exchanged, cashed out or substituted for, in connection with any corporate transaction affecting the Company’s Common Stock;</w:t>
      </w:r>
    </w:p>
    <w:p>
      <w:pPr>
        <w:spacing w:after="0" w:line="187" w:lineRule="exact"/>
        <w:rPr>
          <w:rFonts w:ascii="Times New Roman" w:cs="Times New Roman" w:eastAsia="Times New Roman" w:hAnsi="Times New Roman"/>
          <w:sz w:val="20"/>
          <w:szCs w:val="20"/>
          <w:color w:val="auto"/>
        </w:rPr>
      </w:pPr>
    </w:p>
    <w:p>
      <w:pPr>
        <w:ind w:right="140" w:firstLine="1304"/>
        <w:spacing w:after="0" w:line="269" w:lineRule="auto"/>
        <w:tabs>
          <w:tab w:leader="none" w:pos="193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Deferred Stock Units and the shares of Common Stock subject to the Deferred Stock Units, and the income and value of same, are not part of normal or expected compensation or salary for any purpose;</w:t>
      </w:r>
    </w:p>
    <w:p>
      <w:pPr>
        <w:spacing w:after="0" w:line="159" w:lineRule="exact"/>
        <w:rPr>
          <w:rFonts w:ascii="Times New Roman" w:cs="Times New Roman" w:eastAsia="Times New Roman" w:hAnsi="Times New Roman"/>
          <w:sz w:val="20"/>
          <w:szCs w:val="20"/>
          <w:color w:val="auto"/>
        </w:rPr>
      </w:pPr>
    </w:p>
    <w:p>
      <w:pPr>
        <w:ind w:firstLine="1304"/>
        <w:spacing w:after="0" w:line="254" w:lineRule="auto"/>
        <w:tabs>
          <w:tab w:leader="none" w:pos="194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the Employer nor any member of the Mondelēz Group shall be liable for any foreign exchange rate fluctuation between the Employee’s local currency and the United States Dollar that may affect the value of the Deferred Stock Units or any shares of Common Stock delivered to the Employee upon vesting of the Deferred Stock Units or of any proceeds resulting from the Employee’s sale of such shares; and</w:t>
      </w:r>
    </w:p>
    <w:p>
      <w:pPr>
        <w:spacing w:after="0" w:line="187" w:lineRule="exact"/>
        <w:rPr>
          <w:rFonts w:ascii="Times New Roman" w:cs="Times New Roman" w:eastAsia="Times New Roman" w:hAnsi="Times New Roman"/>
          <w:sz w:val="20"/>
          <w:szCs w:val="20"/>
          <w:color w:val="auto"/>
        </w:rPr>
      </w:pPr>
    </w:p>
    <w:p>
      <w:pPr>
        <w:jc w:val="both"/>
        <w:ind w:right="120" w:firstLine="1304"/>
        <w:spacing w:after="0" w:line="254" w:lineRule="auto"/>
        <w:tabs>
          <w:tab w:leader="none" w:pos="193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Deferred Stock Units or the recoupment of any shares of Common Stock acquired under the Plan resulting from (a) the termination of the Employee’s employment or other service relationship by the Company or the Employer (for any reason whatsoever, whether or not later found to be invalid or in breach of employment laws in the jurisdiction where the Employee is employed or the terms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8</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13" w:right="379" w:bottom="1440" w:gutter="0" w:footer="0" w:header="0"/>
        </w:sectPr>
      </w:pPr>
    </w:p>
    <w:bookmarkStart w:id="169" w:name="page170"/>
    <w:bookmarkEnd w:id="169"/>
    <w:p>
      <w:pPr>
        <w:ind w:right="160"/>
        <w:spacing w:after="0" w:line="269" w:lineRule="auto"/>
        <w:rPr>
          <w:sz w:val="20"/>
          <w:szCs w:val="20"/>
          <w:color w:val="auto"/>
        </w:rPr>
      </w:pPr>
      <w:r>
        <w:rPr>
          <w:rFonts w:ascii="Times New Roman" w:cs="Times New Roman" w:eastAsia="Times New Roman" w:hAnsi="Times New Roman"/>
          <w:sz w:val="20"/>
          <w:szCs w:val="20"/>
          <w:color w:val="auto"/>
        </w:rPr>
        <w:t>employment agreement, if any); and/or (b) the application of any recoupment policy or any recovery or clawback policy otherwise required by law.</w:t>
      </w:r>
    </w:p>
    <w:p>
      <w:pPr>
        <w:spacing w:after="0" w:line="169" w:lineRule="exact"/>
        <w:rPr>
          <w:sz w:val="20"/>
          <w:szCs w:val="20"/>
          <w:color w:val="auto"/>
        </w:rPr>
      </w:pPr>
    </w:p>
    <w:p>
      <w:pPr>
        <w:jc w:val="both"/>
        <w:ind w:right="100" w:firstLine="656"/>
        <w:spacing w:after="0" w:line="256" w:lineRule="auto"/>
        <w:tabs>
          <w:tab w:leader="none" w:pos="109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Privacy</w:t>
      </w:r>
      <w:r>
        <w:rPr>
          <w:rFonts w:ascii="Times New Roman" w:cs="Times New Roman" w:eastAsia="Times New Roman" w:hAnsi="Times New Roman"/>
          <w:sz w:val="20"/>
          <w:szCs w:val="20"/>
          <w:b w:val="1"/>
          <w:bCs w:val="1"/>
          <w:i w:val="1"/>
          <w:iCs w:val="1"/>
          <w:color w:val="auto"/>
        </w:rPr>
        <w:t>. The Employee hereby explicitly and unambiguously consents to the collection, use and transfer, in electronic or other form, of their personal data as described in this Agreement and any other grant materials (“</w:t>
      </w:r>
      <w:r>
        <w:rPr>
          <w:rFonts w:ascii="Times New Roman" w:cs="Times New Roman" w:eastAsia="Times New Roman" w:hAnsi="Times New Roman"/>
          <w:sz w:val="20"/>
          <w:szCs w:val="20"/>
          <w:b w:val="1"/>
          <w:bCs w:val="1"/>
          <w:i w:val="1"/>
          <w:iCs w:val="1"/>
          <w:u w:val="single" w:color="auto"/>
          <w:color w:val="auto"/>
        </w:rPr>
        <w:t>Data</w:t>
      </w:r>
      <w:r>
        <w:rPr>
          <w:rFonts w:ascii="Times New Roman" w:cs="Times New Roman" w:eastAsia="Times New Roman" w:hAnsi="Times New Roman"/>
          <w:sz w:val="20"/>
          <w:szCs w:val="20"/>
          <w:b w:val="1"/>
          <w:bCs w:val="1"/>
          <w:i w:val="1"/>
          <w:iCs w:val="1"/>
          <w:color w:val="auto"/>
        </w:rPr>
        <w:t>”) by and among the Mondelēz Group for the exclusive purpose of implementing, administering and managing Employee’s participation in the Plan.</w:t>
      </w:r>
    </w:p>
    <w:p>
      <w:pPr>
        <w:spacing w:after="0" w:line="182"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The Employee understands that the Mondelēz Group may hold certain personal information about him or her, including, but not limited to, the Employee’s name, home address, email address and telephone number, date of birth, social security, passport or insurance number or other identification number (e.g., resident registration number), salary, nationality, job title, any shares of stock or directorships held in the Company, and details of the Deferred Stock Units or any other entitlement to shares of Common Stock or other equivalent benefits awarded, canceled, purchased, exercised, vested, unvested or outstanding in the Employee’s favor, for the exclusive purpose of implementing, administering and managing the Plan.</w:t>
      </w:r>
    </w:p>
    <w:p>
      <w:pPr>
        <w:spacing w:after="0" w:line="18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Employee understands that Data will be transferred to Morgan Stanley Smith Barney, LLC and its affiliates (“Morgan Stanley”),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KPMG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Employee’s country. If the Employee resides outside the United States, the Employee understands that he or she may request a list with the names and addresses of any potential recipients of the Data by contacting the Employee’s local human resources representative. The Employee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If the Employee resides outside the United States, the Employee understands that he or she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the Employee is providing the consents herein on a purely voluntary basis. If the Employee does not consent, or if the Employee later seeks to revoke their consent, the Employee’s employment status or service with the Employer will not be affected; the only consequence of refusing or withdrawing the Employee’s consent is that the Company would not be able to grant the Employee Deferred Stock Units or other equity awards or administer or maintain such grants. The Employee also understands that the Company has no obligation to substitute other forms of Grants or compensation in lieu of the Deferred Stock Units as a consequence of the Employee’s refusal or withdrawal of their consent. Therefore, the Employee understands that refusing or withdrawing their consent may affect the Employee’s ability to participate in the Plan. For more information on the consequences of the Employee’s refusal to consent or withdrawal of consent, the Employee understands that he or she may contact the Employee’s local human resources representative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13" w:right="359" w:bottom="1440" w:gutter="0" w:footer="0" w:header="0"/>
        </w:sectPr>
      </w:pPr>
    </w:p>
    <w:bookmarkStart w:id="170" w:name="page171"/>
    <w:bookmarkEnd w:id="170"/>
    <w:p>
      <w:pPr>
        <w:ind w:right="40" w:firstLine="648"/>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Further, upon request of the Company or the Employer, the Employee agrees to provide an executed data privacy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he or she will not be able to participate in the Plan if the Employee’s fails to provide any such consent or agreement as requested by the Company and/or the Employer.</w:t>
      </w:r>
    </w:p>
    <w:p>
      <w:pPr>
        <w:spacing w:after="0" w:line="192" w:lineRule="exact"/>
        <w:rPr>
          <w:sz w:val="20"/>
          <w:szCs w:val="20"/>
          <w:color w:val="auto"/>
        </w:rPr>
      </w:pPr>
    </w:p>
    <w:p>
      <w:pPr>
        <w:ind w:firstLine="656"/>
        <w:spacing w:after="0" w:line="249" w:lineRule="auto"/>
        <w:tabs>
          <w:tab w:leader="none" w:pos="109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Employee related to current or future participation in the Plan may also be delivered through electronic means as described in paragraph 16 below.</w:t>
      </w:r>
    </w:p>
    <w:p>
      <w:pPr>
        <w:spacing w:after="0" w:line="179" w:lineRule="exact"/>
        <w:rPr>
          <w:rFonts w:ascii="Times New Roman" w:cs="Times New Roman" w:eastAsia="Times New Roman" w:hAnsi="Times New Roman"/>
          <w:sz w:val="20"/>
          <w:szCs w:val="20"/>
          <w:color w:val="auto"/>
        </w:rPr>
      </w:pPr>
    </w:p>
    <w:p>
      <w:pPr>
        <w:jc w:val="both"/>
        <w:ind w:right="100" w:firstLine="656"/>
        <w:spacing w:after="0" w:line="254" w:lineRule="auto"/>
        <w:tabs>
          <w:tab w:leader="none" w:pos="109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Employee hereby consents to receive such documents by electronic delivery and agrees to participate in the Plan through any on-line or electronic system established and maintained by the Company or a third party designated by the Company.</w:t>
      </w:r>
    </w:p>
    <w:p>
      <w:pPr>
        <w:spacing w:after="0" w:line="173" w:lineRule="exact"/>
        <w:rPr>
          <w:rFonts w:ascii="Times New Roman" w:cs="Times New Roman" w:eastAsia="Times New Roman" w:hAnsi="Times New Roman"/>
          <w:sz w:val="20"/>
          <w:szCs w:val="20"/>
          <w:color w:val="auto"/>
        </w:rPr>
      </w:pPr>
    </w:p>
    <w:p>
      <w:pPr>
        <w:ind w:right="240" w:firstLine="656"/>
        <w:spacing w:after="0" w:line="253" w:lineRule="auto"/>
        <w:tabs>
          <w:tab w:leader="none" w:pos="109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Employee acknowledges that he or she is sufficiently proficient in English, or, alternatively, the Employee acknowledges that he or she will seek appropriate assistance, to understand the terms and conditions in the Agreement. Furthermore, if the Employee has received this Agreement or any other document related to the Plan translated into a language other than English and if the meaning of the translated version is different from the English version, the English version will control, unless otherwise required by applicable law.</w:t>
      </w:r>
    </w:p>
    <w:p>
      <w:pPr>
        <w:spacing w:after="0" w:line="178" w:lineRule="exact"/>
        <w:rPr>
          <w:rFonts w:ascii="Times New Roman" w:cs="Times New Roman" w:eastAsia="Times New Roman" w:hAnsi="Times New Roman"/>
          <w:sz w:val="20"/>
          <w:szCs w:val="20"/>
          <w:color w:val="auto"/>
        </w:rPr>
      </w:pPr>
    </w:p>
    <w:p>
      <w:pPr>
        <w:ind w:right="280" w:firstLine="656"/>
        <w:spacing w:after="0" w:line="249" w:lineRule="auto"/>
        <w:tabs>
          <w:tab w:leader="none" w:pos="109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terms and provisions of the Plan (a copy of which will be made available online or furnished to the Employee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the Employee is no longer actively employed. Any interpretation, determination or other action made or taken by the Committee regarding the Plan or this Agreement shall be final, binding and conclusive.</w:t>
      </w:r>
    </w:p>
    <w:p>
      <w:pPr>
        <w:spacing w:after="0" w:line="179" w:lineRule="exact"/>
        <w:rPr>
          <w:rFonts w:ascii="Times New Roman" w:cs="Times New Roman" w:eastAsia="Times New Roman" w:hAnsi="Times New Roman"/>
          <w:sz w:val="20"/>
          <w:szCs w:val="20"/>
          <w:color w:val="auto"/>
        </w:rPr>
      </w:pPr>
    </w:p>
    <w:p>
      <w:pPr>
        <w:jc w:val="both"/>
        <w:ind w:right="180" w:firstLine="656"/>
        <w:spacing w:after="0" w:line="261" w:lineRule="auto"/>
        <w:tabs>
          <w:tab w:leader="none" w:pos="109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67" w:lineRule="exact"/>
        <w:rPr>
          <w:rFonts w:ascii="Times New Roman" w:cs="Times New Roman" w:eastAsia="Times New Roman" w:hAnsi="Times New Roman"/>
          <w:sz w:val="20"/>
          <w:szCs w:val="20"/>
          <w:color w:val="auto"/>
        </w:rPr>
      </w:pPr>
    </w:p>
    <w:p>
      <w:pPr>
        <w:ind w:right="20" w:firstLine="656"/>
        <w:spacing w:after="0" w:line="261" w:lineRule="auto"/>
        <w:tabs>
          <w:tab w:leader="none" w:pos="109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Governing Law</w:t>
      </w:r>
      <w:r>
        <w:rPr>
          <w:rFonts w:ascii="Times New Roman" w:cs="Times New Roman" w:eastAsia="Times New Roman" w:hAnsi="Times New Roman"/>
          <w:sz w:val="20"/>
          <w:szCs w:val="20"/>
          <w:color w:val="auto"/>
        </w:rPr>
        <w:t>. The Award Statement, the Plan and this Agreement constitute the entire agreement of the parties with respect to the subject matter hereof and supersede in their entirety all prior undertakings and agreements of the Company and the Employee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09" w:right="379" w:bottom="1440" w:gutter="0" w:footer="0" w:header="0"/>
        </w:sectPr>
      </w:pPr>
    </w:p>
    <w:bookmarkStart w:id="171" w:name="page172"/>
    <w:bookmarkEnd w:id="171"/>
    <w:p>
      <w:pPr>
        <w:ind w:right="60"/>
        <w:spacing w:after="0" w:line="259" w:lineRule="auto"/>
        <w:rPr>
          <w:sz w:val="20"/>
          <w:szCs w:val="20"/>
          <w:color w:val="auto"/>
        </w:rPr>
      </w:pPr>
      <w:r>
        <w:rPr>
          <w:rFonts w:ascii="Times New Roman" w:cs="Times New Roman" w:eastAsia="Times New Roman" w:hAnsi="Times New Roman"/>
          <w:sz w:val="19"/>
          <w:szCs w:val="19"/>
          <w:color w:val="auto"/>
        </w:rPr>
        <w:t>subject matter hereof, and may not be modified adversely to the Employee’s interest except as provided in the Award Statement, the Plan or this Agreement or by means of a writing signed by the Company and the Employee.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Employee is deemed to submit to the exclusive jurisdiction of the Commonwealth of Virginia, U.S.A., and agrees that such litigation shall be conducted in the courts of Henrico County, Virginia, or the federal courts for the United States for the Eastern District of Virginia. This Agreement is intended to be exempt from, or otherwise comply with, Section 409A of the Code and shall be interpreted, operated and administered in a manner consistent with such intent. The Company reserves the right, to amend or modify this Agreement at any time, without the consent of the Employee or any other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Grant made hereunder, and Mondelēz Group shall not under any circumstances have any liability to any employee or his estate or any other party for any taxes, penalties or interest due on amounts paid or payable under this Agreement, including taxes, penalties or interest imposed under Section 409A of the Code. For purposes of Section 409A of the Code, each payment and each series of payments under this Agreement, if any, shall be treated as a separate payment.</w:t>
      </w:r>
    </w:p>
    <w:p>
      <w:pPr>
        <w:spacing w:after="0" w:line="184" w:lineRule="exact"/>
        <w:rPr>
          <w:sz w:val="20"/>
          <w:szCs w:val="20"/>
          <w:color w:val="auto"/>
        </w:rPr>
      </w:pPr>
    </w:p>
    <w:p>
      <w:pPr>
        <w:ind w:firstLine="656"/>
        <w:spacing w:after="0" w:line="247" w:lineRule="auto"/>
        <w:tabs>
          <w:tab w:leader="none" w:pos="1093"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or Committee action specifically addressing any such adjustments, cash payments, or continued employment treatment.</w:t>
      </w:r>
    </w:p>
    <w:p>
      <w:pPr>
        <w:spacing w:after="0" w:line="199"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9"/>
          <w:szCs w:val="19"/>
          <w:color w:val="auto"/>
        </w:rPr>
        <w:t>For the purposes of this Agreement, (a) the term “</w:t>
      </w: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means permanent and total disability as determined under the procedures established by the Company for purposes of the Plan, and (b) the term “</w:t>
      </w:r>
      <w:r>
        <w:rPr>
          <w:rFonts w:ascii="Times New Roman" w:cs="Times New Roman" w:eastAsia="Times New Roman" w:hAnsi="Times New Roman"/>
          <w:sz w:val="19"/>
          <w:szCs w:val="19"/>
          <w:u w:val="single" w:color="auto"/>
          <w:color w:val="auto"/>
        </w:rPr>
        <w:t>Retirement</w:t>
      </w:r>
      <w:r>
        <w:rPr>
          <w:rFonts w:ascii="Times New Roman" w:cs="Times New Roman" w:eastAsia="Times New Roman" w:hAnsi="Times New Roman"/>
          <w:sz w:val="19"/>
          <w:szCs w:val="19"/>
          <w:color w:val="auto"/>
        </w:rPr>
        <w:t>” means, unless otherwise determined by the Committee in its sole discretion, the termination of employment on or after either (i) the date the Employee is age 55 or older with at least ten</w:t>
      </w:r>
    </w:p>
    <w:p>
      <w:pPr>
        <w:spacing w:after="0" w:line="2" w:lineRule="exact"/>
        <w:rPr>
          <w:sz w:val="20"/>
          <w:szCs w:val="20"/>
          <w:color w:val="auto"/>
        </w:rPr>
      </w:pPr>
    </w:p>
    <w:p>
      <w:pPr>
        <w:ind w:right="240" w:firstLine="8"/>
        <w:spacing w:after="0" w:line="253" w:lineRule="auto"/>
        <w:tabs>
          <w:tab w:leader="none" w:pos="37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more years of active continuous employment with the Mondelēz Group or (ii) the date the Employee is age 65 or older with at least five (5) or more years of active continuous employment with the Mondelēz Group.</w:t>
      </w:r>
    </w:p>
    <w:p>
      <w:pPr>
        <w:spacing w:after="0" w:line="17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Notwithstanding the above, if the Company receives an opinion of counsel that there has been a legal judgment and/or legal</w:t>
      </w:r>
    </w:p>
    <w:p>
      <w:pPr>
        <w:spacing w:after="0" w:line="2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development in the Employee’s jurisdiction that likely would result in the favorable Retirement treatment (as set forth above) that applies to the Deferred Stock Units being deemed unlawful and/or discriminatory, then the Company will not apply the favorable Retirement treatment at the time of termination and the Deferred Stock Units will be treated as they would under the rules that apply if the Employee’s employment is terminated for reasons other than Retirement, 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72" w:name="page173"/>
    <w:bookmarkEnd w:id="172"/>
    <w:p>
      <w:pPr>
        <w:ind w:right="100" w:firstLine="656"/>
        <w:spacing w:after="0" w:line="246" w:lineRule="auto"/>
        <w:tabs>
          <w:tab w:leader="none" w:pos="109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Common Stock issuable upon settlement of the Deferred Stock Units prior to the completion of any registration or qualification of the shares of Common Stock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Employee understands that the Company is under no obligation to register or qualify the shares of Common Stock with the Commission or any state, provincial or foreign securities commission or to seek approval or clearance from any governmental authority for the issuance or sale of the shares of Common Stock. Further, the Employee agrees that the Company shall have unilateral authority to amend the Plan and this Agreement without the Employee’s consent to the extent necessary to comply with securities or other laws applicable to the issuance of shares of Common Stock.</w:t>
      </w:r>
    </w:p>
    <w:p>
      <w:pPr>
        <w:spacing w:after="0" w:line="201" w:lineRule="exact"/>
        <w:rPr>
          <w:rFonts w:ascii="Times New Roman" w:cs="Times New Roman" w:eastAsia="Times New Roman" w:hAnsi="Times New Roman"/>
          <w:sz w:val="20"/>
          <w:szCs w:val="20"/>
          <w:color w:val="auto"/>
        </w:rPr>
      </w:pPr>
    </w:p>
    <w:p>
      <w:pPr>
        <w:jc w:val="both"/>
        <w:ind w:right="220" w:firstLine="656"/>
        <w:spacing w:after="0" w:line="254" w:lineRule="auto"/>
        <w:tabs>
          <w:tab w:leader="none" w:pos="109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87" w:lineRule="exact"/>
        <w:rPr>
          <w:rFonts w:ascii="Times New Roman" w:cs="Times New Roman" w:eastAsia="Times New Roman" w:hAnsi="Times New Roman"/>
          <w:sz w:val="20"/>
          <w:szCs w:val="20"/>
          <w:color w:val="auto"/>
        </w:rPr>
      </w:pPr>
    </w:p>
    <w:p>
      <w:pPr>
        <w:ind w:right="660" w:firstLine="656"/>
        <w:spacing w:after="0" w:line="269" w:lineRule="auto"/>
        <w:tabs>
          <w:tab w:leader="none" w:pos="109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Headings of paragraphs and sections used in this Agreement are for convenience only and are not part of this Agreement, and must not be used in construing it.</w:t>
      </w:r>
    </w:p>
    <w:p>
      <w:pPr>
        <w:spacing w:after="0" w:line="159" w:lineRule="exact"/>
        <w:rPr>
          <w:rFonts w:ascii="Times New Roman" w:cs="Times New Roman" w:eastAsia="Times New Roman" w:hAnsi="Times New Roman"/>
          <w:sz w:val="20"/>
          <w:szCs w:val="20"/>
          <w:color w:val="auto"/>
        </w:rPr>
      </w:pPr>
    </w:p>
    <w:p>
      <w:pPr>
        <w:ind w:right="580" w:firstLine="656"/>
        <w:spacing w:after="0" w:line="254" w:lineRule="auto"/>
        <w:tabs>
          <w:tab w:leader="none" w:pos="109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Employee’s participation in the Plan, on the Deferred Stock Units and on any shares of Common Stock acquired under the Plan, to the extent the Company determines it is necessary or advisable for legal or administrative reasons and to require the Employee to sign any additional agreements or undertakings that may be necessary to accomplish the foregoing.</w:t>
      </w:r>
    </w:p>
    <w:p>
      <w:pPr>
        <w:spacing w:after="0" w:line="187" w:lineRule="exact"/>
        <w:rPr>
          <w:rFonts w:ascii="Times New Roman" w:cs="Times New Roman" w:eastAsia="Times New Roman" w:hAnsi="Times New Roman"/>
          <w:sz w:val="20"/>
          <w:szCs w:val="20"/>
          <w:color w:val="auto"/>
        </w:rPr>
      </w:pPr>
    </w:p>
    <w:p>
      <w:pPr>
        <w:ind w:firstLine="656"/>
        <w:spacing w:after="0" w:line="246" w:lineRule="auto"/>
        <w:tabs>
          <w:tab w:leader="none" w:pos="109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 Trading/Market Abuse Laws</w:t>
      </w:r>
      <w:r>
        <w:rPr>
          <w:rFonts w:ascii="Times New Roman" w:cs="Times New Roman" w:eastAsia="Times New Roman" w:hAnsi="Times New Roman"/>
          <w:sz w:val="20"/>
          <w:szCs w:val="20"/>
          <w:color w:val="auto"/>
        </w:rPr>
        <w:t>. The Employee may be subject to insider trading and/or market abuse laws, which may affect the Employee’s ability to accept, acquire, sell or otherwise dispose of shares of Common Stock, rights to such shares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Deferred Stock Units) or rights linked to the value of shares of Common Stock under the Plan during such times as the Employee is considered to have “material nonpublic information” or “insider information” regarding the Company (as defined by the laws or regulations in the relevant jurisdiction). Local insider trading laws and regulations may prohibit the cancellation or amendment of orders the Employee places before the Employee possessed inside information. Furthermore, the Employee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Employee acknowledges that it is their responsibility to comply with any applicable restrictions, and that the Employee should speak to their personal advisor on this matter.</w:t>
      </w:r>
    </w:p>
    <w:p>
      <w:pPr>
        <w:spacing w:after="0" w:line="187" w:lineRule="exact"/>
        <w:rPr>
          <w:rFonts w:ascii="Times New Roman" w:cs="Times New Roman" w:eastAsia="Times New Roman" w:hAnsi="Times New Roman"/>
          <w:sz w:val="20"/>
          <w:szCs w:val="20"/>
          <w:color w:val="auto"/>
        </w:rPr>
      </w:pPr>
    </w:p>
    <w:p>
      <w:pPr>
        <w:ind w:right="100" w:firstLine="656"/>
        <w:spacing w:after="0" w:line="254" w:lineRule="auto"/>
        <w:tabs>
          <w:tab w:leader="none" w:pos="109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Control, Tax and Foreign Asset/Account Reporting Requirements</w:t>
      </w:r>
      <w:r>
        <w:rPr>
          <w:rFonts w:ascii="Times New Roman" w:cs="Times New Roman" w:eastAsia="Times New Roman" w:hAnsi="Times New Roman"/>
          <w:sz w:val="20"/>
          <w:szCs w:val="20"/>
          <w:color w:val="auto"/>
        </w:rPr>
        <w:t>. The Employee acknowledges that there may be exchange control, tax, foreign asset and/or account reporting requirements which may affect the Employee’s ability to acquire or hold shares of Common Stock acquired under the Plan or cash received from participating in the Plan (including from any dividends paid on shares of Common Stock acquired under the Plan) in a brokerage, bank account or legal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73" w:name="page174"/>
    <w:bookmarkEnd w:id="173"/>
    <w:p>
      <w:pPr>
        <w:spacing w:after="0" w:line="249" w:lineRule="auto"/>
        <w:rPr>
          <w:sz w:val="20"/>
          <w:szCs w:val="20"/>
          <w:color w:val="auto"/>
        </w:rPr>
      </w:pPr>
      <w:r>
        <w:rPr>
          <w:rFonts w:ascii="Times New Roman" w:cs="Times New Roman" w:eastAsia="Times New Roman" w:hAnsi="Times New Roman"/>
          <w:sz w:val="20"/>
          <w:szCs w:val="20"/>
          <w:color w:val="auto"/>
        </w:rPr>
        <w:t>outside the Employee’s country. The Employee may be required to report such accounts, balances, assets and/or the related transactions to the tax or other authorities in their country. The Employee also may be required to repatriate sale proceeds or other funds received as a result of the Employee’s participation in the Plan to their country through a designated bank or broker within a certain time after receipt. In addition, the Employee agrees to take any and all actions required by the Company, any other entity in the Mondelēz Group or the local laws, rules and regulations in the Employee’s country of residence (and country of employment, if different) that may be required to comply with such laws, rules and regulations. The Employee acknowledges that it is the Employee’s responsibility to be compliant with such regulations, and the Employee should consult their personal legal advisor for any details.</w:t>
      </w:r>
    </w:p>
    <w:p>
      <w:pPr>
        <w:spacing w:after="0" w:line="179" w:lineRule="exact"/>
        <w:rPr>
          <w:sz w:val="20"/>
          <w:szCs w:val="20"/>
          <w:color w:val="auto"/>
        </w:rPr>
      </w:pPr>
    </w:p>
    <w:p>
      <w:pPr>
        <w:ind w:right="120" w:firstLine="656"/>
        <w:spacing w:after="0" w:line="254" w:lineRule="auto"/>
        <w:tabs>
          <w:tab w:leader="none" w:pos="10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Appendix</w:t>
      </w:r>
      <w:r>
        <w:rPr>
          <w:rFonts w:ascii="Times New Roman" w:cs="Times New Roman" w:eastAsia="Times New Roman" w:hAnsi="Times New Roman"/>
          <w:sz w:val="20"/>
          <w:szCs w:val="20"/>
          <w:color w:val="auto"/>
        </w:rPr>
        <w:t>. Notwithstanding any provisions in this Agreement, the Deferred Stock Units shall be subject to any terms set forth in the Appendix to this Agreement for the Employee’s country. Moreover, if the Employee relocates to one of the countries included in the Appendix, the terms for such country will apply to the Employee, to the extent the Company determines that the application of such terms is necessary or advisable for legal or administrative reasons. The Appendix constitutes part of this Agreement.</w:t>
      </w:r>
    </w:p>
    <w:p>
      <w:pPr>
        <w:spacing w:after="0" w:line="187" w:lineRule="exact"/>
        <w:rPr>
          <w:rFonts w:ascii="Times New Roman" w:cs="Times New Roman" w:eastAsia="Times New Roman" w:hAnsi="Times New Roman"/>
          <w:sz w:val="20"/>
          <w:szCs w:val="20"/>
          <w:color w:val="auto"/>
        </w:rPr>
      </w:pPr>
    </w:p>
    <w:p>
      <w:pPr>
        <w:ind w:right="240" w:firstLine="656"/>
        <w:spacing w:after="0" w:line="254" w:lineRule="auto"/>
        <w:tabs>
          <w:tab w:leader="none" w:pos="10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Employee acknowledges that a waiver by the Company of a breach of any provision of this Agreement shall not operate or be construed as a waiver of any other provision of this Agreement or of any subsequent breach by the Employee or any other participant of the Plan.</w:t>
      </w:r>
    </w:p>
    <w:p>
      <w:pPr>
        <w:spacing w:after="0" w:line="187" w:lineRule="exact"/>
        <w:rPr>
          <w:rFonts w:ascii="Times New Roman" w:cs="Times New Roman" w:eastAsia="Times New Roman" w:hAnsi="Times New Roman"/>
          <w:sz w:val="20"/>
          <w:szCs w:val="20"/>
          <w:color w:val="auto"/>
        </w:rPr>
      </w:pPr>
    </w:p>
    <w:p>
      <w:pPr>
        <w:ind w:right="60" w:firstLine="656"/>
        <w:spacing w:after="0" w:line="248" w:lineRule="auto"/>
        <w:tabs>
          <w:tab w:leader="none" w:pos="10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The Employee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Grant is made,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74" w:name="page175"/>
    <w:bookmarkEnd w:id="174"/>
    <w:p>
      <w:pPr>
        <w:jc w:val="center"/>
        <w:ind w:right="-99"/>
        <w:spacing w:after="0"/>
        <w:rPr>
          <w:sz w:val="20"/>
          <w:szCs w:val="20"/>
          <w:color w:val="auto"/>
        </w:rPr>
      </w:pPr>
      <w:r>
        <w:rPr>
          <w:rFonts w:ascii="Times New Roman" w:cs="Times New Roman" w:eastAsia="Times New Roman" w:hAnsi="Times New Roman"/>
          <w:sz w:val="20"/>
          <w:szCs w:val="20"/>
          <w:i w:val="1"/>
          <w:iCs w:val="1"/>
          <w:color w:val="auto"/>
        </w:rPr>
        <w:t>***</w:t>
      </w:r>
    </w:p>
    <w:p>
      <w:pPr>
        <w:spacing w:after="0" w:line="24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The Employee acknowledges that the Employee has reviewed the Plan, the Award Statement and this Agreement (including any appendices hereto) in their entirety and fully understands their respective provisions. The Employee agrees to accept as binding, conclusive and final all decisions or interpretations of the Committee upon any questions arising under the Plan, the Award Statement or this Agreement.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this Agreement has been executed as of the Grant Date.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MONDELĒZ INTERNATIONAL, INC.</w:t>
      </w:r>
    </w:p>
    <w:p>
      <w:pPr>
        <w:spacing w:after="0" w:line="2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 Laura Stein</w:t>
      </w:r>
    </w:p>
    <w:p>
      <w:pPr>
        <w:spacing w:after="0" w:line="26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Laura Stein</w:t>
      </w:r>
    </w:p>
    <w:p>
      <w:pPr>
        <w:spacing w:after="0" w:line="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Executive Vice President,</w:t>
      </w:r>
    </w:p>
    <w:p>
      <w:pPr>
        <w:spacing w:after="0" w:line="5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Corporate &amp; Legal Affairs,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60"/>
          </w:cols>
          <w:pgMar w:left="320" w:top="1409" w:right="419"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MONDELĒZ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2024 PERFORMANCE INCENTIVE PLAN</w:t>
      </w:r>
    </w:p>
    <w:p>
      <w:pPr>
        <w:spacing w:after="0" w:line="22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ADDITIONAL TERMS AND CONDITIONS OF THE</w:t>
      </w:r>
    </w:p>
    <w:p>
      <w:pPr>
        <w:spacing w:after="0" w:line="2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GLOBAL DEFERRED STOCK UNIT AGREEMENT</w:t>
      </w:r>
    </w:p>
    <w:p>
      <w:pPr>
        <w:spacing w:after="0" w:line="20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This Appendix A includes additional terms and conditions that govern the Deferred Stock Units granted to the Employee under the Plan if he or she resides and/or works in one of the countries listed herein. If the Employee is a citizen or resident (or is considered as such for local law purposes) of a country other than the country in which the Employee is currently residing and/or working, or if the Employee transfers to another country after receiving the Deferred Stock Units, the Company shall, in its discretion, determine to what extent the terms and conditions contained herein shall be applicable to the Employee. Certain capitalized terms used but not defined in this Appendix A have the meanings set forth in the Plan and/or the Global Deferred Stock Unit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This Appendix A also includes information regarding securities, exchange control and certain other issues of which the Employee should be aware with respect to participation in the Plan. The information is based on the securities, exchange control and other laws in effect in the respective countries as of December 2025. Such laws are often complex and change frequently. As a result, the Employee should not rely on the information in this Appendix A as the only source of information relating to the consequences of their participation in the Plan because the information may be out of date at the time the Employee vests in the Deferred Stock Units or sells shares of Common Stock acquired under the Plan.</w:t>
      </w:r>
    </w:p>
    <w:p>
      <w:pPr>
        <w:spacing w:after="0" w:line="194"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the Employee’s particular situation, and the Company is not in a position to assure the Employee of a particular result. Accordingly, the Employee should seek appropriate professional advice as to how the relevant laws in their country may apply to the Employee’s situation.</w:t>
      </w:r>
    </w:p>
    <w:p>
      <w:pPr>
        <w:spacing w:after="0" w:line="18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Finally, if the Employee is a citizen or resident of a country other than the one in which he or she is currently working, transfers employment after the Grant Date, or is considered a resident of another country for local law purposes, the information contained herein may not be applicable to the Employee in the same manner.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EUROPEAN UNION / EUROPEAN ECONOMIC AREA, SWITZERLAND AND THE UNITED KINGDOM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Notice</w:t>
      </w:r>
      <w:r>
        <w:rPr>
          <w:rFonts w:ascii="Times New Roman" w:cs="Times New Roman" w:eastAsia="Times New Roman" w:hAnsi="Times New Roman"/>
          <w:sz w:val="20"/>
          <w:szCs w:val="20"/>
          <w:color w:val="auto"/>
        </w:rPr>
        <w:t>. The following provision replaces in its entirety paragraph 14 of the Agreement:</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the Employee is based in the European Union (“EU”), the European Economic Area, Switzerland or the United Kingdom, the Employee should note that Mondelēz International, Inc., with registered address at 905 West Fulton Market, Suite 200, Chicago, Illinois 60607, U.S.A. is the controller responsible for the processing of the Employee’s Personal Data (as defined below) in connection with the Agreement and the Plan.</w:t>
      </w:r>
    </w:p>
    <w:p>
      <w:pPr>
        <w:spacing w:after="0" w:line="1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Data Collection and Usage</w:t>
      </w:r>
      <w:r>
        <w:rPr>
          <w:rFonts w:ascii="Times New Roman" w:cs="Times New Roman" w:eastAsia="Times New Roman" w:hAnsi="Times New Roman"/>
          <w:sz w:val="20"/>
          <w:szCs w:val="20"/>
          <w:color w:val="auto"/>
        </w:rPr>
        <w:t>. Pursuant to applicable data protection laws, the Employee is hereby notified that the Company collects, processes and uses the following types of personal data about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176" w:name="page177"/>
    <w:bookmarkEnd w:id="176"/>
    <w:p>
      <w:pPr>
        <w:ind w:right="100"/>
        <w:spacing w:after="0" w:line="250" w:lineRule="auto"/>
        <w:rPr>
          <w:sz w:val="20"/>
          <w:szCs w:val="20"/>
          <w:color w:val="auto"/>
        </w:rPr>
      </w:pPr>
      <w:r>
        <w:rPr>
          <w:rFonts w:ascii="Times New Roman" w:cs="Times New Roman" w:eastAsia="Times New Roman" w:hAnsi="Times New Roman"/>
          <w:sz w:val="20"/>
          <w:szCs w:val="20"/>
          <w:color w:val="auto"/>
        </w:rPr>
        <w:t>name, home address and telephone number, email address, date of birth, social insurance, passport number or other identification number, salary, nationality, job title, any shares of stock or directorships held in any entity in the Mondelēz Group, details of all Deferred Stock Units or any other entitlement to shares awarded, canceled, settled, vested, unvested or outstanding in the Employee’s favor, which the Company receives from the Employee or the Employer (“Personal Data”) for the exclusive legitimate purpose of granting Deferred Stock Units and implementing, administering and managing the Employee’s participation in the Plan.</w:t>
      </w:r>
    </w:p>
    <w:p>
      <w:pPr>
        <w:spacing w:after="0" w:line="19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u w:val="single" w:color="auto"/>
          <w:color w:val="auto"/>
        </w:rPr>
        <w:t>Purposes and Legal Bases of Processing</w:t>
      </w:r>
      <w:r>
        <w:rPr>
          <w:rFonts w:ascii="Times New Roman" w:cs="Times New Roman" w:eastAsia="Times New Roman" w:hAnsi="Times New Roman"/>
          <w:sz w:val="19"/>
          <w:szCs w:val="19"/>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Employee understands that providing the Company with Personal Data is necessary for the performance of the Agreement and that the Employee’s refusal to provide Personal Data would make it impossible for the Company to perform its contractual obligations and may affect the Employee’s ability to participate in the Plan.</w:t>
      </w:r>
    </w:p>
    <w:p>
      <w:pPr>
        <w:spacing w:after="0" w:line="16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u w:val="single" w:color="auto"/>
          <w:color w:val="auto"/>
        </w:rPr>
        <w:t>International Data Transfers</w:t>
      </w:r>
      <w:r>
        <w:rPr>
          <w:rFonts w:ascii="Times New Roman" w:cs="Times New Roman" w:eastAsia="Times New Roman" w:hAnsi="Times New Roman"/>
          <w:sz w:val="20"/>
          <w:szCs w:val="20"/>
          <w:color w:val="auto"/>
        </w:rPr>
        <w:t>. The Company is located in the United States which means that it will be necessary for Personal Data to be transferred to, and processed in, the United States. The Employee understands and acknowledges that the United States is not subject to an unlimited adequacy finding by the European Commission and that the Employee’s Personal Data may not have an equivalent level of protection as compared to the Employee’s country of residence. To provide appropriate safeguards for the protection of the Employee’s Personal Data, the Personal Data is transferred to the Company based on data transfer and processing agreements implementing the EU Standard Contractual Clauses. Further, the Employee understands that the Company transfers their Personal Data, or parts thereof to third parties based on agreements implementing the EU Standard Contractual Clauses. These third parties include Morgan Stanley Smith Barney, LLC (“Morgan Stanley”), an independent service provider based in the United States which assists the Company with the implementation, administration and management of the Plan. Morgan Stanley has opened or will open an account for the Employee to receive and trade shares of Common Stock acquired under the Plan. The Employee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Employee may be asked to agree on separate terms and data processing practices with Morgan Stanley, PricewaterhouseCoopers LLP or KPMG LLP with such agreement being a condition to the Employee’s ability to participate in the Plan.</w:t>
      </w:r>
    </w:p>
    <w:p>
      <w:pPr>
        <w:spacing w:after="0" w:line="190" w:lineRule="exact"/>
        <w:rPr>
          <w:sz w:val="20"/>
          <w:szCs w:val="20"/>
          <w:color w:val="auto"/>
        </w:rPr>
      </w:pPr>
    </w:p>
    <w:p>
      <w:pPr>
        <w:ind w:right="820"/>
        <w:spacing w:after="0" w:line="283" w:lineRule="auto"/>
        <w:rPr>
          <w:sz w:val="20"/>
          <w:szCs w:val="20"/>
          <w:color w:val="auto"/>
        </w:rPr>
      </w:pPr>
      <w:r>
        <w:rPr>
          <w:rFonts w:ascii="Times New Roman" w:cs="Times New Roman" w:eastAsia="Times New Roman" w:hAnsi="Times New Roman"/>
          <w:sz w:val="20"/>
          <w:szCs w:val="20"/>
          <w:color w:val="auto"/>
        </w:rPr>
        <w:t>The Employee may request a copy of the safeguards used to protect their Personal Data or the names and addresses of any potential recipients of Personal Data by contacting the Company at: DataProtectionOfficeMEU@mdlz.com.</w:t>
      </w:r>
    </w:p>
    <w:p>
      <w:pPr>
        <w:spacing w:after="0" w:line="14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u w:val="single" w:color="auto"/>
          <w:color w:val="auto"/>
        </w:rPr>
        <w:t>Data Retention</w:t>
      </w:r>
      <w:r>
        <w:rPr>
          <w:rFonts w:ascii="Times New Roman" w:cs="Times New Roman" w:eastAsia="Times New Roman" w:hAnsi="Times New Roman"/>
          <w:sz w:val="20"/>
          <w:szCs w:val="20"/>
          <w:color w:val="auto"/>
        </w:rPr>
        <w:t>. The Company will use the Personal Data only as long as necessary to implement, administer and manage the Employee’s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spacing w:after="0" w:line="174"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u w:val="single" w:color="auto"/>
          <w:color w:val="auto"/>
        </w:rPr>
        <w:t>Data Subject Rights</w:t>
      </w:r>
      <w:r>
        <w:rPr>
          <w:rFonts w:ascii="Times New Roman" w:cs="Times New Roman" w:eastAsia="Times New Roman" w:hAnsi="Times New Roman"/>
          <w:sz w:val="20"/>
          <w:szCs w:val="20"/>
          <w:color w:val="auto"/>
        </w:rPr>
        <w:t>. To the extent provided by law, the Employee has the right to (i) inquire whether and what kind of Personal Data the Company holds about the Employee and how it is processed, and to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77" w:name="page178"/>
    <w:bookmarkEnd w:id="177"/>
    <w:p>
      <w:pPr>
        <w:ind w:right="120"/>
        <w:spacing w:after="0" w:line="248" w:lineRule="auto"/>
        <w:rPr>
          <w:sz w:val="20"/>
          <w:szCs w:val="20"/>
          <w:color w:val="auto"/>
        </w:rPr>
      </w:pPr>
      <w:r>
        <w:rPr>
          <w:rFonts w:ascii="Times New Roman" w:cs="Times New Roman" w:eastAsia="Times New Roman" w:hAnsi="Times New Roman"/>
          <w:sz w:val="20"/>
          <w:szCs w:val="20"/>
          <w:color w:val="auto"/>
        </w:rPr>
        <w:t>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Employee feels its processing is inappropriate, (v) object, in certain circumstances, to the processing of Personal Data for legitimate interests, (vi) request portability of Personal Data that the Employee has actively or passively provided to the Company, where the processing of such Personal Data is based on consent or a contractual agreement with the Employee and is carried out by automated means, or (vii) lodge a complaint with the competent local data protection authority. To receive additional information regarding the Employee’s rights, raise any other questions regarding the practices described in the Agreement or to exercise their rights, the Employee should contact the Company at: DataProtectionOfficeMEU@mdlz.com.</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ALGERIA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Deferred Stock Units Payable Only in Cash. </w:t>
      </w:r>
      <w:r>
        <w:rPr>
          <w:rFonts w:ascii="Times New Roman" w:cs="Times New Roman" w:eastAsia="Times New Roman" w:hAnsi="Times New Roman"/>
          <w:sz w:val="20"/>
          <w:szCs w:val="20"/>
          <w:color w:val="auto"/>
        </w:rPr>
        <w:t>Notwithstanding any discretion in the Plan or anything to the contrary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paragraph 7 of the Agreement), the grant of Deferred Stock Units does not provide any right for the Employee to receive shares of Common Stock upon the Vesting Date. Deferred Stock Units granted to Employees in Algeria shall be paid in cash in an amount equal to the value of the shares of Common Stock on the Vesting Date.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ARGENTINA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Restrictions and Covenants. </w:t>
      </w:r>
      <w:r>
        <w:rPr>
          <w:rFonts w:ascii="Times New Roman" w:cs="Times New Roman" w:eastAsia="Times New Roman" w:hAnsi="Times New Roman"/>
          <w:sz w:val="20"/>
          <w:szCs w:val="20"/>
          <w:color w:val="auto"/>
        </w:rPr>
        <w:t>Notwithstanding anything to the contrary in the Agreement, paragraph 9 of the Agreement will not apply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Argentinian Employees.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Labor Law Policy and Acknowledgement</w:t>
      </w:r>
      <w:r>
        <w:rPr>
          <w:rFonts w:ascii="Times New Roman" w:cs="Times New Roman" w:eastAsia="Times New Roman" w:hAnsi="Times New Roman"/>
          <w:sz w:val="20"/>
          <w:szCs w:val="20"/>
          <w:color w:val="auto"/>
        </w:rPr>
        <w:t>. The following provision supplements paragraph 13 of the Agreement:</w:t>
      </w:r>
    </w:p>
    <w:p>
      <w:pPr>
        <w:spacing w:after="0" w:line="23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Employee acknowledges and agrees that the Grant is made by the Company (not the Employer) in its sole discretion and that the value of the Deferred Stock Units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79" w:lineRule="exact"/>
        <w:rPr>
          <w:sz w:val="20"/>
          <w:szCs w:val="20"/>
          <w:color w:val="auto"/>
        </w:rPr>
      </w:pPr>
    </w:p>
    <w:p>
      <w:pPr>
        <w:ind w:right="560"/>
        <w:spacing w:after="0" w:line="283" w:lineRule="auto"/>
        <w:rPr>
          <w:sz w:val="20"/>
          <w:szCs w:val="20"/>
          <w:color w:val="auto"/>
        </w:rPr>
      </w:pPr>
      <w:r>
        <w:rPr>
          <w:rFonts w:ascii="Times New Roman" w:cs="Times New Roman" w:eastAsia="Times New Roman" w:hAnsi="Times New Roman"/>
          <w:sz w:val="20"/>
          <w:szCs w:val="20"/>
          <w:color w:val="auto"/>
        </w:rPr>
        <w:t>If, notwithstanding the foregoing, any benefits under the Plan are considered for any purpose under Argentine labor law, the Employee acknowledges and agrees that such benefits shall not accrue more frequently than on each vesting date.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Neither the Units nor the underlying shares of Common Stock are publicly offered or listed on any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in Argentina and, as a result, have not been and will not be registered with the Argentine Securities Commission (</w:t>
      </w:r>
      <w:r>
        <w:rPr>
          <w:rFonts w:ascii="Times New Roman" w:cs="Times New Roman" w:eastAsia="Times New Roman" w:hAnsi="Times New Roman"/>
          <w:sz w:val="20"/>
          <w:szCs w:val="20"/>
          <w:i w:val="1"/>
          <w:iCs w:val="1"/>
          <w:color w:val="auto"/>
        </w:rPr>
        <w:t>Comisión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Nacional de Valores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CNV</w:t>
      </w:r>
      <w:r>
        <w:rPr>
          <w:rFonts w:ascii="Times New Roman" w:cs="Times New Roman" w:eastAsia="Times New Roman" w:hAnsi="Times New Roman"/>
          <w:sz w:val="20"/>
          <w:szCs w:val="20"/>
          <w:color w:val="auto"/>
        </w:rPr>
        <w:t>”). Neither this Agreement nor any other offering material related to the Units nor the underlying shares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17</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78" w:name="page179"/>
    <w:bookmarkEnd w:id="178"/>
    <w:p>
      <w:pPr>
        <w:ind w:right="220"/>
        <w:spacing w:after="0" w:line="271" w:lineRule="auto"/>
        <w:rPr>
          <w:sz w:val="20"/>
          <w:szCs w:val="20"/>
          <w:color w:val="auto"/>
        </w:rPr>
      </w:pPr>
      <w:r>
        <w:rPr>
          <w:rFonts w:ascii="Times New Roman" w:cs="Times New Roman" w:eastAsia="Times New Roman" w:hAnsi="Times New Roman"/>
          <w:sz w:val="19"/>
          <w:szCs w:val="19"/>
          <w:color w:val="auto"/>
        </w:rPr>
        <w:t>Stock may be utilized in connection with any general offering to the public in Argentina. Any Argentine resident who acquires shares of Common Stock under the Plan does so under their own responsibility under the terms of a private offering made to the Argentine resident from outside Argentina. Any Argentine resident who acquires shares of Common Stock shall not transfer such shares of Common Stock to any other person within six (6) months of acquiring the shares of Common Stock, unless the transaction is conducted outside Argentina.</w:t>
      </w:r>
    </w:p>
    <w:p>
      <w:pPr>
        <w:spacing w:after="0" w:line="15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The Employee is solely responsible for complying with the exchange control rules that may apply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their participation in the Plan and/or the transfer of proceeds acquired under the Plan into Argentina. Prior to vesting in the Deferred Stock Units or transferring proceeds into Argentina, the Employee should consult their local bank and exchange control advisor to confirm the exchange control rules and required documentation.</w:t>
      </w:r>
    </w:p>
    <w:p>
      <w:pPr>
        <w:spacing w:after="0" w:line="184"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Employee must report holdings of any equity interest in a foreign company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acquired under the Plan) on their annual tax return each year.</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Securities Law Disclosure. </w:t>
      </w:r>
      <w:r>
        <w:rPr>
          <w:rFonts w:ascii="Times New Roman" w:cs="Times New Roman" w:eastAsia="Times New Roman" w:hAnsi="Times New Roman"/>
          <w:sz w:val="20"/>
          <w:szCs w:val="20"/>
          <w:color w:val="auto"/>
        </w:rPr>
        <w:t>This offer is being made under Division 1A, Part 7.12 of the Corporations Act 2001 (Cth).</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No payment constituting breach of law in Australia. </w:t>
      </w:r>
      <w:r>
        <w:rPr>
          <w:rFonts w:ascii="Times New Roman" w:cs="Times New Roman" w:eastAsia="Times New Roman" w:hAnsi="Times New Roman"/>
          <w:sz w:val="20"/>
          <w:szCs w:val="20"/>
          <w:color w:val="auto"/>
        </w:rPr>
        <w:t>Notwithstanding anything else in the Plan or the Agreement, the Employee will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Exchange control reporting is required for cash transactions exceedinga certain threshold (currently,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AUD10,000) and for international fund transfers. If an Australian bank is assisting with the transaction, the bank will file the report on the Employee’s behalf, otherwise the Employee will be responsible for complying with any exchange control reporting requirements.</w:t>
      </w:r>
    </w:p>
    <w:p>
      <w:pPr>
        <w:spacing w:after="0" w:line="18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Tax Notification. </w:t>
      </w:r>
      <w:r>
        <w:rPr>
          <w:rFonts w:ascii="Times New Roman" w:cs="Times New Roman" w:eastAsia="Times New Roman" w:hAnsi="Times New Roman"/>
          <w:sz w:val="20"/>
          <w:szCs w:val="20"/>
          <w:color w:val="auto"/>
        </w:rPr>
        <w:t>The Plan is a plan to which Subdivision 83A-C of the Income Tax Assessment Act 1997 (Cth) (the “Act”) applies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conditions in the Act).</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AUSTRIA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Employee holds securities (including shares of Common Stock acquired under the Plan) or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proceeds from the sale of shares of Common Stock) outside of Austria, he or she may be subject to reporting obligations to the Austrian National Bank. If the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18</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13" w:right="379" w:bottom="1440" w:gutter="0" w:footer="0" w:header="0"/>
        </w:sectPr>
      </w:pPr>
    </w:p>
    <w:bookmarkStart w:id="179" w:name="page180"/>
    <w:bookmarkEnd w:id="179"/>
    <w:p>
      <w:pPr>
        <w:ind w:right="200"/>
        <w:spacing w:after="0" w:line="254" w:lineRule="auto"/>
        <w:rPr>
          <w:sz w:val="20"/>
          <w:szCs w:val="20"/>
          <w:color w:val="auto"/>
        </w:rPr>
      </w:pPr>
      <w:r>
        <w:rPr>
          <w:rFonts w:ascii="Times New Roman" w:cs="Times New Roman" w:eastAsia="Times New Roman" w:hAnsi="Times New Roman"/>
          <w:sz w:val="20"/>
          <w:szCs w:val="20"/>
          <w:color w:val="auto"/>
        </w:rPr>
        <w:t>the shares of Common Stock meets or exceeds a certain threshold, the Employee must report the securities held on a quarterly basis to the Austrian National Bank as of the last day of the quarter, on or before the 15th day of the month following the end of the calendar quarter. Where the cash amounts held outside of Austria meet or exceed a certain threshold, monthly reporting obligations apply as explained in the next paragraph.</w:t>
      </w:r>
    </w:p>
    <w:p>
      <w:pPr>
        <w:spacing w:after="0" w:line="1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If the Employee sells shares of Common Stock, or receives any cash dividends, the Employee may have exchange control obligations if the Employee holds the cash proceeds outside Austria. If the transaction volume of all the Employee’s accounts abroad meets or exceeds a certain threshold, the Employee must report to the Austrian National Bank the movements and balances of all accounts on a monthly basis, as of the last day of the month, on or before the 15th day of the following month, on the prescribed form (</w:t>
      </w:r>
      <w:r>
        <w:rPr>
          <w:rFonts w:ascii="Times New Roman" w:cs="Times New Roman" w:eastAsia="Times New Roman" w:hAnsi="Times New Roman"/>
          <w:sz w:val="20"/>
          <w:szCs w:val="20"/>
          <w:i w:val="1"/>
          <w:iCs w:val="1"/>
          <w:color w:val="auto"/>
        </w:rPr>
        <w:t>Meldungen SI-Forderungen und/oder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SI-Verpflichtungen</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BAHRAIN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The Agreement does not constitute advertising or an offering of securities in Bahrain, nor does it constitute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allotment of securities in Bahrain. Any shares of Common Stock issued pursuant to the Deferred Stock Units under the Plan shall be deposited into a brokerage account in the United States. In no event will shares of Common Stock be issued or delivered in Bahrain. The issuance of shares of Common Stock pursuant to the Deferred Stock Units described herein has not and will not be registered in Bahrain and hence, the shares of Common Stock described herein may not be admitted or used for offering, placement or public circulation in Bahrain. Accordingly, the Employee may not make any public advertising or announcements regarding the Deferred Stock Units or shares of Common Stock in Bahrain, promote these shares of Common Stock to legal entities or individuals in Bahrain, or sell shares of Common Stock directly to other legal entities or individuals in Bahrain. The Employee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the Nasdaq Global Select Market).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BANGLADESH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Deferred Stock Units Payable Only in Cash. </w:t>
      </w:r>
      <w:r>
        <w:rPr>
          <w:rFonts w:ascii="Times New Roman" w:cs="Times New Roman" w:eastAsia="Times New Roman" w:hAnsi="Times New Roman"/>
          <w:sz w:val="20"/>
          <w:szCs w:val="20"/>
          <w:color w:val="auto"/>
        </w:rPr>
        <w:t>Notwithstanding any discretion in the Plan or anything to the contrary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paragraph 7 of the Agreement), the grant of Deferred Stock Units does not provide any right for the Employee to receive shares of Common Stock upon the Vesting Date. At the discretion of the Company, Deferred Stock Units granted to Employees in Bangladesh shall be paid in cash in an amount equal to the value of the shares of Common Stock on the Vesting Date.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BELGIUM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Foreign Asset/Account Reporting Information. </w:t>
      </w:r>
      <w:r>
        <w:rPr>
          <w:rFonts w:ascii="Times New Roman" w:cs="Times New Roman" w:eastAsia="Times New Roman" w:hAnsi="Times New Roman"/>
          <w:sz w:val="19"/>
          <w:szCs w:val="19"/>
          <w:color w:val="auto"/>
        </w:rPr>
        <w:t>The Employee is required to report any securities (</w:t>
      </w:r>
      <w:r>
        <w:rPr>
          <w:rFonts w:ascii="Times New Roman" w:cs="Times New Roman" w:eastAsia="Times New Roman" w:hAnsi="Times New Roman"/>
          <w:sz w:val="19"/>
          <w:szCs w:val="19"/>
          <w:i w:val="1"/>
          <w:iCs w:val="1"/>
          <w:color w:val="auto"/>
        </w:rPr>
        <w:t>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w:t>
      </w:r>
      <w:r>
        <w:rPr>
          <w:rFonts w:ascii="Times New Roman" w:cs="Times New Roman" w:eastAsia="Times New Roman" w:hAnsi="Times New Roman"/>
          <w:sz w:val="19"/>
          <w:szCs w:val="19"/>
          <w:color w:val="auto"/>
        </w:rPr>
        <w:t>., shares of Common Stock acquired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the Plan) or bank accounts established outside of Belgium on their annual tax return. In a separate report, Belgium residents are also required to provide the National Bank of Belgium with the account details of any such foreign accounts (including the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80" w:name="page181"/>
    <w:bookmarkEnd w:id="180"/>
    <w:p>
      <w:pPr>
        <w:spacing w:after="0" w:line="261" w:lineRule="auto"/>
        <w:rPr>
          <w:sz w:val="20"/>
          <w:szCs w:val="20"/>
          <w:color w:val="auto"/>
        </w:rPr>
      </w:pPr>
      <w:r>
        <w:rPr>
          <w:rFonts w:ascii="Times New Roman" w:cs="Times New Roman" w:eastAsia="Times New Roman" w:hAnsi="Times New Roman"/>
          <w:sz w:val="20"/>
          <w:szCs w:val="20"/>
          <w:color w:val="auto"/>
        </w:rPr>
        <w:t>number, bank name and country in which any such account was opened). This report, as well as additional information on how to complete it, can be found on the website of the National Bank of Belgium, www.nbb.be, under Kredietcentrales / Centrales des crédits caption. The Employee should consult a personal tax advisor with respect to the applicable reporting obligations.</w:t>
      </w:r>
    </w:p>
    <w:p>
      <w:pPr>
        <w:spacing w:after="0" w:line="16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color w:val="auto"/>
        </w:rPr>
        <w:t>Stock Exchange Tax Information</w:t>
      </w:r>
      <w:r>
        <w:rPr>
          <w:rFonts w:ascii="Times New Roman" w:cs="Times New Roman" w:eastAsia="Times New Roman" w:hAnsi="Times New Roman"/>
          <w:sz w:val="20"/>
          <w:szCs w:val="20"/>
          <w:color w:val="auto"/>
        </w:rPr>
        <w:t>. A stock exchange tax applies to transactions executed by Belgian residents through a non-Belgian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intermediary, such as a U.S. broker. The stock exchange tax will apply when shares of Common Stock acquired upon vesting of the Deferred Stock Units are sold.</w:t>
      </w:r>
    </w:p>
    <w:p>
      <w:pPr>
        <w:spacing w:after="0" w:line="16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b w:val="1"/>
          <w:bCs w:val="1"/>
          <w:color w:val="auto"/>
        </w:rPr>
        <w:t>Annual Securities Accounts Tax</w:t>
      </w:r>
      <w:r>
        <w:rPr>
          <w:rFonts w:ascii="Times New Roman" w:cs="Times New Roman" w:eastAsia="Times New Roman" w:hAnsi="Times New Roman"/>
          <w:sz w:val="20"/>
          <w:szCs w:val="20"/>
          <w:color w:val="auto"/>
        </w:rPr>
        <w:t>. An annual securities accounts tax may be payable if the total average value of securities held in a Belgian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foreign securities account (e.g., shares of Common Stock acquired under the Plan) exceeds a certain threshold on four reference dates within the relevant reporting period (i.e., December 31, March 31, June 30 and September 30). In such case, the tax will be due on the value of the qualifying securities held in such account. Belgian residents should consult with their personal tax advisor regarding the application of this tax.</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BRAZIL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0"/>
          <w:szCs w:val="20"/>
          <w:b w:val="1"/>
          <w:bCs w:val="1"/>
          <w:color w:val="auto"/>
        </w:rPr>
        <w:t>Compliance with Law</w:t>
      </w:r>
      <w:r>
        <w:rPr>
          <w:rFonts w:ascii="Times New Roman" w:cs="Times New Roman" w:eastAsia="Times New Roman" w:hAnsi="Times New Roman"/>
          <w:sz w:val="20"/>
          <w:szCs w:val="20"/>
          <w:color w:val="auto"/>
        </w:rPr>
        <w:t>. By accepting the Deferred Stock Units, the Employee acknowledges that he or she agrees to comply with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Brazilian laws and pay any and all applicable Tax-Related Items associated with the vesting of the Deferred Stock Units, the receipt of any dividends and the sale of shares of Common Stock acquired under the Plan.</w:t>
      </w:r>
    </w:p>
    <w:p>
      <w:pPr>
        <w:spacing w:after="0" w:line="16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0"/>
          <w:szCs w:val="20"/>
          <w:b w:val="1"/>
          <w:bCs w:val="1"/>
          <w:color w:val="auto"/>
        </w:rPr>
        <w:t>Labor Law Acknowledgment</w:t>
      </w:r>
      <w:r>
        <w:rPr>
          <w:rFonts w:ascii="Times New Roman" w:cs="Times New Roman" w:eastAsia="Times New Roman" w:hAnsi="Times New Roman"/>
          <w:sz w:val="20"/>
          <w:szCs w:val="20"/>
          <w:color w:val="auto"/>
        </w:rPr>
        <w:t>. By accepting the Deferred Stock Units, the Employee understands, acknowledges and agrees that, for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legal purposes (i) the Employee is making an investment decision and (ii) the value of the underlying shares of Common Stock are not fixed and may increase or decrease in value over the vesting period without compensation to the Employee.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Individuals who are resident or domiciled in Brazil are generally required to submit an annual declaration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assets and rights held outside Brazil to the Central Bank of Brazil if the aggregate value of such assets and rights is greater than a certain threshold (currently, US$1,000,000). If such amount is equal to or greater than a certain threshold (currently, US$100,000,000), the referenced declaration must be submitted quarterly, in the month following the end of each quarter. Assets and rights to be included in this annual declaration include shares of Common Stock acquired under the Plan.</w:t>
      </w:r>
    </w:p>
    <w:p>
      <w:pPr>
        <w:spacing w:after="0" w:line="1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Tax on Financial Transaction (IOF)</w:t>
      </w:r>
      <w:r>
        <w:rPr>
          <w:rFonts w:ascii="Times New Roman" w:cs="Times New Roman" w:eastAsia="Times New Roman" w:hAnsi="Times New Roman"/>
          <w:sz w:val="20"/>
          <w:szCs w:val="20"/>
          <w:color w:val="auto"/>
        </w:rPr>
        <w:t>. Repatriation of funds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sale proceeds from the sale of shares of Common Stock and/or dividends)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Brazil and the conversion of USD into BRL associated with such fund transfers may be subject to the Tax on Financial Transactions. It is the Employee’s responsibility to comply with any applicable Tax on Financial Transactions arising from their participation in the Plan. The Employee should consult with their personal tax advisor for additional details.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BULGARIA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81" w:name="page182"/>
    <w:bookmarkEnd w:id="181"/>
    <w:p>
      <w:pPr>
        <w:ind w:right="20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Employee will be required to file statistical forms with the Bulgarian national bank regarding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receivables in bank accounts abroad as well as securities held abroad which have been acquired without using the services of a local broker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acquired under the Plan) if the total sum of all such receivables and securities equals or exceeds a certain threshold (currently, BGN 50,000) as of the previous calendar year end. The reports are due by March 31.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Employee should contact their bank in Bulgaria for additional information regarding these requirements.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Form of Settlement. </w:t>
      </w:r>
      <w:r>
        <w:rPr>
          <w:rFonts w:ascii="Times New Roman" w:cs="Times New Roman" w:eastAsia="Times New Roman" w:hAnsi="Times New Roman"/>
          <w:sz w:val="20"/>
          <w:szCs w:val="20"/>
          <w:color w:val="auto"/>
        </w:rPr>
        <w:t>Deferred Stock Units granted to employees resident in Canada shall be paid in shares of Common Stock only.</w:t>
      </w:r>
    </w:p>
    <w:p>
      <w:pPr>
        <w:spacing w:after="0" w:line="229"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Exclusion from Compensation. </w:t>
      </w:r>
      <w:r>
        <w:rPr>
          <w:rFonts w:ascii="Times New Roman" w:cs="Times New Roman" w:eastAsia="Times New Roman" w:hAnsi="Times New Roman"/>
          <w:sz w:val="20"/>
          <w:szCs w:val="20"/>
          <w:color w:val="auto"/>
        </w:rPr>
        <w:t>Sections 13 (f), (k), and (m) of the Agreement apply, except as explicitly and minimally required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legislation.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Termination of Employment</w:t>
      </w:r>
      <w:r>
        <w:rPr>
          <w:rFonts w:ascii="Times New Roman" w:cs="Times New Roman" w:eastAsia="Times New Roman" w:hAnsi="Times New Roman"/>
          <w:sz w:val="20"/>
          <w:szCs w:val="20"/>
          <w:color w:val="auto"/>
        </w:rPr>
        <w:t>. The following provisions replace the final paragraph of paragraph 2 of the Agreement:</w:t>
      </w:r>
    </w:p>
    <w:p>
      <w:pPr>
        <w:spacing w:after="0" w:line="23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For purposes of the Deferred Stock Units or as explicitly and minimally required under applicable legislation, the Employee’s employment or service relationship will be considered terminated and the Employee will no longer be considered continuously employed as of the date the Employee is no longer providing services to the Mondelēz Group (regardless of the reason for such termination and whether or not later found to be invalid or in breach of employment laws in the jurisdiction where the Employee is employed or providing services or the terms of the Employee’s employment or service agreement, if any) (the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Except as explicitly and minimally required under applicable legislation, the Employee’s right to earn, seek damages in lieu of, vest in or otherwise benefit from any portion of the Deferred Stock Units, the shares of Common Stock subject to the Deferred Stock Units, the Agreement or the Plan, if any, will be measured by and immediately terminate effective as of the Termination Date.</w:t>
      </w:r>
    </w:p>
    <w:p>
      <w:pPr>
        <w:spacing w:after="0" w:line="18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Except as explicitly and minimally required under applicable legislation, the Termination Date will exclude and will not be extended by any period during which notice, pay in lieu of notice or related payments or damages are provided or required to be provided under statute, contract, common/civil law or otherwise. The Employee will not earn or be entitled to any pro-rated vesting or other benefits or participation under the Plan for that portion of time before the Termination Date, nor will the Employee be entitled to any compensation for lost vesting or other benefits or participation in the Plan. For clarity, any reference to the termination or cessation of the Employee’s employment or service, or to a termination date or date of termination, under the Grant, the Plan or the Agreement, will be interpreted to mean the Termination Date as defined above.</w:t>
      </w:r>
    </w:p>
    <w:p>
      <w:pPr>
        <w:spacing w:after="0" w:line="193"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Notwithstanding the foregoing, if applicable employment standards legislation explicitly requires continued entitlement to vesting or other participation during a statutory notice period, the Employee’s right to vest or otherwise benefit from or participate in the Deferred Stock Units under the Plan, if any, will terminate effective as of the last day of the Employee’s minimum statutory notice period. The Employee will not earn or be entitled to pro-rated vesting or other benefits or participation if the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09" w:right="359" w:bottom="1440" w:gutter="0" w:footer="0" w:header="0"/>
        </w:sectPr>
      </w:pPr>
    </w:p>
    <w:bookmarkStart w:id="182" w:name="page183"/>
    <w:bookmarkEnd w:id="182"/>
    <w:p>
      <w:pPr>
        <w:ind w:right="480"/>
        <w:spacing w:after="0" w:line="269" w:lineRule="auto"/>
        <w:rPr>
          <w:sz w:val="20"/>
          <w:szCs w:val="20"/>
          <w:color w:val="auto"/>
        </w:rPr>
      </w:pPr>
      <w:r>
        <w:rPr>
          <w:rFonts w:ascii="Times New Roman" w:cs="Times New Roman" w:eastAsia="Times New Roman" w:hAnsi="Times New Roman"/>
          <w:sz w:val="20"/>
          <w:szCs w:val="20"/>
          <w:color w:val="auto"/>
        </w:rPr>
        <w:t>date falls after the end of the Employee’s statutory notice period, nor will the Employee be entitled to any compensation for lost vesting benefits or other participation.</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Subject to applicable legislation, if the date the Employee is no longer providing services cannot be reasonably determined under the terms of the Agreement or the Plan, the Committee shall have the exclusive discretion to determine when the Employee is no longer providing services for purposes of the Deferred Stock Units. Unless otherwise determined by the Committee, leaves of absence shall not constitute a termination of employment for purposes of this Agreement.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following provisions apply for Employees resident in Quebec: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w:t>
      </w:r>
      <w:r>
        <w:rPr>
          <w:rFonts w:ascii="Times New Roman" w:cs="Times New Roman" w:eastAsia="Times New Roman" w:hAnsi="Times New Roman"/>
          <w:sz w:val="20"/>
          <w:szCs w:val="20"/>
          <w:color w:val="auto"/>
        </w:rPr>
        <w:t>. The following provision supplements paragraph 14 of the Agreement:</w:t>
      </w:r>
    </w:p>
    <w:p>
      <w:pPr>
        <w:spacing w:after="0" w:line="23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The Employee hereby authorizes the Company and the Company’s representatives to discuss with and obtain all relevant information from all personnel, professional or not, involved in the administration and operation of the Plan. The Employee further authorizes the Mondelēz Group and the administrator of the Plan to disclose and discuss the Plan with their advisors. The Employee acknowledges and agrees that the Employee’s personal information, including sensitive personal information, may be transferred or disclosed outside of the Province of Quebec, including to the United States. The Employee further authorizes the Mondelēz Group to record such information and to keep such information in their employee file. The Employee also acknowledges and authorizes the Company and any subsidiary or affiliate or other parties involved in the administration of the Plan to use technology for profiling purposes and to make automated decisions that may have an impact on the Employee or the administration of the Plan.</w:t>
      </w:r>
    </w:p>
    <w:p>
      <w:pPr>
        <w:spacing w:after="0" w:line="18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b w:val="1"/>
          <w:bCs w:val="1"/>
          <w:color w:val="auto"/>
        </w:rPr>
        <w:t>Language</w:t>
      </w:r>
      <w:r>
        <w:rPr>
          <w:rFonts w:ascii="Times New Roman" w:cs="Times New Roman" w:eastAsia="Times New Roman" w:hAnsi="Times New Roman"/>
          <w:sz w:val="20"/>
          <w:szCs w:val="20"/>
          <w:color w:val="auto"/>
        </w:rPr>
        <w:t>. A French translation of the Plan and the Agreement can be made available to the Employee as soon as reasonably practicable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request. The Employee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spacing w:after="0" w:line="184"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20"/>
          <w:szCs w:val="20"/>
          <w:i w:val="1"/>
          <w:iCs w:val="1"/>
          <w:color w:val="auto"/>
        </w:rPr>
        <w:t>Une traduction française du Plan et du présent Contrat pourra êtremise à la disposition de Employé(e) dès que raisonnablement possible à la demande de l'Employé. Le Employé(e)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Employee is permitted to sell shares of Common Stock acquired under the Plan through the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broker appointed under the Plan, if any, provided that the sale of such shares takes place outside Canada through the facilities of a stock exchange on which the shares of Common Stock are listed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Nasdaq Global Select Market).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The Employee is required to report any specified foreign property annually on Form T1135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Income Verification Statement) if the total cost of the Employee’s specified foreign property exceeds a certain threshold (currently, C$100,000) at any time during the year. The form must be filed by April 30th of the following year. Specified foreign property includes shares of Common Stock acquired under the Plan and may include the Deferred Stock Units. The Deferred Stock Units must be reported-- generally at a nil cost--if the applicable cost threshold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83" w:name="page184"/>
    <w:bookmarkEnd w:id="183"/>
    <w:p>
      <w:pPr>
        <w:ind w:right="40"/>
        <w:spacing w:after="0" w:line="250" w:lineRule="auto"/>
        <w:rPr>
          <w:sz w:val="20"/>
          <w:szCs w:val="20"/>
          <w:color w:val="auto"/>
        </w:rPr>
      </w:pPr>
      <w:r>
        <w:rPr>
          <w:rFonts w:ascii="Times New Roman" w:cs="Times New Roman" w:eastAsia="Times New Roman" w:hAnsi="Times New Roman"/>
          <w:sz w:val="20"/>
          <w:szCs w:val="20"/>
          <w:color w:val="auto"/>
        </w:rPr>
        <w:t>exceeded because of other specified foreign property the Employee holds. If shares of Common Stock are acquired, their cost generally is the adjusted cost base (“</w:t>
      </w:r>
      <w:r>
        <w:rPr>
          <w:rFonts w:ascii="Times New Roman" w:cs="Times New Roman" w:eastAsia="Times New Roman" w:hAnsi="Times New Roman"/>
          <w:sz w:val="20"/>
          <w:szCs w:val="20"/>
          <w:u w:val="single" w:color="auto"/>
          <w:color w:val="auto"/>
        </w:rPr>
        <w:t>ACB</w:t>
      </w:r>
      <w:r>
        <w:rPr>
          <w:rFonts w:ascii="Times New Roman" w:cs="Times New Roman" w:eastAsia="Times New Roman" w:hAnsi="Times New Roman"/>
          <w:sz w:val="20"/>
          <w:szCs w:val="20"/>
          <w:color w:val="auto"/>
        </w:rPr>
        <w:t>” ) of the shares of Common Stock. The ACB would normally equal the fair market value of the shares of Common Stock at vesting for Deferred Stock Units, but if the Employee owns other shares of Company Common Stock, this ACB may have to be averaged with the ACB of the other shares of Common Stock owned by the Employee. It is the Employee’s responsibility to comply with applicable reporting obligations.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CHILE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offer of Deferred Stock Units constitutes a private offering of securities in Chile effective as of the Grant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The offer of Deferred Stock Units is made subject to general ruling N° 336 of the Chilean Commission for the Financial Market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CMF</w:t>
      </w:r>
      <w:r>
        <w:rPr>
          <w:rFonts w:ascii="Times New Roman" w:cs="Times New Roman" w:eastAsia="Times New Roman" w:hAnsi="Times New Roman"/>
          <w:sz w:val="19"/>
          <w:szCs w:val="19"/>
          <w:color w:val="auto"/>
        </w:rPr>
        <w:t>”). The offer refers to securities not registered at the securities registry or at the foreign securities registry of the CMF, and, therefore,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securities are not subject to oversight of the CMF. Given that the Deferred Stock Units are not registered in Chile, the Company is not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required to provide public information about the Deferred Stock Units or the shares of Common Stock in Chile. Unless the Deferred Stock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Units and/or the shares of Common Stock are registered with the CMF, a public offering of such securities cannot be made in Chile.</w:t>
      </w:r>
    </w:p>
    <w:p>
      <w:pPr>
        <w:spacing w:after="0" w:line="19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i w:val="1"/>
          <w:iCs w:val="1"/>
          <w:color w:val="auto"/>
        </w:rPr>
        <w:t>Esta oferta de Unidades de Acciones Diferidas constituye una oferta privada de valores en Chile y se inicia en la Fecha de la Concesión. Esta oferta de Unidades de Acciones Diferidas se acoge a las disposiciones de la Norma de Carácter General N° 336 de la Comisión para el Mercado Financiero de Chile (“</w:t>
      </w:r>
      <w:r>
        <w:rPr>
          <w:rFonts w:ascii="Times New Roman" w:cs="Times New Roman" w:eastAsia="Times New Roman" w:hAnsi="Times New Roman"/>
          <w:sz w:val="20"/>
          <w:szCs w:val="20"/>
          <w:i w:val="1"/>
          <w:iCs w:val="1"/>
          <w:u w:val="single" w:color="auto"/>
          <w:color w:val="auto"/>
        </w:rPr>
        <w:t>CMF</w:t>
      </w:r>
      <w:r>
        <w:rPr>
          <w:rFonts w:ascii="Times New Roman" w:cs="Times New Roman" w:eastAsia="Times New Roman" w:hAnsi="Times New Roman"/>
          <w:sz w:val="20"/>
          <w:szCs w:val="20"/>
          <w:i w:val="1"/>
          <w:iCs w:val="1"/>
          <w:color w:val="auto"/>
        </w:rPr>
        <w:t>”). Esta oferta versa sobre valores no inscritos en el Registro de Valores o en el Registro de Valores Extranjeros que lleva la CMF, por lo que tales valores no están sujetos a la fiscalización de ésta. Por tratarse las Unidades de Acciones Diferidas de valores no registrados en Chile, no existe obligación por parte de la Compañía de entregar en Chile información pública respecto de las Unidades de Acciones Diferidas o sus Acciones. Estos valores no podrán ser objeto de oferta pública en Chile mientras no sean inscritos en el Registro de Valores correspondiente.</w:t>
      </w:r>
    </w:p>
    <w:p>
      <w:pPr>
        <w:spacing w:after="0" w:line="19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The Employee is not required to repatriate any funds he or she receives with respect to the Deferred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Units and/or the shares of Common Stock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proceeds from the sale of shares of Common Stock or dividends received) to Chile. However, if the Employee decides to repatriate such funds, he or she must do so through the Formal Exchange Market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 commercial bank or registered foreign exchange office) if the amount of the funds repatriated exceeds a certain threshold (currently, US$10,000). If the Employee does not repatriate the proceeds and instead use such proceeds for the payment of other obligations contemplated under a different Chapter of the Foreign Exchange Regulations, the Employee must sign Annex 1 of the Manual of Chapter XII of the Foreign Exchange Regulations and file it directly with the Central Bank within the first 10 days of the month immediately following the transaction.</w:t>
      </w:r>
    </w:p>
    <w:p>
      <w:pPr>
        <w:spacing w:after="0" w:line="17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color w:val="auto"/>
        </w:rPr>
        <w:t xml:space="preserve">Exchange control requirements are subject to change. </w:t>
      </w:r>
      <w:r>
        <w:rPr>
          <w:rFonts w:ascii="Times New Roman" w:cs="Times New Roman" w:eastAsia="Times New Roman" w:hAnsi="Times New Roman"/>
          <w:sz w:val="20"/>
          <w:szCs w:val="20"/>
          <w:i w:val="1"/>
          <w:iCs w:val="1"/>
          <w:color w:val="auto"/>
        </w:rPr>
        <w:t>The Employee should consult with their personal legal advisor regarding any 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control obligations that may apply in connection with the Deferred Stock Units.</w:t>
      </w:r>
    </w:p>
    <w:p>
      <w:pPr>
        <w:spacing w:after="0" w:line="165" w:lineRule="exact"/>
        <w:rPr>
          <w:sz w:val="20"/>
          <w:szCs w:val="20"/>
          <w:color w:val="auto"/>
        </w:rPr>
      </w:pPr>
    </w:p>
    <w:p>
      <w:pPr>
        <w:jc w:val="both"/>
        <w:ind w:right="260"/>
        <w:spacing w:after="0" w:line="276" w:lineRule="auto"/>
        <w:rPr>
          <w:sz w:val="20"/>
          <w:szCs w:val="20"/>
          <w:color w:val="auto"/>
        </w:rPr>
      </w:pPr>
      <w:r>
        <w:rPr>
          <w:rFonts w:ascii="Times New Roman" w:cs="Times New Roman" w:eastAsia="Times New Roman" w:hAnsi="Times New Roman"/>
          <w:sz w:val="19"/>
          <w:szCs w:val="19"/>
          <w:b w:val="1"/>
          <w:bCs w:val="1"/>
          <w:color w:val="auto"/>
        </w:rPr>
        <w:t>Foreign Asset / Account Reporting Information</w:t>
      </w:r>
      <w:r>
        <w:rPr>
          <w:rFonts w:ascii="Times New Roman" w:cs="Times New Roman" w:eastAsia="Times New Roman" w:hAnsi="Times New Roman"/>
          <w:sz w:val="19"/>
          <w:szCs w:val="19"/>
          <w:color w:val="auto"/>
        </w:rPr>
        <w:t>. If the Employee holds shares of Common Stock acquired under the Plan outside Chile,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Employee will be required to inform the Chilean Internal Revenue Service (the “</w:t>
      </w:r>
      <w:r>
        <w:rPr>
          <w:rFonts w:ascii="Times New Roman" w:cs="Times New Roman" w:eastAsia="Times New Roman" w:hAnsi="Times New Roman"/>
          <w:sz w:val="19"/>
          <w:szCs w:val="19"/>
          <w:u w:val="single" w:color="auto"/>
          <w:color w:val="auto"/>
        </w:rPr>
        <w:t>CIRS</w:t>
      </w:r>
      <w:r>
        <w:rPr>
          <w:rFonts w:ascii="Times New Roman" w:cs="Times New Roman" w:eastAsia="Times New Roman" w:hAnsi="Times New Roman"/>
          <w:sz w:val="19"/>
          <w:szCs w:val="19"/>
          <w:color w:val="auto"/>
        </w:rPr>
        <w:t>”) of the details of the Employee’s investment in the shares of Common Stock. Further, if the Employee wishes to receive a tax credit against the Employee’s Chilean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84" w:name="page185"/>
    <w:bookmarkEnd w:id="184"/>
    <w:p>
      <w:pPr>
        <w:spacing w:after="0" w:line="68"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taxes for any taxes paid abroad, the Employee must report the payment of taxes abroad to the CIRS. In either case, the Employee must file Tax Form 1929 by July 1 each year, which should be submitted electronically through the CIRS website: www.sii.cl</w:t>
      </w:r>
      <w:r>
        <w:rPr>
          <w:rFonts w:ascii="Times New Roman" w:cs="Times New Roman" w:eastAsia="Times New Roman" w:hAnsi="Times New Roman"/>
          <w:sz w:val="20"/>
          <w:szCs w:val="20"/>
          <w:color w:val="0000FF"/>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CHINA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following provisions apply to Employees who are exclusively citizens of the People’s Republic of China and who reside in mainland China, and Employees who are otherwise subject to exchange control restrictions applicable to employee stock plans in China, as determined by the Company in its sole discretion.</w:t>
      </w:r>
    </w:p>
    <w:p>
      <w:pPr>
        <w:spacing w:after="0" w:line="16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Settlement of Deferred Stock Units and Sale of Shares. </w:t>
      </w:r>
      <w:r>
        <w:rPr>
          <w:rFonts w:ascii="Times New Roman" w:cs="Times New Roman" w:eastAsia="Times New Roman" w:hAnsi="Times New Roman"/>
          <w:sz w:val="20"/>
          <w:szCs w:val="20"/>
          <w:color w:val="auto"/>
        </w:rPr>
        <w:t>Due to legal restrictions in China, upon the vesting of Deferred Stock Units,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Thus, as a condition of the grant of the Deferred Stock Units, the Employee agrees to the immediate sale of any shares of Common Stock issued to Employee upon vesting and settlement of the Deferred Stock Units.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The Employee acknowledges that the Company’s designated broker is under no obligation to arrange for the sale of shares of Common Stock at any particular price. Upon any such sale of the shares, the proceeds, less any Tax-Related Items and broker’s fees or commissions, will be remitted to the Employee in accordance with any applicable exchange control laws and regulations.</w:t>
      </w:r>
    </w:p>
    <w:p>
      <w:pPr>
        <w:spacing w:after="0" w:line="18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In the event that the Employee is not required to sell shares of Common Stock immediately upon vesting, any shares of Common Stock issued to the Employee must be maintained in an account with Morgan Stanley Smith Barney, LLC (“Morgan Stanley”) or such other broker as may be designated by the Company until the shares of Common Stock are sold through that broker. If the Company changes its designated broker, the Employee acknowledges and agrees that the Company may transfer any shares of Common Stock issued under the Plan to the new designated broker if necessary for legal or administrative reasons. The Employee agrees to sign any documentation necessary to facilitate the transfer. In addition, the Employee acknowledges and agrees that he or she must sell any shares of Common Stock issued upon vesting as soon as practicable following the termination of the Employee’s employment or other service relationship with the Mondelēz Group and in no event later than six (6) months following the termination of the Employee’s employment or other service relationship with the Mondelēz Group, or within any other such time frame the Company determines to be necessary or advisable to comply with local requirements.</w:t>
      </w:r>
    </w:p>
    <w:p>
      <w:pPr>
        <w:spacing w:after="0" w:line="19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Exchange Control Restrictions. </w:t>
      </w:r>
      <w:r>
        <w:rPr>
          <w:rFonts w:ascii="Times New Roman" w:cs="Times New Roman" w:eastAsia="Times New Roman" w:hAnsi="Times New Roman"/>
          <w:sz w:val="20"/>
          <w:szCs w:val="20"/>
          <w:color w:val="auto"/>
        </w:rPr>
        <w:t>The Employee understands and agrees that, due to exchange control laws in China, he or she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immediately repatriate to China any proceeds from the sale of shares of Common Stock acquired from the Deferred Stock Units and any dividends and/or dividend equivalents paid to the Employee in cash. The Employee further understands that, under local law, such repatriation of the cash proceeds will be effected through a special exchange control account established by a member of the Mondelēz Group and the Employee hereby consents and agrees that any cash proceeds received in connection with the Plan will be transferred to such special account prior to being delivered to him or her. The proceeds may be paid in U.S. dollars or local currency at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185" w:name="page186"/>
    <w:bookmarkEnd w:id="185"/>
    <w:p>
      <w:pPr>
        <w:ind w:right="20"/>
        <w:spacing w:after="0" w:line="263" w:lineRule="auto"/>
        <w:rPr>
          <w:sz w:val="20"/>
          <w:szCs w:val="20"/>
          <w:color w:val="auto"/>
        </w:rPr>
      </w:pPr>
      <w:r>
        <w:rPr>
          <w:rFonts w:ascii="Times New Roman" w:cs="Times New Roman" w:eastAsia="Times New Roman" w:hAnsi="Times New Roman"/>
          <w:sz w:val="19"/>
          <w:szCs w:val="19"/>
          <w:color w:val="auto"/>
        </w:rPr>
        <w:t>discretion. If the proceeds are paid in U.S. dollars, the Employee acknowledges that he or she will be required to set up a U.S. dollar bank account in China so that the proceeds may be delivered to this account. If the proceeds are converted to local currency, the Employee acknowledges that the Mondelēz Group is under no obligation to secure any currency conversion rate and may face delays in converting the proceeds to local currency due to exchange control restrictions in China. The Employee agrees to bear any currency fluctuation risk between the date the shares of Common Stock acquired from the Deferred Stock Units are sold or any dividends are paid and the time that (i) the Tax-Related Items are converted to local currency and remitted to the tax authorities and (ii) net proceeds are converted to local currency and distributed to the Employee. The Employee acknowledges that the Mondelēz Group will not be held liable for any delay in delivering the proceeds to the Employee. The Employee agrees to sign any agreements, forms and/or consents that may be requested by the Company or the Company’s designated broker to effectuate any of the remittances, transfers, conversions or other processes affecting the proceeds.</w:t>
      </w:r>
    </w:p>
    <w:p>
      <w:pPr>
        <w:spacing w:after="0" w:line="16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The Employee further agrees to comply with any other requirements that may be imposed by the Company in the future in order to facilitate compliance with exchange control requirements in China. For Deferred Stock Units, these additional requirements may include, but are not limited to, a requirement to maintain any shares of Common Stock acquired from the Deferred Stock Units in an account with a Company-designated broker and/or to sell any shares of Common Stock that the Employee receives immediately upon vesting of the Deferred Stock Units (as explained above) or upon termination of the Employee’s service with the Mondelēz Group.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9"/>
          <w:szCs w:val="19"/>
          <w:b w:val="1"/>
          <w:bCs w:val="1"/>
          <w:color w:val="auto"/>
        </w:rPr>
        <w:t>Foreign Asset/Account Reporting Information</w:t>
      </w:r>
      <w:r>
        <w:rPr>
          <w:rFonts w:ascii="Times New Roman" w:cs="Times New Roman" w:eastAsia="Times New Roman" w:hAnsi="Times New Roman"/>
          <w:sz w:val="19"/>
          <w:szCs w:val="19"/>
          <w:color w:val="auto"/>
        </w:rPr>
        <w:t>. Chinese residents may be required to report to the SAFE all details of their foreign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financial assets and liabilities, as well as details of any economic transactions conducted with non-Chinese residents, including the Company.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COLOMBIA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Labor Law Acknowledgement. </w:t>
      </w:r>
      <w:r>
        <w:rPr>
          <w:rFonts w:ascii="Times New Roman" w:cs="Times New Roman" w:eastAsia="Times New Roman" w:hAnsi="Times New Roman"/>
          <w:sz w:val="20"/>
          <w:szCs w:val="20"/>
          <w:color w:val="auto"/>
        </w:rPr>
        <w:t>The following provision supplements the acknowledgments contained in paragraph 13 of the Agreement:</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Employee acknowledges that pursuant to Article 128 of the Colombian Labor Code, the Plan and related benefits do not constitute a component of the Employee’s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spacing w:after="0" w:line="17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Mandate Letter. </w:t>
      </w:r>
      <w:r>
        <w:rPr>
          <w:rFonts w:ascii="Times New Roman" w:cs="Times New Roman" w:eastAsia="Times New Roman" w:hAnsi="Times New Roman"/>
          <w:sz w:val="20"/>
          <w:szCs w:val="20"/>
          <w:color w:val="auto"/>
        </w:rPr>
        <w:t>By accepting the Deferred Stock Units, the Employee agrees that, if requested by the Company or the Employer,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will execute a mandate letter or such other document (whether electronically or by such other method as requested by the Company or the Employer) that the Company determines is necessary or advisable in order that (i) a sufficient number of shares of Common Stock to be allocated to the Employee upon vesting can be withheld or sold on the Employee’s behalf to cover Tax-Related Items required to be withheld by the Employer and (ii) the proceeds from such withholding or sale can be transferred directly from the Company to the Employer in Colombia for remittance to the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shares of Common Stock are not and will not be registered in the Colombian registry of publicly traded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w:t>
      </w:r>
      <w:r>
        <w:rPr>
          <w:rFonts w:ascii="Times New Roman" w:cs="Times New Roman" w:eastAsia="Times New Roman" w:hAnsi="Times New Roman"/>
          <w:sz w:val="20"/>
          <w:szCs w:val="20"/>
          <w:i w:val="1"/>
          <w:iCs w:val="1"/>
          <w:color w:val="auto"/>
        </w:rPr>
        <w:t>Registro Nacional de Valores y Emisores</w:t>
      </w:r>
      <w:r>
        <w:rPr>
          <w:rFonts w:ascii="Times New Roman" w:cs="Times New Roman" w:eastAsia="Times New Roman" w:hAnsi="Times New Roman"/>
          <w:sz w:val="20"/>
          <w:szCs w:val="20"/>
          <w:color w:val="auto"/>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spacing w:after="0" w:line="17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Colombian residents must register shares of Common Stock acquired under the Plan, regardless of value,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Central Bank of Colombia (</w:t>
      </w:r>
      <w:r>
        <w:rPr>
          <w:rFonts w:ascii="Times New Roman" w:cs="Times New Roman" w:eastAsia="Times New Roman" w:hAnsi="Times New Roman"/>
          <w:sz w:val="20"/>
          <w:szCs w:val="20"/>
          <w:i w:val="1"/>
          <w:iCs w:val="1"/>
          <w:color w:val="auto"/>
        </w:rPr>
        <w:t>Banco de la República</w:t>
      </w:r>
      <w:r>
        <w:rPr>
          <w:rFonts w:ascii="Times New Roman" w:cs="Times New Roman" w:eastAsia="Times New Roman" w:hAnsi="Times New Roman"/>
          <w:sz w:val="20"/>
          <w:szCs w:val="20"/>
          <w:color w:val="auto"/>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Times New Roman" w:cs="Times New Roman" w:eastAsia="Times New Roman" w:hAnsi="Times New Roman"/>
          <w:sz w:val="20"/>
          <w:szCs w:val="20"/>
          <w:i w:val="1"/>
          <w:iCs w:val="1"/>
          <w:color w:val="auto"/>
        </w:rPr>
        <w:t>declaración de cambio</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0"/>
          <w:szCs w:val="20"/>
          <w:color w:val="auto"/>
        </w:rPr>
        <w:t>The Employee is responsible for complying with applicable exchange control requirements in Colombia and the Employee should consult their legal advisor prior to the acquisition or sale of the shares of Common Stock under the Plan to ensure compliance with current regulations.</w:t>
      </w:r>
    </w:p>
    <w:p>
      <w:pPr>
        <w:spacing w:after="0" w:line="16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Employee must file an annual informative return with the Colombian Tax Office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detailing any assets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held abroad. If the individual value of any of these assets exceeds a certain threshold, the Employee must describe each asset and indicate the jurisdiction in which it is located, its nature and its value.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COTE D’IVOIRE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b w:val="1"/>
          <w:bCs w:val="1"/>
          <w:color w:val="auto"/>
        </w:rPr>
        <w:t>Settlement</w:t>
      </w:r>
      <w:r>
        <w:rPr>
          <w:rFonts w:ascii="Times New Roman" w:cs="Times New Roman" w:eastAsia="Times New Roman" w:hAnsi="Times New Roman"/>
          <w:sz w:val="19"/>
          <w:szCs w:val="19"/>
          <w:color w:val="auto"/>
        </w:rPr>
        <w:t>. If shares of Common Stock are issued upon vesting of the Deferred Stock Units, in the Company’s sole discretion, the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be required to be immediately sold. Thus, as a condition of the grant of the Deferred Stock Units, the Employee agrees to the immediate sale of any shares of Common Stock issued to Employee upon vesting and settlement of the Deferred Stock Units.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The Employee acknowledges that the Company’s designated broker is under no obligation to arrange for the sale of shares of Common Stock at any particular price. Upon any such sale of the shares, the proceeds, less any Tax-Related Items and broker’s fees or commissions, will be remitted to the Employee in accordance with any applicable exchange control laws and regulations.</w:t>
      </w:r>
    </w:p>
    <w:p>
      <w:pPr>
        <w:spacing w:after="0" w:line="18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(including paragraph 7 of the Agreement), if cash is delivered to the Employee, then the Company may deliver to the Employee, in cash through local payroll, an amount equal to the value of the shares of Common Stock on the Vesting Date less any Tax-Related Items.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COSTA RICA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CROATIA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Croatian residents may be required to report any foreign investments (including shares of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acquired under the Plan) to the Croatian National Bank for statistical purposes and obtain prior approval from the Croatian National Bank for bank accounts opened abroad. However, because exchange control regulations may change without notice, the Employee should consult his or her legal advisor to ensure compliance with current regulations. It is the Employee's responsibility to comply with Croatian exchange control laws.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CZECH REPUBLIC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7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color w:val="auto"/>
        </w:rPr>
        <w:t>Forced Sale of Shares</w:t>
      </w:r>
      <w:r>
        <w:rPr>
          <w:rFonts w:ascii="Times New Roman" w:cs="Times New Roman" w:eastAsia="Times New Roman" w:hAnsi="Times New Roman"/>
          <w:sz w:val="20"/>
          <w:szCs w:val="20"/>
          <w:color w:val="auto"/>
        </w:rPr>
        <w:t>. The Company reserves the right to force the immediate sale of the shares of Common Stock to be issued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vesting and settlement of the Deferred Stock Units. If applicable, the Employee agrees that the Company is authorized to instruct its designated broker, on behalf of the Employee, to assist with the mandatory sale of such shares of Common Stock and the Employee expressly authorizes the Company’s designated broker to complete the sale of such shares of Common Stock. The Employee expressly acknowledges that the Company’s designated broker is under no obligation to arrange for the sale of shares of Common Stock at any particular price. Upon the sale of shares of Common Stock, the Employee shall receive the cash proceeds from the sale of shares of Common Stock, less any brokerage fees or commissions and subject to any obligation to satisfy Tax-Related Items. The Employee also acknowledges that the Employee is unaware of any material non-public information with respect to the Company or any securities of the Company as of the date of the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Czech residents may be required to fulfill certain notification duties in relation to the Deferred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opening and maintenance of a foreign account, including reporting (i) foreign direct investments with a value equal to or exceeding a specified amount (currently, CZK 2,500,000) in the aggregate, (ii) foreign financial assets with a value equal to or exceeding a specified amount (currently, CZK 200,000,000), or (iii) at the request of the Czech National Bank. The Employee should consult their personal legal advisor to ensure compliance with the applicable requirements.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DENMARK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820"/>
        <w:spacing w:after="0" w:line="287" w:lineRule="auto"/>
        <w:rPr>
          <w:sz w:val="20"/>
          <w:szCs w:val="20"/>
          <w:color w:val="auto"/>
        </w:rPr>
      </w:pPr>
      <w:r>
        <w:rPr>
          <w:rFonts w:ascii="Times New Roman" w:cs="Times New Roman" w:eastAsia="Times New Roman" w:hAnsi="Times New Roman"/>
          <w:sz w:val="20"/>
          <w:szCs w:val="20"/>
          <w:b w:val="1"/>
          <w:bCs w:val="1"/>
          <w:color w:val="auto"/>
        </w:rPr>
        <w:t>Stock Option Act</w:t>
      </w:r>
      <w:r>
        <w:rPr>
          <w:rFonts w:ascii="Times New Roman" w:cs="Times New Roman" w:eastAsia="Times New Roman" w:hAnsi="Times New Roman"/>
          <w:sz w:val="20"/>
          <w:szCs w:val="20"/>
          <w:color w:val="auto"/>
        </w:rPr>
        <w:t>. The Employee acknowledges that he or she has received an Employer Statement in Danish, which sets forth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 terms of the Deferred Stock Units to the extent that the Danish Stock Option Act applies.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Employee is required to report any accounts holding shares of Common Stock or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established outside Denmark to the Danish Tax Administration as part of the Employee’s tax return under the section related to foreign affairs and income. The form which should be used in this respect can be obtained from a local bank.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27</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188" w:name="page189"/>
    <w:bookmarkEnd w:id="188"/>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ECUADOR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Individuals who are resident or domiciled in Ecuador are generally required to file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annual Net Worth Declaration with the Internal Revenue Service of Ecuador if the aggregate value of assets held by such individuals exceeds certain thresholds. Assets included in this annual declaration include shares of Common Stock acquired under the Plan. The Net Worth Declaration must be filed in May of the following year using the electronic form on the tax authorities’ website (www.sri.gob.ec). Penalties will apply to a late filing and it is not possible to seek an extension.</w:t>
      </w:r>
    </w:p>
    <w:p>
      <w:pPr>
        <w:spacing w:after="0" w:line="17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20"/>
          <w:szCs w:val="20"/>
          <w:color w:val="auto"/>
        </w:rPr>
        <w:t>In addition, Ecuadorian resident individuals are required to report on an annual basis, all monetary assets held in foreign financial entities in excess of a certain threshold (currently, US$100,000). The Employee should consult their legal or tax advisor to ensure compliance with all applicable reporting obligations.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EGYPT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Employee transfers funds into Egypt in connection with the Deferred Stock Units, the Employee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transfer the funds through a registered bank in Egypt.</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ESWATINI</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Deferred Stock Units Payable Only in Cash. </w:t>
      </w:r>
      <w:r>
        <w:rPr>
          <w:rFonts w:ascii="Times New Roman" w:cs="Times New Roman" w:eastAsia="Times New Roman" w:hAnsi="Times New Roman"/>
          <w:sz w:val="20"/>
          <w:szCs w:val="20"/>
          <w:color w:val="auto"/>
        </w:rPr>
        <w:t>Notwithstanding any discretion in the Plan or anything to the contrary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paragraph 7 of the Agreement), the grant of Deferred Stock Units does not provide any right for the Employee to receive shares of Common Stock upon the Vesting Date. At the discretion of the Company, Deferred Stock Units granted to Employees in Eswatini shall be paid in cash in an amount equal to the value of the shares of Common Stock on the Vesting Date.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FINLAND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There are no specific reporting requirements with respect to foreign assets/accounts.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However, please note that the Employee must check their pre-completed tax return to confirm that the ownership of shares of Common Stock and other securities (foreign or domestic) is correctly reported. If the Employee finds any errors or omissions, the Employee must make the necessary corrections electronically or by sending specific paper forms to the local tax authorities.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28</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40" w:right="379" w:bottom="1440" w:gutter="0" w:footer="0" w:header="0"/>
        </w:sectPr>
      </w:pPr>
    </w:p>
    <w:bookmarkStart w:id="189" w:name="page190"/>
    <w:bookmarkEnd w:id="189"/>
    <w:p>
      <w:pPr>
        <w:ind w:right="200"/>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Deferred Stock Units Not French-Qualified. </w:t>
      </w:r>
      <w:r>
        <w:rPr>
          <w:rFonts w:ascii="Times New Roman" w:cs="Times New Roman" w:eastAsia="Times New Roman" w:hAnsi="Times New Roman"/>
          <w:sz w:val="20"/>
          <w:szCs w:val="20"/>
          <w:color w:val="auto"/>
        </w:rPr>
        <w:t>The Deferred Stock Units granted under this Agreement are not intended to qualify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specific tax and social security treatment pursuant to Sections L. 225-197-1 to L. 225-197-5 and Sections L. 22-10-59 to L. 22-10-60 of the French Commercial Code, as amended.</w:t>
      </w:r>
    </w:p>
    <w:p>
      <w:pPr>
        <w:spacing w:after="0" w:line="1"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0"/>
          <w:szCs w:val="20"/>
          <w:b w:val="1"/>
          <w:bCs w:val="1"/>
          <w:color w:val="auto"/>
        </w:rPr>
        <w:t>Consent to Receive Information in English</w:t>
      </w:r>
      <w:r>
        <w:rPr>
          <w:rFonts w:ascii="Times New Roman" w:cs="Times New Roman" w:eastAsia="Times New Roman" w:hAnsi="Times New Roman"/>
          <w:sz w:val="20"/>
          <w:szCs w:val="20"/>
          <w:color w:val="auto"/>
        </w:rPr>
        <w:t>. By accepting the Grant, the Employee confirms having read and understood the Plan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including all terms and conditions included therein, which were provided in the English language. The Employee accepts the terms of those documents accordingly.</w:t>
      </w:r>
    </w:p>
    <w:p>
      <w:pPr>
        <w:spacing w:after="0" w:line="176" w:lineRule="exact"/>
        <w:rPr>
          <w:sz w:val="20"/>
          <w:szCs w:val="20"/>
          <w:color w:val="auto"/>
        </w:rPr>
      </w:pPr>
    </w:p>
    <w:p>
      <w:pPr>
        <w:ind w:right="680"/>
        <w:spacing w:after="0" w:line="300" w:lineRule="auto"/>
        <w:rPr>
          <w:sz w:val="20"/>
          <w:szCs w:val="20"/>
          <w:color w:val="auto"/>
        </w:rPr>
      </w:pPr>
      <w:r>
        <w:rPr>
          <w:rFonts w:ascii="Times New Roman" w:cs="Times New Roman" w:eastAsia="Times New Roman" w:hAnsi="Times New Roman"/>
          <w:sz w:val="19"/>
          <w:szCs w:val="19"/>
          <w:i w:val="1"/>
          <w:iCs w:val="1"/>
          <w:color w:val="auto"/>
        </w:rPr>
        <w:t>En acceptant cette attribution, le Employé confirme avoir lu et compris le Plan et le Contrat y relatifs, incluant tous leurs termes et conditions, qui ont été transmis en langue anglaise. Le Employé accepte les dispositions de ces documents en connaissance de cause</w:t>
      </w:r>
      <w:r>
        <w:rPr>
          <w:rFonts w:ascii="Times New Roman" w:cs="Times New Roman" w:eastAsia="Times New Roman" w:hAnsi="Times New Roman"/>
          <w:sz w:val="19"/>
          <w:szCs w:val="19"/>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value of any cash or securities imported to or exported from France without the use of a financial institution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must be reported to the customs and excise authorities when the value of such cash or securities is equal to or greater than a certain amount (currently €10,000).</w:t>
      </w:r>
    </w:p>
    <w:p>
      <w:pPr>
        <w:spacing w:after="0" w:line="162"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If the Employee holds shares of Common Stock outside of France or maintains a foreign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securities, or brokerage account, whether open, current, or closed during the tax year, the Employee is required to report such to the French tax authorities when filing their annual tax return.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GEORGIA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Language Consent</w:t>
      </w:r>
      <w:r>
        <w:rPr>
          <w:rFonts w:ascii="Times New Roman" w:cs="Times New Roman" w:eastAsia="Times New Roman" w:hAnsi="Times New Roman"/>
          <w:sz w:val="20"/>
          <w:szCs w:val="20"/>
          <w:color w:val="auto"/>
        </w:rPr>
        <w:t>. By accepting the Grant, the Employee acknowledges that he or she is proficient in reading and understanding English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fully understands the terms of the documents related to the grant (the Agreement and the Plan), which were provided in the English language. The Employee accepts the terms of those documents accordingly.</w:t>
      </w:r>
    </w:p>
    <w:p>
      <w:pPr>
        <w:spacing w:after="0" w:line="132" w:lineRule="exact"/>
        <w:rPr>
          <w:sz w:val="20"/>
          <w:szCs w:val="20"/>
          <w:color w:val="auto"/>
        </w:rPr>
      </w:pPr>
    </w:p>
    <w:p>
      <w:pPr>
        <w:spacing w:after="0" w:line="295" w:lineRule="exact"/>
        <w:tabs>
          <w:tab w:leader="none" w:pos="3640" w:val="left"/>
        </w:tabs>
        <w:rPr>
          <w:sz w:val="20"/>
          <w:szCs w:val="20"/>
          <w:color w:val="auto"/>
        </w:rPr>
      </w:pPr>
      <w:r>
        <w:rPr>
          <w:rFonts w:ascii="Arial Unicode MS" w:cs="Arial Unicode MS" w:eastAsia="Arial Unicode MS" w:hAnsi="Arial Unicode MS"/>
          <w:sz w:val="22"/>
          <w:szCs w:val="22"/>
          <w:i w:val="1"/>
          <w:iCs w:val="1"/>
          <w:color w:val="auto"/>
          <w:highlight w:val="black"/>
        </w:rPr>
        <w:t>თანხმობა ენასთან დაკავშირებით</w:t>
      </w:r>
      <w:r>
        <w:rPr>
          <w:rFonts w:ascii="Times New Roman" w:cs="Times New Roman" w:eastAsia="Times New Roman" w:hAnsi="Times New Roman"/>
          <w:sz w:val="22"/>
          <w:szCs w:val="22"/>
          <w:i w:val="1"/>
          <w:iCs w:val="1"/>
          <w:color w:val="auto"/>
          <w:highlight w:val="black"/>
        </w:rPr>
        <w:t>.</w:t>
      </w:r>
      <w:r>
        <w:rPr>
          <w:sz w:val="20"/>
          <w:szCs w:val="20"/>
          <w:color w:val="auto"/>
        </w:rPr>
        <w:tab/>
      </w:r>
      <w:r>
        <w:rPr>
          <w:rFonts w:ascii="Arial Unicode MS" w:cs="Arial Unicode MS" w:eastAsia="Arial Unicode MS" w:hAnsi="Arial Unicode MS"/>
          <w:sz w:val="21"/>
          <w:szCs w:val="21"/>
          <w:i w:val="1"/>
          <w:iCs w:val="1"/>
          <w:color w:val="auto"/>
        </w:rPr>
        <w:t>გრანტის მიღებით</w:t>
      </w:r>
      <w:r>
        <w:rPr>
          <w:rFonts w:ascii="Arial" w:cs="Arial" w:eastAsia="Arial" w:hAnsi="Arial"/>
          <w:sz w:val="21"/>
          <w:szCs w:val="21"/>
          <w:i w:val="1"/>
          <w:iCs w:val="1"/>
          <w:color w:val="auto"/>
        </w:rPr>
        <w:t>,</w:t>
      </w:r>
      <w:r>
        <w:rPr>
          <w:rFonts w:ascii="Arial Unicode MS" w:cs="Arial Unicode MS" w:eastAsia="Arial Unicode MS" w:hAnsi="Arial Unicode MS"/>
          <w:sz w:val="21"/>
          <w:szCs w:val="21"/>
          <w:i w:val="1"/>
          <w:iCs w:val="1"/>
          <w:color w:val="auto"/>
        </w:rPr>
        <w:t xml:space="preserve"> თანამშრომელი ადასტურებს</w:t>
      </w:r>
      <w:r>
        <w:rPr>
          <w:rFonts w:ascii="Arial" w:cs="Arial" w:eastAsia="Arial" w:hAnsi="Arial"/>
          <w:sz w:val="21"/>
          <w:szCs w:val="21"/>
          <w:i w:val="1"/>
          <w:iCs w:val="1"/>
          <w:color w:val="auto"/>
        </w:rPr>
        <w:t>,</w:t>
      </w:r>
      <w:r>
        <w:rPr>
          <w:rFonts w:ascii="Arial Unicode MS" w:cs="Arial Unicode MS" w:eastAsia="Arial Unicode MS" w:hAnsi="Arial Unicode MS"/>
          <w:sz w:val="21"/>
          <w:szCs w:val="21"/>
          <w:i w:val="1"/>
          <w:iCs w:val="1"/>
          <w:color w:val="auto"/>
        </w:rPr>
        <w:t xml:space="preserve"> რომ ფლობს ინგლისური</w:t>
      </w:r>
    </w:p>
    <w:p>
      <w:pPr>
        <w:spacing w:after="0" w:line="229" w:lineRule="exact"/>
        <w:rPr>
          <w:sz w:val="20"/>
          <w:szCs w:val="20"/>
          <w:color w:val="auto"/>
        </w:rPr>
      </w:pPr>
      <w:r>
        <w:rPr>
          <w:rFonts w:ascii="Arial Unicode MS" w:cs="Arial Unicode MS" w:eastAsia="Arial Unicode MS" w:hAnsi="Arial Unicode MS"/>
          <w:sz w:val="22"/>
          <w:szCs w:val="22"/>
          <w:i w:val="1"/>
          <w:iCs w:val="1"/>
          <w:color w:val="auto"/>
        </w:rPr>
        <w:t>ენის კითხვასა და გაგებას და სრულად ესმის გრანტთან დაკავშირებული დოკუმენტების პირობები</w:t>
      </w:r>
    </w:p>
    <w:p>
      <w:pPr>
        <w:spacing w:after="0" w:line="244" w:lineRule="exact"/>
        <w:rPr>
          <w:sz w:val="20"/>
          <w:szCs w:val="20"/>
          <w:color w:val="auto"/>
        </w:rPr>
      </w:pPr>
      <w:r>
        <w:rPr>
          <w:rFonts w:ascii="Arial" w:cs="Arial" w:eastAsia="Arial" w:hAnsi="Arial"/>
          <w:sz w:val="22"/>
          <w:szCs w:val="22"/>
          <w:i w:val="1"/>
          <w:iCs w:val="1"/>
          <w:color w:val="auto"/>
        </w:rPr>
        <w:t>(</w:t>
      </w:r>
      <w:r>
        <w:rPr>
          <w:rFonts w:ascii="Arial Unicode MS" w:cs="Arial Unicode MS" w:eastAsia="Arial Unicode MS" w:hAnsi="Arial Unicode MS"/>
          <w:sz w:val="22"/>
          <w:szCs w:val="22"/>
          <w:i w:val="1"/>
          <w:iCs w:val="1"/>
          <w:color w:val="auto"/>
        </w:rPr>
        <w:t>ხელშეკრულება და გეგმა</w:t>
      </w:r>
      <w:r>
        <w:rPr>
          <w:rFonts w:ascii="Arial" w:cs="Arial" w:eastAsia="Arial" w:hAnsi="Arial"/>
          <w:sz w:val="22"/>
          <w:szCs w:val="22"/>
          <w:i w:val="1"/>
          <w:iCs w:val="1"/>
          <w:color w:val="auto"/>
        </w:rPr>
        <w:t xml:space="preserve">), </w:t>
      </w:r>
      <w:r>
        <w:rPr>
          <w:rFonts w:ascii="Arial Unicode MS" w:cs="Arial Unicode MS" w:eastAsia="Arial Unicode MS" w:hAnsi="Arial Unicode MS"/>
          <w:sz w:val="22"/>
          <w:szCs w:val="22"/>
          <w:i w:val="1"/>
          <w:iCs w:val="1"/>
          <w:color w:val="auto"/>
        </w:rPr>
        <w:t>რომლებიც მოწოდებული იყო ინგლისურ ენაზე</w:t>
      </w:r>
      <w:r>
        <w:rPr>
          <w:rFonts w:ascii="Arial" w:cs="Arial" w:eastAsia="Arial" w:hAnsi="Arial"/>
          <w:sz w:val="22"/>
          <w:szCs w:val="22"/>
          <w:i w:val="1"/>
          <w:iCs w:val="1"/>
          <w:color w:val="auto"/>
        </w:rPr>
        <w:t xml:space="preserve">. </w:t>
      </w:r>
      <w:r>
        <w:rPr>
          <w:rFonts w:ascii="Arial Unicode MS" w:cs="Arial Unicode MS" w:eastAsia="Arial Unicode MS" w:hAnsi="Arial Unicode MS"/>
          <w:sz w:val="22"/>
          <w:szCs w:val="22"/>
          <w:i w:val="1"/>
          <w:iCs w:val="1"/>
          <w:color w:val="auto"/>
        </w:rPr>
        <w:t>თანამშრომელი შესაბამისად</w:t>
      </w:r>
    </w:p>
    <w:p>
      <w:pPr>
        <w:spacing w:after="0" w:line="1" w:lineRule="exact"/>
        <w:rPr>
          <w:sz w:val="20"/>
          <w:szCs w:val="20"/>
          <w:color w:val="auto"/>
        </w:rPr>
      </w:pPr>
    </w:p>
    <w:p>
      <w:pPr>
        <w:spacing w:after="0" w:line="295" w:lineRule="exact"/>
        <w:rPr>
          <w:sz w:val="20"/>
          <w:szCs w:val="20"/>
          <w:color w:val="auto"/>
        </w:rPr>
      </w:pPr>
      <w:r>
        <w:rPr>
          <w:rFonts w:ascii="Arial Unicode MS" w:cs="Arial Unicode MS" w:eastAsia="Arial Unicode MS" w:hAnsi="Arial Unicode MS"/>
          <w:sz w:val="22"/>
          <w:szCs w:val="22"/>
          <w:i w:val="1"/>
          <w:iCs w:val="1"/>
          <w:color w:val="auto"/>
        </w:rPr>
        <w:t>იღებს ამ დოკუმენტების პირობებს</w:t>
      </w:r>
      <w:r>
        <w:rPr>
          <w:rFonts w:ascii="Arial" w:cs="Arial" w:eastAsia="Arial" w:hAnsi="Arial"/>
          <w:sz w:val="22"/>
          <w:szCs w:val="22"/>
          <w:i w:val="1"/>
          <w:iCs w:val="1"/>
          <w:color w:val="auto"/>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Cross-border payments in connection with the purchase or sale of securities in excess of a certain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(currently, €50,000) must be reported monthly to the German Federal Bank </w:t>
      </w:r>
      <w:r>
        <w:rPr>
          <w:rFonts w:ascii="Times New Roman" w:cs="Times New Roman" w:eastAsia="Times New Roman" w:hAnsi="Times New Roman"/>
          <w:sz w:val="20"/>
          <w:szCs w:val="20"/>
          <w:i w:val="1"/>
          <w:iCs w:val="1"/>
          <w:color w:val="auto"/>
        </w:rPr>
        <w:t>(Bundesbank)</w:t>
      </w:r>
      <w:r>
        <w:rPr>
          <w:rFonts w:ascii="Times New Roman" w:cs="Times New Roman" w:eastAsia="Times New Roman" w:hAnsi="Times New Roman"/>
          <w:sz w:val="20"/>
          <w:szCs w:val="20"/>
          <w:color w:val="auto"/>
        </w:rPr>
        <w:t>. If the Employee receives a payment in excess of this amount (including if the Employee acquires shares of Common Stock or receives dividends with a value in excess of this amount under the Plan or sells shares of Common Stock via a foreign broker, bank or service provider and receive proceeds in excess of this amount) and/or if the Company withholds or sells shares of Common Stock with a value in excess of this amount to cover Tax-Related Items, the Employee must report the payment and/or the value of the shares of Common Stock withheld or sold to the Bundesbank. Such reports must be filed either electronically using the “General Statistics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190" w:name="page191"/>
    <w:bookmarkEnd w:id="190"/>
    <w:p>
      <w:pPr>
        <w:jc w:val="both"/>
        <w:ind w:right="420"/>
        <w:spacing w:after="0" w:line="261" w:lineRule="auto"/>
        <w:rPr>
          <w:sz w:val="20"/>
          <w:szCs w:val="20"/>
          <w:color w:val="auto"/>
        </w:rPr>
      </w:pPr>
      <w:r>
        <w:rPr>
          <w:rFonts w:ascii="Times New Roman" w:cs="Times New Roman" w:eastAsia="Times New Roman" w:hAnsi="Times New Roman"/>
          <w:sz w:val="20"/>
          <w:szCs w:val="20"/>
          <w:color w:val="auto"/>
        </w:rPr>
        <w:t>Portal” (Allgemeine Meldeportal Statistik) available via the Bundesbank’s website (www.bundesbank.de) or by such other method as is permitted or required by the Bundesbank. The report must be submitted monthly or within such timing as is permitted or required by the Bundesbank.</w:t>
      </w:r>
    </w:p>
    <w:p>
      <w:pPr>
        <w:spacing w:after="0" w:line="16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German residents holding Common Stock must notify their local tax office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acquisition of Common Stock under the Plan leads to a so-called qualified participation at any point during the calendar year. A qualified participation is attained only in the unlikely event (i) the Employee owns at least 1% of the Company and the value of the Common Stock acquired exceeds a certain amount (currently, €150,000), or (ii) the Employee holds Common Stock exceeding 10% of the total capital of the Company.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GREECE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HUNGARY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Deferred Stock Units Payable in Cash. </w:t>
      </w:r>
      <w:r>
        <w:rPr>
          <w:rFonts w:ascii="Times New Roman" w:cs="Times New Roman" w:eastAsia="Times New Roman" w:hAnsi="Times New Roman"/>
          <w:sz w:val="20"/>
          <w:szCs w:val="20"/>
          <w:color w:val="auto"/>
        </w:rPr>
        <w:t>Notwithstanding any discretion in the Plan or anything to the contrary in the Agreement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paragraph 7 of the Agreement), unless otherwise determined by the Company, the grant of Deferred Stock Units does not provide any right for the Employee to receive shares of Common Stock upon the Vesting Date. Unless otherwise determined by the Company, Deferred Stock Units granted to Employees in Hungary shall be paid in cash in an amount equal to the value of the shares of Common Stock on the Vesting Date less any Tax-Related Items, if applicable.</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INDIA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Payment after Vesting. </w:t>
      </w:r>
      <w:r>
        <w:rPr>
          <w:rFonts w:ascii="Times New Roman" w:cs="Times New Roman" w:eastAsia="Times New Roman" w:hAnsi="Times New Roman"/>
          <w:sz w:val="20"/>
          <w:szCs w:val="20"/>
          <w:color w:val="auto"/>
        </w:rPr>
        <w:t>The following provision supplements paragraph 7 of the Agreement:</w:t>
      </w:r>
    </w:p>
    <w:p>
      <w:pPr>
        <w:spacing w:after="0" w:line="2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Due to regulatory requirements in India, the Company reserves the right to require that the Employee sell all shares of Common Stock delivered to the Employee, either immediately upon receipt of such shares or upon the Employee’s termination of employment from the Mondelēz Group. In this regard, the Employee agrees that the Company is authorized to instruct its designated broker to assist with any such mandatory sale of shares of Common Stock (on the Employee’s behalf pursuant to this authorization), and the Employee expressly authorizes the designated broker to complete the sale of such shares. The Employee also agrees to sign any agreements, forms and/or consents that may be reasonably requested by the Company (or the designated broker) to effectuate the sale of the shares of Common Stock and shall otherwise cooperate with the Company with respect to such matters, provided that the Employee shall not be permitted to exercise any influence over how, when or whether the sales occur. The Employee acknowledges that the designated broker is under no obligation to arrange for the sale of the shares of Common Stock at any particular price. Due to fluctuations in the shares of Common Stock price and/or applicable exchange rates between the date the shares of Common Stock are delivered to the Employee and (if later) the date on which the shares of Common Stock are sold, the amount of proceeds ultimately distributed to the v may be more or less than the market value of the shares of Common Stock on the relevant vesting date or the date on which such shares are delivered to the Employee. Upon the sale of the shares of Common Stock, the cash proceeds from the sale of shares (less any applicable Tax-Related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13" w:right="359" w:bottom="1440" w:gutter="0" w:footer="0" w:header="0"/>
        </w:sectPr>
      </w:pPr>
    </w:p>
    <w:bookmarkStart w:id="191" w:name="page192"/>
    <w:bookmarkEnd w:id="191"/>
    <w:p>
      <w:pPr>
        <w:ind w:right="540"/>
        <w:spacing w:after="0" w:line="269" w:lineRule="auto"/>
        <w:rPr>
          <w:sz w:val="20"/>
          <w:szCs w:val="20"/>
          <w:color w:val="auto"/>
        </w:rPr>
      </w:pPr>
      <w:r>
        <w:rPr>
          <w:rFonts w:ascii="Times New Roman" w:cs="Times New Roman" w:eastAsia="Times New Roman" w:hAnsi="Times New Roman"/>
          <w:sz w:val="20"/>
          <w:szCs w:val="20"/>
          <w:color w:val="auto"/>
        </w:rPr>
        <w:t>Items) will be delivered to the Employee in accordance with applicable laws and regulations, as determined by the Company in its sole discretion.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Indian residents are required to repatriate any funds recognized in connection with the Deferred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any cash proceeds received upon the sale of shares of Common Stock) and convert such funds into local currency within specified timeframes as required under applicable regulations. Indian residents also are required to retain the foreign inward remittance certificate as evidence of repatriation. The Employee is personally responsible for complying with exchange control laws in India, and neither the Company nor the Employer will be liable for any fines or penalties resulting from the Employee’s failure to comply with applicable laws. The Employee may also be required to provide information regarding funds received from participation in the Plan to the Company and/or the Employer to enable them to comply with their filing requirements under exchange control laws in India.</w:t>
      </w:r>
    </w:p>
    <w:p>
      <w:pPr>
        <w:spacing w:after="0" w:line="20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0"/>
          <w:szCs w:val="20"/>
          <w:i w:val="1"/>
          <w:iCs w:val="1"/>
          <w:color w:val="auto"/>
        </w:rPr>
        <w:t>As exchange control regulations can change frequently and without notice, the Employee should consult their personal tax or legal advisor before selling shares of Common Stock to ensure compliance with current regulations.</w:t>
      </w:r>
    </w:p>
    <w:p>
      <w:pPr>
        <w:spacing w:after="0" w:line="13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Employee is required to declare foreign bank accounts and any foreign financial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shares of Common Stock held outside India) in their annual tax return. It is the Employee’s responsibility to comply with this reporting obligation and the Employee should consult with their personal tax advisor in this regard.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INDONESIA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9"/>
          <w:szCs w:val="19"/>
          <w:b w:val="1"/>
          <w:bCs w:val="1"/>
          <w:color w:val="auto"/>
        </w:rPr>
        <w:t>Language Consent and Notification</w:t>
      </w:r>
      <w:r>
        <w:rPr>
          <w:rFonts w:ascii="Times New Roman" w:cs="Times New Roman" w:eastAsia="Times New Roman" w:hAnsi="Times New Roman"/>
          <w:sz w:val="19"/>
          <w:szCs w:val="19"/>
          <w:color w:val="auto"/>
        </w:rPr>
        <w:t>. A translation of the documents relating to this Grant into Bahasa Indonesia can be provided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 upon request to Astrid Januarita, My Rewards Advisor ID, at astrid.januarita@mdlz.com. By accepting the Grant, the Employee</w:t>
      </w:r>
    </w:p>
    <w:p>
      <w:pPr>
        <w:spacing w:after="0" w:line="1" w:lineRule="exact"/>
        <w:rPr>
          <w:sz w:val="20"/>
          <w:szCs w:val="20"/>
          <w:color w:val="auto"/>
        </w:rPr>
      </w:pPr>
    </w:p>
    <w:p>
      <w:pPr>
        <w:ind w:right="80" w:firstLine="8"/>
        <w:spacing w:after="0" w:line="246" w:lineRule="auto"/>
        <w:tabs>
          <w:tab w:leader="none" w:pos="23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confirms having read and understood the documents relating to this Grant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92"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Language Consent and Notification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Terjemahan dari dokumen-dokumen terkait dengan pemberian ini ke Bahasa Indonesia dapat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disediakan untuk anda berdasarkan permintaan kepada Astrid Januarita, My Rewards Advisor ID, di astrid.januarita@mdlz.com.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13" w:right="3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Foreign exchange activity is subject to certain reporting requirements. For foreign currency transactions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exceeding US$25,000, the underlying document of that transaction will have to be submitted to the relevant local bank.</w:t>
      </w:r>
    </w:p>
    <w:p>
      <w:pPr>
        <w:spacing w:after="0" w:line="14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In addition, if the Employee remits funds into Indonesia, the Indonesian bank through which the transaction is made will submit a report on the transaction to the Bank of Indonesia for statistical reporting purposes. For transactions of a certain threshold (currently, US$10,000) or more, a description of the transaction must be included in the report. Although the bank through which the transaction is made is required to make the report, the Employee must complete a “Transfer Report Form.” The Transfer Report Form will be provided to the Employee by the bank through which the transaction is made.</w:t>
      </w:r>
    </w:p>
    <w:p>
      <w:pPr>
        <w:spacing w:after="0" w:line="189"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Indonesian residents have the obligation to report worldwide assets (including foreign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accounts and shares of Common Stock acquired under the Plan) in their annual individual income tax return.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Requirement. </w:t>
      </w:r>
      <w:r>
        <w:rPr>
          <w:rFonts w:ascii="Times New Roman" w:cs="Times New Roman" w:eastAsia="Times New Roman" w:hAnsi="Times New Roman"/>
          <w:sz w:val="20"/>
          <w:szCs w:val="20"/>
          <w:color w:val="auto"/>
        </w:rPr>
        <w:t>If the Employee is a director, shadow director or secretary of an Irish subsidiary or affiliate,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must notify the Irish subsidiary or affiliate in writing if (1) the Employee receives or disposes of an interest exceeding 1% of the Company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Deferred Stock Units, shares of Common Stock, etc.), (2) the Employee becomes aware of an event giving rise to a notification requirement, or (3) the Employee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Plan Document Acknowledgment. </w:t>
      </w:r>
      <w:r>
        <w:rPr>
          <w:rFonts w:ascii="Times New Roman" w:cs="Times New Roman" w:eastAsia="Times New Roman" w:hAnsi="Times New Roman"/>
          <w:sz w:val="20"/>
          <w:szCs w:val="20"/>
          <w:color w:val="auto"/>
        </w:rPr>
        <w:t>In accepting the grant of Deferred Stock Units, the Employee acknowledges that he or she has received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copy of the Plan and the Agreement and has reviewed the Plan and the Agreement, including this Appendix A, in their entirety and fully understands and accepts all provisions of the Plan and the Agreement, including this Appendix A.</w:t>
      </w:r>
    </w:p>
    <w:p>
      <w:pPr>
        <w:spacing w:after="0" w:line="18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Employee further acknowledges that he or she has read and specifically and expressly approves the following paragraphs of the Global Deferred Stock Unit Agreement: paragraph 1 on Restrictions; paragraph 2 on Termination of Employment Before Vesting Date; paragraph 4 on Transfer Restrictions; paragraph 5 on Withholding Taxes; paragraph 6 on Death of Employee; paragraph 7 on Payment of Deferred Stock Units; paragraph 12 on Grant Confers No Rights to Continued Employment; paragraph 13 on the Nature of the Grant; paragraph 16 on Electronic Delivery and Acceptance; paragraph 17 on Language; paragraph 20 on Entire Agreement; Governing Law; paragraph 21 on Miscellaneous; paragraph 22 on Compliance With Law; paragraph 25 on Imposition of Other Requirements; paragraph 26 on Insider Trading/Market Abuse Laws; paragraph 29 on Waiver and the Data Privacy Notice in the European Union / European Economic Area section of this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Italian residents who, during the fiscal year, hold investments abroad or foreign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cash, shares of Common Stock, Deferred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cash, shares of Common Stock, Deferred Stock Units), are beneficial owners of the investment pursuant to Italian money laundering provisions.</w:t>
      </w:r>
    </w:p>
    <w:p>
      <w:pPr>
        <w:spacing w:after="0" w:line="17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Foreign Financial Assets Tax. </w:t>
      </w:r>
      <w:r>
        <w:rPr>
          <w:rFonts w:ascii="Times New Roman" w:cs="Times New Roman" w:eastAsia="Times New Roman" w:hAnsi="Times New Roman"/>
          <w:sz w:val="20"/>
          <w:szCs w:val="20"/>
          <w:color w:val="auto"/>
        </w:rPr>
        <w:t>The fair market value of any shares of Common Stock (and other financial assets) held outside Italy is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 foreign assets tax. The fair market value is considered to be the value of the shares of Common Stock on the Nasdaq Global Select Market on December 31 of each year or on the last day the Employee held the shares (in such case, or when the shares of Common Stock are acquired during the course of the year, the tax is levied in proportion to the actual days of holding over the calendar year). The Employee should consult with their personal tax advisor about the foreign financial assets tax.</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JAPAN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Employee acquires shares of Common Stock valued at more than a certain threshold (currently,</w:t>
      </w:r>
    </w:p>
    <w:p>
      <w:pPr>
        <w:spacing w:after="0" w:line="3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¥100,000,000) in a single transaction, the Employee must file a Securities Acquisition Report with the Ministry of Finance through the Bank of Japan within 20 days of the purchase of the shares of Common Stock.</w:t>
      </w:r>
    </w:p>
    <w:p>
      <w:pPr>
        <w:spacing w:after="0" w:line="17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The Employee will be required to report details of any assets held outside Japan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31st (including any shares of Common Stock acquired under the Plan) to the extent such assets have a total net fair market value exceeding a certain threshold (currently, ¥50,000,000). Such report will be due by March 15th each year. The Employee should consult with their personal tax advisor as to whether the reporting obligation applies to the Employee and whether the Employee will be required to include details of any outstanding Deferred Stock Units, shares of Common Stock or cash held by the Employee in the report.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KAZAKHSTAN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ind w:right="300"/>
        <w:spacing w:after="0" w:line="276" w:lineRule="auto"/>
        <w:rPr>
          <w:sz w:val="20"/>
          <w:szCs w:val="20"/>
          <w:color w:val="auto"/>
        </w:rPr>
      </w:pPr>
      <w:r>
        <w:rPr>
          <w:rFonts w:ascii="Times New Roman" w:cs="Times New Roman" w:eastAsia="Times New Roman" w:hAnsi="Times New Roman"/>
          <w:sz w:val="19"/>
          <w:szCs w:val="19"/>
          <w:b w:val="1"/>
          <w:bCs w:val="1"/>
          <w:color w:val="auto"/>
        </w:rPr>
        <w:t>Securities Law Notification</w:t>
      </w:r>
      <w:r>
        <w:rPr>
          <w:rFonts w:ascii="Times New Roman" w:cs="Times New Roman" w:eastAsia="Times New Roman" w:hAnsi="Times New Roman"/>
          <w:sz w:val="19"/>
          <w:szCs w:val="19"/>
          <w:color w:val="auto"/>
        </w:rPr>
        <w:t>. This offer is addressed only to certain eligible employees in the form of the shares of Common Stock to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issued by the Company. Neither the Plan nor the Agreement has been approved, nor do they need to be approved, by the National Bank of Kazakhstan. This offer is intended only for the original recipient and is not for general circulation in the Republic of Kazakhstan.</w:t>
      </w:r>
    </w:p>
    <w:p>
      <w:pPr>
        <w:spacing w:after="0" w:line="191"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9"/>
          <w:szCs w:val="19"/>
          <w:b w:val="1"/>
          <w:bCs w:val="1"/>
          <w:color w:val="auto"/>
        </w:rPr>
        <w:t>Exchange Control Information</w:t>
      </w:r>
      <w:r>
        <w:rPr>
          <w:rFonts w:ascii="Times New Roman" w:cs="Times New Roman" w:eastAsia="Times New Roman" w:hAnsi="Times New Roman"/>
          <w:sz w:val="19"/>
          <w:szCs w:val="19"/>
          <w:color w:val="auto"/>
        </w:rPr>
        <w:t>. Residents of Kazakhstan may be required to notify the National Bank of Kazakhstan when they acquire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Common Stock under the Plan if the value of such shares of Common Stock exceeds a certain threshold (currently, US$100,000).</w:t>
      </w:r>
    </w:p>
    <w:p>
      <w:pPr>
        <w:spacing w:after="0" w:line="160"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Please note that the exchange control regulations in Kazakhstan are subject to change. The Employee should consult with their personal legal advisor regarding any exchange control obligations that the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194" w:name="page195"/>
    <w:bookmarkEnd w:id="194"/>
    <w:p>
      <w:pPr>
        <w:spacing w:after="0" w:line="92"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Employee may have prior to vesting in the Deferred Stock Units or receiving proceeds from the sale of shares of Common Stock acquired under the Plan. The Employee is responsible for ensuring compliance with all exchange control laws in Kazakhstan.</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KENYA</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Tax Registration Notification. </w:t>
      </w:r>
      <w:r>
        <w:rPr>
          <w:rFonts w:ascii="Times New Roman" w:cs="Times New Roman" w:eastAsia="Times New Roman" w:hAnsi="Times New Roman"/>
          <w:sz w:val="20"/>
          <w:szCs w:val="20"/>
          <w:color w:val="auto"/>
        </w:rPr>
        <w:t>Under Tax Procedure Act, 2015, the Employee is required to complete and submit a tax registration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application to the Commissioner of Income Tax with 30 days of first vesting of the Deferred Stock Units. The registration should be completed through the online portal “I TAX” and is a one-time only registration. The Employee is solely responsible for ensuring compliance with all registration requirements in Kenya.</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LITHUANIA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MALAYSIA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Notice</w:t>
      </w:r>
      <w:r>
        <w:rPr>
          <w:rFonts w:ascii="Times New Roman" w:cs="Times New Roman" w:eastAsia="Times New Roman" w:hAnsi="Times New Roman"/>
          <w:sz w:val="20"/>
          <w:szCs w:val="20"/>
          <w:color w:val="auto"/>
        </w:rPr>
        <w:t>. The following provision replaces in its entirety paragraph 14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40575" cy="1714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3">
                      <a:extLst>
                        <a:ext uri="{28A0092B-C50C-407E-A947-70E740481C1C}"/>
                      </a:extLst>
                    </a:blip>
                    <a:srcRect/>
                    <a:stretch>
                      <a:fillRect/>
                    </a:stretch>
                  </pic:blipFill>
                  <pic:spPr bwMode="auto">
                    <a:xfrm>
                      <a:off x="0" y="0"/>
                      <a:ext cx="7140575" cy="17145"/>
                    </a:xfrm>
                    <a:prstGeom prst="rect">
                      <a:avLst/>
                    </a:prstGeom>
                    <a:noFill/>
                  </pic:spPr>
                </pic:pic>
              </a:graphicData>
            </a:graphic>
          </wp:anchor>
        </w:drawing>
      </w: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55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Employee explicitly and unambiguously consents to the</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Pekerja dengan ini secara eksplisit dan tanpa sebarang keraguan</w:t>
            </w:r>
          </w:p>
        </w:tc>
        <w:tc>
          <w:tcPr>
            <w:tcW w:w="0" w:type="dxa"/>
            <w:vAlign w:val="bottom"/>
          </w:tcPr>
          <w:p>
            <w:pPr>
              <w:spacing w:after="0"/>
              <w:rPr>
                <w:sz w:val="1"/>
                <w:szCs w:val="1"/>
                <w:color w:val="auto"/>
              </w:rPr>
            </w:pPr>
          </w:p>
        </w:tc>
      </w:tr>
      <w:tr>
        <w:trPr>
          <w:trHeight w:val="229"/>
        </w:trPr>
        <w:tc>
          <w:tcPr>
            <w:tcW w:w="55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collection, use and transfer, in electronic or other form, of the</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mengizinkan pengumpulan, penggunaan dan pemindahan, dalam</w:t>
            </w:r>
          </w:p>
        </w:tc>
        <w:tc>
          <w:tcPr>
            <w:tcW w:w="0" w:type="dxa"/>
            <w:vAlign w:val="bottom"/>
          </w:tcPr>
          <w:p>
            <w:pPr>
              <w:spacing w:after="0"/>
              <w:rPr>
                <w:sz w:val="1"/>
                <w:szCs w:val="1"/>
                <w:color w:val="auto"/>
              </w:rPr>
            </w:pPr>
          </w:p>
        </w:tc>
      </w:tr>
      <w:tr>
        <w:trPr>
          <w:trHeight w:val="243"/>
        </w:trPr>
        <w:tc>
          <w:tcPr>
            <w:tcW w:w="55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Employee’s personal data as described in this Agreement and any</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w w:val="99"/>
              </w:rPr>
              <w:t>bentuk elektronik atau lain-lain, data peribadi Pekerja seperti yang</w:t>
            </w:r>
          </w:p>
        </w:tc>
        <w:tc>
          <w:tcPr>
            <w:tcW w:w="0" w:type="dxa"/>
            <w:vAlign w:val="bottom"/>
          </w:tcPr>
          <w:p>
            <w:pPr>
              <w:spacing w:after="0"/>
              <w:rPr>
                <w:sz w:val="1"/>
                <w:szCs w:val="1"/>
                <w:color w:val="auto"/>
              </w:rPr>
            </w:pPr>
          </w:p>
        </w:tc>
      </w:tr>
      <w:tr>
        <w:trPr>
          <w:trHeight w:val="216"/>
        </w:trPr>
        <w:tc>
          <w:tcPr>
            <w:tcW w:w="552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w w:val="99"/>
              </w:rPr>
              <w:t>other Deferred Stock Unit grant materials (“Data”) by and among,</w:t>
            </w:r>
          </w:p>
        </w:tc>
        <w:tc>
          <w:tcPr>
            <w:tcW w:w="55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b w:val="1"/>
                <w:bCs w:val="1"/>
                <w:i w:val="1"/>
                <w:iCs w:val="1"/>
                <w:color w:val="auto"/>
              </w:rPr>
              <w:t>diterangkan dalam Perjanjian ini serta mana-mana bahan-bahan</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58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geran Unit Saham Tertunda (“Data”) oleh dan di antara, seperti</w:t>
            </w:r>
          </w:p>
        </w:tc>
        <w:tc>
          <w:tcPr>
            <w:tcW w:w="0" w:type="dxa"/>
            <w:vAlign w:val="bottom"/>
          </w:tcPr>
          <w:p>
            <w:pPr>
              <w:spacing w:after="0" w:line="20" w:lineRule="exact"/>
              <w:rPr>
                <w:sz w:val="1"/>
                <w:szCs w:val="1"/>
                <w:color w:val="auto"/>
              </w:rPr>
            </w:pPr>
          </w:p>
        </w:tc>
      </w:tr>
      <w:tr>
        <w:trPr>
          <w:trHeight w:val="210"/>
        </w:trPr>
        <w:tc>
          <w:tcPr>
            <w:tcW w:w="552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rPr>
              <w:t>as applicable, the Employer and the Mondelēz Group for the</w:t>
            </w:r>
          </w:p>
        </w:tc>
        <w:tc>
          <w:tcPr>
            <w:tcW w:w="55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purpose of implementing, administering and managing</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mana yang terpakai, Majikan serta Kumpulan Mondelez untuk</w:t>
            </w:r>
          </w:p>
        </w:tc>
        <w:tc>
          <w:tcPr>
            <w:tcW w:w="0" w:type="dxa"/>
            <w:vAlign w:val="bottom"/>
          </w:tcPr>
          <w:p>
            <w:pPr>
              <w:spacing w:after="0"/>
              <w:rPr>
                <w:sz w:val="1"/>
                <w:szCs w:val="1"/>
                <w:color w:val="auto"/>
              </w:rPr>
            </w:pPr>
          </w:p>
        </w:tc>
      </w:tr>
      <w:tr>
        <w:trPr>
          <w:trHeight w:val="229"/>
        </w:trPr>
        <w:tc>
          <w:tcPr>
            <w:tcW w:w="55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Employee’s participation in the Plan. The Data is supplied by</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tujuan ekslusif bagi melaksanakan, mentadbir dan menguruskan</w:t>
            </w:r>
          </w:p>
        </w:tc>
        <w:tc>
          <w:tcPr>
            <w:tcW w:w="0" w:type="dxa"/>
            <w:vAlign w:val="bottom"/>
          </w:tcPr>
          <w:p>
            <w:pPr>
              <w:spacing w:after="0"/>
              <w:rPr>
                <w:sz w:val="1"/>
                <w:szCs w:val="1"/>
                <w:color w:val="auto"/>
              </w:rPr>
            </w:pPr>
          </w:p>
        </w:tc>
      </w:tr>
      <w:tr>
        <w:trPr>
          <w:trHeight w:val="243"/>
        </w:trPr>
        <w:tc>
          <w:tcPr>
            <w:tcW w:w="55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the Employer and also by the Employee through information</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w w:val="99"/>
              </w:rPr>
              <w:t>penyertaan Pekerja dalam Pelan. Data telah dibekalkan oleh pihak</w:t>
            </w:r>
          </w:p>
        </w:tc>
        <w:tc>
          <w:tcPr>
            <w:tcW w:w="0" w:type="dxa"/>
            <w:vAlign w:val="bottom"/>
          </w:tcPr>
          <w:p>
            <w:pPr>
              <w:spacing w:after="0"/>
              <w:rPr>
                <w:sz w:val="1"/>
                <w:szCs w:val="1"/>
                <w:color w:val="auto"/>
              </w:rPr>
            </w:pPr>
          </w:p>
        </w:tc>
      </w:tr>
      <w:tr>
        <w:trPr>
          <w:trHeight w:val="229"/>
        </w:trPr>
        <w:tc>
          <w:tcPr>
            <w:tcW w:w="55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collected in connection with the Agreement and the Plan.</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Majikan dan juga oleh Pekerja melalui informasi yang telah</w:t>
            </w:r>
          </w:p>
        </w:tc>
        <w:tc>
          <w:tcPr>
            <w:tcW w:w="0" w:type="dxa"/>
            <w:vAlign w:val="bottom"/>
          </w:tcPr>
          <w:p>
            <w:pPr>
              <w:spacing w:after="0"/>
              <w:rPr>
                <w:sz w:val="1"/>
                <w:szCs w:val="1"/>
                <w:color w:val="auto"/>
              </w:rPr>
            </w:pPr>
          </w:p>
        </w:tc>
      </w:tr>
      <w:tr>
        <w:trPr>
          <w:trHeight w:val="242"/>
        </w:trPr>
        <w:tc>
          <w:tcPr>
            <w:tcW w:w="3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dikumpul berkaitan dengan Perjanjian dan Pelan.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-1490345</wp:posOffset>
            </wp:positionV>
            <wp:extent cx="8255"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-1473200</wp:posOffset>
            </wp:positionV>
            <wp:extent cx="8255"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-1456055</wp:posOffset>
            </wp:positionV>
            <wp:extent cx="8255" cy="8890"/>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-1438910</wp:posOffset>
            </wp:positionV>
            <wp:extent cx="8255"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-1421765</wp:posOffset>
            </wp:positionV>
            <wp:extent cx="8255"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-1404620</wp:posOffset>
            </wp:positionV>
            <wp:extent cx="8255"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-1387475</wp:posOffset>
            </wp:positionV>
            <wp:extent cx="8255"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-1370330</wp:posOffset>
            </wp:positionV>
            <wp:extent cx="8255" cy="8890"/>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-1353185</wp:posOffset>
            </wp:positionV>
            <wp:extent cx="8255"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-1336040</wp:posOffset>
            </wp:positionV>
            <wp:extent cx="8255"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-1318895</wp:posOffset>
            </wp:positionV>
            <wp:extent cx="8255"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-1301750</wp:posOffset>
            </wp:positionV>
            <wp:extent cx="8255"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-1284605</wp:posOffset>
            </wp:positionV>
            <wp:extent cx="8255" cy="8890"/>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-1267460</wp:posOffset>
            </wp:positionV>
            <wp:extent cx="8255"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-1250315</wp:posOffset>
            </wp:positionV>
            <wp:extent cx="8255"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-1233170</wp:posOffset>
            </wp:positionV>
            <wp:extent cx="8255"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-1216025</wp:posOffset>
            </wp:positionV>
            <wp:extent cx="8255"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-1198880</wp:posOffset>
            </wp:positionV>
            <wp:extent cx="8255" cy="8890"/>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-1181735</wp:posOffset>
            </wp:positionV>
            <wp:extent cx="8255"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-1164590</wp:posOffset>
            </wp:positionV>
            <wp:extent cx="8255"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-1147445</wp:posOffset>
            </wp:positionV>
            <wp:extent cx="8255" cy="8890"/>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-1130300</wp:posOffset>
            </wp:positionV>
            <wp:extent cx="8255"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-1113155</wp:posOffset>
            </wp:positionV>
            <wp:extent cx="8255"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-1096010</wp:posOffset>
            </wp:positionV>
            <wp:extent cx="8255"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-1078865</wp:posOffset>
            </wp:positionV>
            <wp:extent cx="8255" cy="8890"/>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-1061720</wp:posOffset>
            </wp:positionV>
            <wp:extent cx="8255" cy="8890"/>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-1044575</wp:posOffset>
            </wp:positionV>
            <wp:extent cx="8255"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-1027430</wp:posOffset>
            </wp:positionV>
            <wp:extent cx="8255"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-1010285</wp:posOffset>
            </wp:positionV>
            <wp:extent cx="8255" cy="825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-993140</wp:posOffset>
            </wp:positionV>
            <wp:extent cx="8255" cy="8890"/>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-975995</wp:posOffset>
            </wp:positionV>
            <wp:extent cx="8255" cy="825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-958850</wp:posOffset>
            </wp:positionV>
            <wp:extent cx="8255" cy="825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-941705</wp:posOffset>
            </wp:positionV>
            <wp:extent cx="8255" cy="825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-924560</wp:posOffset>
            </wp:positionV>
            <wp:extent cx="8255" cy="8890"/>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-907415</wp:posOffset>
            </wp:positionV>
            <wp:extent cx="8255" cy="8890"/>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-890270</wp:posOffset>
            </wp:positionV>
            <wp:extent cx="8255"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-873125</wp:posOffset>
            </wp:positionV>
            <wp:extent cx="8255" cy="825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-855980</wp:posOffset>
            </wp:positionV>
            <wp:extent cx="8255" cy="825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-838835</wp:posOffset>
            </wp:positionV>
            <wp:extent cx="8255" cy="8890"/>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-821690</wp:posOffset>
            </wp:positionV>
            <wp:extent cx="8255" cy="8890"/>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-804545</wp:posOffset>
            </wp:positionV>
            <wp:extent cx="8255"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-787400</wp:posOffset>
            </wp:positionV>
            <wp:extent cx="8255" cy="825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-770255</wp:posOffset>
            </wp:positionV>
            <wp:extent cx="8255" cy="825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-753110</wp:posOffset>
            </wp:positionV>
            <wp:extent cx="8255" cy="8890"/>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-735965</wp:posOffset>
            </wp:positionV>
            <wp:extent cx="8255" cy="8890"/>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-718820</wp:posOffset>
            </wp:positionV>
            <wp:extent cx="8255"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-701675</wp:posOffset>
            </wp:positionV>
            <wp:extent cx="8255" cy="825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-684530</wp:posOffset>
            </wp:positionV>
            <wp:extent cx="8255" cy="825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-667385</wp:posOffset>
            </wp:positionV>
            <wp:extent cx="8255" cy="8890"/>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-650240</wp:posOffset>
            </wp:positionV>
            <wp:extent cx="8255" cy="8890"/>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-633095</wp:posOffset>
            </wp:positionV>
            <wp:extent cx="8255"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-615950</wp:posOffset>
            </wp:positionV>
            <wp:extent cx="8255" cy="825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-598805</wp:posOffset>
            </wp:positionV>
            <wp:extent cx="8255" cy="8255"/>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-581660</wp:posOffset>
            </wp:positionV>
            <wp:extent cx="8255" cy="8890"/>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-564515</wp:posOffset>
            </wp:positionV>
            <wp:extent cx="8255" cy="8890"/>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-547370</wp:posOffset>
            </wp:positionV>
            <wp:extent cx="8255"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-530225</wp:posOffset>
            </wp:positionV>
            <wp:extent cx="8255" cy="825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-513080</wp:posOffset>
            </wp:positionV>
            <wp:extent cx="8255" cy="825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-495935</wp:posOffset>
            </wp:positionV>
            <wp:extent cx="8255" cy="8890"/>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-478790</wp:posOffset>
            </wp:positionV>
            <wp:extent cx="8255" cy="8890"/>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-461645</wp:posOffset>
            </wp:positionV>
            <wp:extent cx="8255"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-444500</wp:posOffset>
            </wp:positionV>
            <wp:extent cx="8255" cy="825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-427355</wp:posOffset>
            </wp:positionV>
            <wp:extent cx="8255" cy="825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-410210</wp:posOffset>
            </wp:positionV>
            <wp:extent cx="8255" cy="889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-393065</wp:posOffset>
            </wp:positionV>
            <wp:extent cx="8255" cy="8890"/>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-375920</wp:posOffset>
            </wp:positionV>
            <wp:extent cx="8255" cy="825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-358775</wp:posOffset>
            </wp:positionV>
            <wp:extent cx="8255" cy="825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-341630</wp:posOffset>
            </wp:positionV>
            <wp:extent cx="8255" cy="825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-324485</wp:posOffset>
            </wp:positionV>
            <wp:extent cx="8255" cy="8890"/>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-307340</wp:posOffset>
            </wp:positionV>
            <wp:extent cx="8255"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-290195</wp:posOffset>
            </wp:positionV>
            <wp:extent cx="8255" cy="825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-273050</wp:posOffset>
            </wp:positionV>
            <wp:extent cx="8255" cy="825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-255905</wp:posOffset>
            </wp:positionV>
            <wp:extent cx="8255" cy="8890"/>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-238760</wp:posOffset>
            </wp:positionV>
            <wp:extent cx="8255" cy="8890"/>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-221615</wp:posOffset>
            </wp:positionV>
            <wp:extent cx="8255" cy="825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-204470</wp:posOffset>
            </wp:positionV>
            <wp:extent cx="8255" cy="825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-187325</wp:posOffset>
            </wp:positionV>
            <wp:extent cx="8255" cy="825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-170180</wp:posOffset>
            </wp:positionV>
            <wp:extent cx="8255" cy="8890"/>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-153035</wp:posOffset>
            </wp:positionV>
            <wp:extent cx="8255" cy="8890"/>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-135890</wp:posOffset>
            </wp:positionV>
            <wp:extent cx="8255" cy="825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-118745</wp:posOffset>
            </wp:positionV>
            <wp:extent cx="8255" cy="825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-101600</wp:posOffset>
            </wp:positionV>
            <wp:extent cx="8255" cy="825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-84455</wp:posOffset>
            </wp:positionV>
            <wp:extent cx="8255" cy="8890"/>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-67310</wp:posOffset>
            </wp:positionV>
            <wp:extent cx="8255" cy="8890"/>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-50165</wp:posOffset>
            </wp:positionV>
            <wp:extent cx="8255" cy="825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-33020</wp:posOffset>
            </wp:positionV>
            <wp:extent cx="8255" cy="825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-15875</wp:posOffset>
            </wp:positionV>
            <wp:extent cx="8255" cy="825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-1490345</wp:posOffset>
            </wp:positionV>
            <wp:extent cx="8890" cy="825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-1473200</wp:posOffset>
            </wp:positionV>
            <wp:extent cx="8890" cy="825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-1456055</wp:posOffset>
            </wp:positionV>
            <wp:extent cx="8890" cy="8890"/>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-1438910</wp:posOffset>
            </wp:positionV>
            <wp:extent cx="8890" cy="825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-1421765</wp:posOffset>
            </wp:positionV>
            <wp:extent cx="8890" cy="8255"/>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-1404620</wp:posOffset>
            </wp:positionV>
            <wp:extent cx="8890" cy="825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-1387475</wp:posOffset>
            </wp:positionV>
            <wp:extent cx="8890" cy="825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-1370330</wp:posOffset>
            </wp:positionV>
            <wp:extent cx="8890" cy="8890"/>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8890" cy="825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-1336040</wp:posOffset>
            </wp:positionV>
            <wp:extent cx="8890" cy="825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-1318895</wp:posOffset>
            </wp:positionV>
            <wp:extent cx="8890" cy="825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-1301750</wp:posOffset>
            </wp:positionV>
            <wp:extent cx="8890" cy="825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-1284605</wp:posOffset>
            </wp:positionV>
            <wp:extent cx="8890" cy="8890"/>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-1267460</wp:posOffset>
            </wp:positionV>
            <wp:extent cx="8890" cy="825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-1250315</wp:posOffset>
            </wp:positionV>
            <wp:extent cx="8890" cy="825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-1233170</wp:posOffset>
            </wp:positionV>
            <wp:extent cx="8890" cy="825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-1216025</wp:posOffset>
            </wp:positionV>
            <wp:extent cx="8890" cy="825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-1198880</wp:posOffset>
            </wp:positionV>
            <wp:extent cx="8890" cy="8890"/>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-1181735</wp:posOffset>
            </wp:positionV>
            <wp:extent cx="8890" cy="825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-1164590</wp:posOffset>
            </wp:positionV>
            <wp:extent cx="8890" cy="825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-1147445</wp:posOffset>
            </wp:positionV>
            <wp:extent cx="8890" cy="8890"/>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-1130300</wp:posOffset>
            </wp:positionV>
            <wp:extent cx="8890" cy="825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-1113155</wp:posOffset>
            </wp:positionV>
            <wp:extent cx="8890" cy="825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8890" cy="825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-1078865</wp:posOffset>
            </wp:positionV>
            <wp:extent cx="8890" cy="8890"/>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-1061720</wp:posOffset>
            </wp:positionV>
            <wp:extent cx="8890" cy="8890"/>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-1044575</wp:posOffset>
            </wp:positionV>
            <wp:extent cx="8890" cy="825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-1027430</wp:posOffset>
            </wp:positionV>
            <wp:extent cx="8890" cy="825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-1010285</wp:posOffset>
            </wp:positionV>
            <wp:extent cx="8890" cy="825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-993140</wp:posOffset>
            </wp:positionV>
            <wp:extent cx="8890" cy="8890"/>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-975995</wp:posOffset>
            </wp:positionV>
            <wp:extent cx="8890" cy="825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-958850</wp:posOffset>
            </wp:positionV>
            <wp:extent cx="8890" cy="825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-941705</wp:posOffset>
            </wp:positionV>
            <wp:extent cx="8890" cy="825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-924560</wp:posOffset>
            </wp:positionV>
            <wp:extent cx="8890" cy="8890"/>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-907415</wp:posOffset>
            </wp:positionV>
            <wp:extent cx="8890" cy="889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-890270</wp:posOffset>
            </wp:positionV>
            <wp:extent cx="8890" cy="825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-873125</wp:posOffset>
            </wp:positionV>
            <wp:extent cx="8890" cy="825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-855980</wp:posOffset>
            </wp:positionV>
            <wp:extent cx="8890" cy="825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-838835</wp:posOffset>
            </wp:positionV>
            <wp:extent cx="8890" cy="8890"/>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-821690</wp:posOffset>
            </wp:positionV>
            <wp:extent cx="8890" cy="8890"/>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8890" cy="825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8890" cy="825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8890" cy="825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-753110</wp:posOffset>
            </wp:positionV>
            <wp:extent cx="8890" cy="889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-735965</wp:posOffset>
            </wp:positionV>
            <wp:extent cx="8890" cy="889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-718820</wp:posOffset>
            </wp:positionV>
            <wp:extent cx="8890" cy="825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-701675</wp:posOffset>
            </wp:positionV>
            <wp:extent cx="8890" cy="825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-684530</wp:posOffset>
            </wp:positionV>
            <wp:extent cx="8890" cy="825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-667385</wp:posOffset>
            </wp:positionV>
            <wp:extent cx="8890" cy="8890"/>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8890" cy="8890"/>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8890" cy="825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8890" cy="825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8890" cy="825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-581660</wp:posOffset>
            </wp:positionV>
            <wp:extent cx="8890" cy="8890"/>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-564515</wp:posOffset>
            </wp:positionV>
            <wp:extent cx="8890" cy="8890"/>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-547370</wp:posOffset>
            </wp:positionV>
            <wp:extent cx="8890" cy="825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-530225</wp:posOffset>
            </wp:positionV>
            <wp:extent cx="8890" cy="825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8890" cy="825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8890" cy="8890"/>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8890" cy="8890"/>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8890" cy="825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8890" cy="825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8890" cy="825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-410210</wp:posOffset>
            </wp:positionV>
            <wp:extent cx="8890" cy="8890"/>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-393065</wp:posOffset>
            </wp:positionV>
            <wp:extent cx="8890" cy="8890"/>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8890" cy="825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8890" cy="825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8890" cy="825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8890" cy="8890"/>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8890" cy="825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8890" cy="825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wp:posOffset>
            </wp:positionV>
            <wp:extent cx="8890" cy="825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8890" cy="8890"/>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8890" cy="8890"/>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8890" cy="825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8890" cy="825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8890" cy="825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8890" cy="8890"/>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8890" cy="8890"/>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8890" cy="825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8890" cy="825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8890" cy="825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8890" cy="8890"/>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8890" cy="8890"/>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8890" cy="825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8890" cy="8255"/>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8890" cy="825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-1490345</wp:posOffset>
            </wp:positionV>
            <wp:extent cx="8890" cy="825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-1473200</wp:posOffset>
            </wp:positionV>
            <wp:extent cx="8890" cy="825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-1456055</wp:posOffset>
            </wp:positionV>
            <wp:extent cx="8890" cy="8890"/>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-1438910</wp:posOffset>
            </wp:positionV>
            <wp:extent cx="8890" cy="825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-1421765</wp:posOffset>
            </wp:positionV>
            <wp:extent cx="8890" cy="825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-1404620</wp:posOffset>
            </wp:positionV>
            <wp:extent cx="8890" cy="825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-1387475</wp:posOffset>
            </wp:positionV>
            <wp:extent cx="8890" cy="825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-1370330</wp:posOffset>
            </wp:positionV>
            <wp:extent cx="8890" cy="889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-1353185</wp:posOffset>
            </wp:positionV>
            <wp:extent cx="8890" cy="825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-1336040</wp:posOffset>
            </wp:positionV>
            <wp:extent cx="8890" cy="825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-1318895</wp:posOffset>
            </wp:positionV>
            <wp:extent cx="8890" cy="825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-1301750</wp:posOffset>
            </wp:positionV>
            <wp:extent cx="8890" cy="825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-1284605</wp:posOffset>
            </wp:positionV>
            <wp:extent cx="8890" cy="889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-1267460</wp:posOffset>
            </wp:positionV>
            <wp:extent cx="8890" cy="825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-1250315</wp:posOffset>
            </wp:positionV>
            <wp:extent cx="8890" cy="825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-1233170</wp:posOffset>
            </wp:positionV>
            <wp:extent cx="8890" cy="8255"/>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-1216025</wp:posOffset>
            </wp:positionV>
            <wp:extent cx="8890" cy="825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-1198880</wp:posOffset>
            </wp:positionV>
            <wp:extent cx="8890" cy="8890"/>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-1181735</wp:posOffset>
            </wp:positionV>
            <wp:extent cx="8890" cy="825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-1164590</wp:posOffset>
            </wp:positionV>
            <wp:extent cx="8890" cy="825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-1147445</wp:posOffset>
            </wp:positionV>
            <wp:extent cx="8890" cy="8890"/>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-1130300</wp:posOffset>
            </wp:positionV>
            <wp:extent cx="8890" cy="825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-1113155</wp:posOffset>
            </wp:positionV>
            <wp:extent cx="8890" cy="825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-1096010</wp:posOffset>
            </wp:positionV>
            <wp:extent cx="8890" cy="825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-1078865</wp:posOffset>
            </wp:positionV>
            <wp:extent cx="8890" cy="8890"/>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-1061720</wp:posOffset>
            </wp:positionV>
            <wp:extent cx="8890" cy="8890"/>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-1044575</wp:posOffset>
            </wp:positionV>
            <wp:extent cx="8890" cy="8255"/>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-1027430</wp:posOffset>
            </wp:positionV>
            <wp:extent cx="8890" cy="825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-1010285</wp:posOffset>
            </wp:positionV>
            <wp:extent cx="8890" cy="8255"/>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-993140</wp:posOffset>
            </wp:positionV>
            <wp:extent cx="8890" cy="8890"/>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-975995</wp:posOffset>
            </wp:positionV>
            <wp:extent cx="8890" cy="8255"/>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-958850</wp:posOffset>
            </wp:positionV>
            <wp:extent cx="8890" cy="8255"/>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-941705</wp:posOffset>
            </wp:positionV>
            <wp:extent cx="8890" cy="825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-924560</wp:posOffset>
            </wp:positionV>
            <wp:extent cx="8890" cy="8890"/>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-907415</wp:posOffset>
            </wp:positionV>
            <wp:extent cx="8890" cy="8890"/>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-890270</wp:posOffset>
            </wp:positionV>
            <wp:extent cx="8890" cy="8255"/>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-873125</wp:posOffset>
            </wp:positionV>
            <wp:extent cx="8890" cy="825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-855980</wp:posOffset>
            </wp:positionV>
            <wp:extent cx="8890" cy="8255"/>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-838835</wp:posOffset>
            </wp:positionV>
            <wp:extent cx="8890" cy="8890"/>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-821690</wp:posOffset>
            </wp:positionV>
            <wp:extent cx="8890" cy="8890"/>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-804545</wp:posOffset>
            </wp:positionV>
            <wp:extent cx="8890" cy="825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-787400</wp:posOffset>
            </wp:positionV>
            <wp:extent cx="8890" cy="825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-770255</wp:posOffset>
            </wp:positionV>
            <wp:extent cx="8890" cy="825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-753110</wp:posOffset>
            </wp:positionV>
            <wp:extent cx="8890" cy="8890"/>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-735965</wp:posOffset>
            </wp:positionV>
            <wp:extent cx="8890" cy="8890"/>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-718820</wp:posOffset>
            </wp:positionV>
            <wp:extent cx="8890" cy="825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-701675</wp:posOffset>
            </wp:positionV>
            <wp:extent cx="8890" cy="8255"/>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-684530</wp:posOffset>
            </wp:positionV>
            <wp:extent cx="8890" cy="8255"/>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-667385</wp:posOffset>
            </wp:positionV>
            <wp:extent cx="8890" cy="8890"/>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-650240</wp:posOffset>
            </wp:positionV>
            <wp:extent cx="8890" cy="8890"/>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-633095</wp:posOffset>
            </wp:positionV>
            <wp:extent cx="8890" cy="825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-615950</wp:posOffset>
            </wp:positionV>
            <wp:extent cx="8890" cy="825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-598805</wp:posOffset>
            </wp:positionV>
            <wp:extent cx="8890" cy="8255"/>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-581660</wp:posOffset>
            </wp:positionV>
            <wp:extent cx="8890" cy="8890"/>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-564515</wp:posOffset>
            </wp:positionV>
            <wp:extent cx="8890" cy="8890"/>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-547370</wp:posOffset>
            </wp:positionV>
            <wp:extent cx="8890" cy="825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-530225</wp:posOffset>
            </wp:positionV>
            <wp:extent cx="8890" cy="8255"/>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-513080</wp:posOffset>
            </wp:positionV>
            <wp:extent cx="8890" cy="825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-495935</wp:posOffset>
            </wp:positionV>
            <wp:extent cx="8890" cy="8890"/>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-478790</wp:posOffset>
            </wp:positionV>
            <wp:extent cx="8890" cy="8890"/>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-461645</wp:posOffset>
            </wp:positionV>
            <wp:extent cx="8890" cy="825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-444500</wp:posOffset>
            </wp:positionV>
            <wp:extent cx="8890" cy="825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-427355</wp:posOffset>
            </wp:positionV>
            <wp:extent cx="8890" cy="825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-410210</wp:posOffset>
            </wp:positionV>
            <wp:extent cx="8890" cy="8890"/>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-393065</wp:posOffset>
            </wp:positionV>
            <wp:extent cx="8890" cy="8890"/>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-375920</wp:posOffset>
            </wp:positionV>
            <wp:extent cx="8890" cy="825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-358775</wp:posOffset>
            </wp:positionV>
            <wp:extent cx="8890" cy="825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-341630</wp:posOffset>
            </wp:positionV>
            <wp:extent cx="8890" cy="8255"/>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-324485</wp:posOffset>
            </wp:positionV>
            <wp:extent cx="8890" cy="8890"/>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-307340</wp:posOffset>
            </wp:positionV>
            <wp:extent cx="8890" cy="825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-290195</wp:posOffset>
            </wp:positionV>
            <wp:extent cx="8890" cy="825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-273050</wp:posOffset>
            </wp:positionV>
            <wp:extent cx="8890" cy="825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-255905</wp:posOffset>
            </wp:positionV>
            <wp:extent cx="8890" cy="8890"/>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-238760</wp:posOffset>
            </wp:positionV>
            <wp:extent cx="8890" cy="8890"/>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-221615</wp:posOffset>
            </wp:positionV>
            <wp:extent cx="8890" cy="8255"/>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-204470</wp:posOffset>
            </wp:positionV>
            <wp:extent cx="8890" cy="825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-187325</wp:posOffset>
            </wp:positionV>
            <wp:extent cx="8890" cy="8255"/>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-170180</wp:posOffset>
            </wp:positionV>
            <wp:extent cx="8890" cy="8890"/>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-153035</wp:posOffset>
            </wp:positionV>
            <wp:extent cx="8890" cy="8890"/>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-135890</wp:posOffset>
            </wp:positionV>
            <wp:extent cx="8890" cy="825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-118745</wp:posOffset>
            </wp:positionV>
            <wp:extent cx="8890" cy="825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-101600</wp:posOffset>
            </wp:positionV>
            <wp:extent cx="8890" cy="8255"/>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-84455</wp:posOffset>
            </wp:positionV>
            <wp:extent cx="8890" cy="8890"/>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-67310</wp:posOffset>
            </wp:positionV>
            <wp:extent cx="8890" cy="8890"/>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-50165</wp:posOffset>
            </wp:positionV>
            <wp:extent cx="8890" cy="8255"/>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-33020</wp:posOffset>
            </wp:positionV>
            <wp:extent cx="8890" cy="825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-15875</wp:posOffset>
            </wp:positionV>
            <wp:extent cx="8890" cy="825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930" w:orient="portrait"/>
          <w:cols w:equalWidth="0" w:num="1">
            <w:col w:w="11220"/>
          </w:cols>
          <w:pgMar w:left="320" w:top="1413" w:right="359" w:bottom="0" w:gutter="0" w:footer="0" w:header="0"/>
        </w:sectPr>
      </w:pPr>
    </w:p>
    <w:p>
      <w:pPr>
        <w:ind w:left="8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The Employee understands that the Company and the Employer may hold certain personal information about the Employee, including, but not limited to, the Employee’s name, home address, email address and telephone number, date of birth, social insurance number, passport or other identification number, salary, nationality, job title, any shares of stock or directorships held in the Company, details of all Deferred Stock Units or any other entitlement to shares of stock awarded, canceled, exercised, vested, unvested or outstanding in the Employee’s favor, for the exclusive purpose of implementing, administering and managing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-1658620</wp:posOffset>
            </wp:positionV>
            <wp:extent cx="8890" cy="8890"/>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-1641475</wp:posOffset>
            </wp:positionV>
            <wp:extent cx="8890" cy="8890"/>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-1624330</wp:posOffset>
            </wp:positionV>
            <wp:extent cx="8890" cy="825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-1607185</wp:posOffset>
            </wp:positionV>
            <wp:extent cx="8890" cy="8255"/>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-1590040</wp:posOffset>
            </wp:positionV>
            <wp:extent cx="8890" cy="825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-1572895</wp:posOffset>
            </wp:positionV>
            <wp:extent cx="8890" cy="8890"/>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-1555750</wp:posOffset>
            </wp:positionV>
            <wp:extent cx="8890" cy="8890"/>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-1538605</wp:posOffset>
            </wp:positionV>
            <wp:extent cx="8890" cy="8255"/>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-1521460</wp:posOffset>
            </wp:positionV>
            <wp:extent cx="8890" cy="8255"/>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-1504315</wp:posOffset>
            </wp:positionV>
            <wp:extent cx="8890" cy="8255"/>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-1487170</wp:posOffset>
            </wp:positionV>
            <wp:extent cx="8890" cy="8890"/>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-1470025</wp:posOffset>
            </wp:positionV>
            <wp:extent cx="8890" cy="8890"/>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-1452880</wp:posOffset>
            </wp:positionV>
            <wp:extent cx="8890" cy="8255"/>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-1435735</wp:posOffset>
            </wp:positionV>
            <wp:extent cx="8890" cy="825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-1418590</wp:posOffset>
            </wp:positionV>
            <wp:extent cx="8890" cy="825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-1401445</wp:posOffset>
            </wp:positionV>
            <wp:extent cx="8890" cy="8890"/>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-1384300</wp:posOffset>
            </wp:positionV>
            <wp:extent cx="8890" cy="8890"/>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-1367155</wp:posOffset>
            </wp:positionV>
            <wp:extent cx="8890" cy="8255"/>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-1350010</wp:posOffset>
            </wp:positionV>
            <wp:extent cx="8890" cy="825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-1332865</wp:posOffset>
            </wp:positionV>
            <wp:extent cx="8890" cy="8255"/>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-1315720</wp:posOffset>
            </wp:positionV>
            <wp:extent cx="8890" cy="8890"/>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-1298575</wp:posOffset>
            </wp:positionV>
            <wp:extent cx="8890" cy="8890"/>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-1281430</wp:posOffset>
            </wp:positionV>
            <wp:extent cx="8890" cy="8255"/>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-1264285</wp:posOffset>
            </wp:positionV>
            <wp:extent cx="8890" cy="825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-1247140</wp:posOffset>
            </wp:positionV>
            <wp:extent cx="8890" cy="889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-1229995</wp:posOffset>
            </wp:positionV>
            <wp:extent cx="8890" cy="8890"/>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-1212850</wp:posOffset>
            </wp:positionV>
            <wp:extent cx="8890" cy="825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-1195705</wp:posOffset>
            </wp:positionV>
            <wp:extent cx="8890" cy="825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-1178560</wp:posOffset>
            </wp:positionV>
            <wp:extent cx="8890" cy="825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-1161415</wp:posOffset>
            </wp:positionV>
            <wp:extent cx="8890" cy="8890"/>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-1144270</wp:posOffset>
            </wp:positionV>
            <wp:extent cx="8890" cy="8890"/>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-1127125</wp:posOffset>
            </wp:positionV>
            <wp:extent cx="8890" cy="8255"/>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-1109980</wp:posOffset>
            </wp:positionV>
            <wp:extent cx="8890" cy="8255"/>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-1092835</wp:posOffset>
            </wp:positionV>
            <wp:extent cx="8890" cy="825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-1075690</wp:posOffset>
            </wp:positionV>
            <wp:extent cx="8890" cy="8890"/>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-1058545</wp:posOffset>
            </wp:positionV>
            <wp:extent cx="8890" cy="8890"/>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-1041400</wp:posOffset>
            </wp:positionV>
            <wp:extent cx="8890" cy="825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-1024255</wp:posOffset>
            </wp:positionV>
            <wp:extent cx="8890" cy="825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-1007110</wp:posOffset>
            </wp:positionV>
            <wp:extent cx="8890" cy="825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-989965</wp:posOffset>
            </wp:positionV>
            <wp:extent cx="8890" cy="8890"/>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-972820</wp:posOffset>
            </wp:positionV>
            <wp:extent cx="8890" cy="8890"/>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-955675</wp:posOffset>
            </wp:positionV>
            <wp:extent cx="8890" cy="825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-938530</wp:posOffset>
            </wp:positionV>
            <wp:extent cx="8890" cy="825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-921385</wp:posOffset>
            </wp:positionV>
            <wp:extent cx="8890" cy="825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-904240</wp:posOffset>
            </wp:positionV>
            <wp:extent cx="8890" cy="8890"/>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-887095</wp:posOffset>
            </wp:positionV>
            <wp:extent cx="8890" cy="8890"/>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-869950</wp:posOffset>
            </wp:positionV>
            <wp:extent cx="8890" cy="825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-852805</wp:posOffset>
            </wp:positionV>
            <wp:extent cx="8890" cy="8255"/>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-835660</wp:posOffset>
            </wp:positionV>
            <wp:extent cx="8890" cy="825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-818515</wp:posOffset>
            </wp:positionV>
            <wp:extent cx="8890" cy="8890"/>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-801370</wp:posOffset>
            </wp:positionV>
            <wp:extent cx="8890" cy="8890"/>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-784225</wp:posOffset>
            </wp:positionV>
            <wp:extent cx="8890" cy="825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-767080</wp:posOffset>
            </wp:positionV>
            <wp:extent cx="8890" cy="8255"/>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-749935</wp:posOffset>
            </wp:positionV>
            <wp:extent cx="8890" cy="8255"/>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-732790</wp:posOffset>
            </wp:positionV>
            <wp:extent cx="8890" cy="8890"/>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-715645</wp:posOffset>
            </wp:positionV>
            <wp:extent cx="8890" cy="8890"/>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-698500</wp:posOffset>
            </wp:positionV>
            <wp:extent cx="8890" cy="825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-681355</wp:posOffset>
            </wp:positionV>
            <wp:extent cx="8890" cy="825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-664210</wp:posOffset>
            </wp:positionV>
            <wp:extent cx="8890" cy="8255"/>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-647065</wp:posOffset>
            </wp:positionV>
            <wp:extent cx="8890" cy="8890"/>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-629920</wp:posOffset>
            </wp:positionV>
            <wp:extent cx="8890" cy="8890"/>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-612775</wp:posOffset>
            </wp:positionV>
            <wp:extent cx="8890" cy="825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8890" cy="8255"/>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-578485</wp:posOffset>
            </wp:positionV>
            <wp:extent cx="8890" cy="8890"/>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-561340</wp:posOffset>
            </wp:positionV>
            <wp:extent cx="8890" cy="8890"/>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8890" cy="825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-527050</wp:posOffset>
            </wp:positionV>
            <wp:extent cx="8890" cy="8255"/>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8890" cy="825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8890" cy="8890"/>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-475615</wp:posOffset>
            </wp:positionV>
            <wp:extent cx="8890" cy="8890"/>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8890" cy="825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-441325</wp:posOffset>
            </wp:positionV>
            <wp:extent cx="8890" cy="8255"/>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-424180</wp:posOffset>
            </wp:positionV>
            <wp:extent cx="8890" cy="8255"/>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-407035</wp:posOffset>
            </wp:positionV>
            <wp:extent cx="8890" cy="8890"/>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-389890</wp:posOffset>
            </wp:positionV>
            <wp:extent cx="8890" cy="8890"/>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-372745</wp:posOffset>
            </wp:positionV>
            <wp:extent cx="8890" cy="825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-355600</wp:posOffset>
            </wp:positionV>
            <wp:extent cx="8890" cy="8255"/>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-338455</wp:posOffset>
            </wp:positionV>
            <wp:extent cx="8890" cy="8255"/>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-321310</wp:posOffset>
            </wp:positionV>
            <wp:extent cx="8890" cy="8890"/>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8890" cy="8890"/>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8890" cy="8255"/>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-269875</wp:posOffset>
            </wp:positionV>
            <wp:extent cx="8890" cy="8255"/>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8890" cy="8255"/>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8890" cy="889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8890" cy="8890"/>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8890" cy="8255"/>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8890" cy="8255"/>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8890" cy="8255"/>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8890" cy="8890"/>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8890" cy="8890"/>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8890" cy="8255"/>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8890" cy="8255"/>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8890" cy="8255"/>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8890" cy="8890"/>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8890" cy="8890"/>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8890" cy="8255"/>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8890" cy="8255"/>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8890" cy="8255"/>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8890" cy="8890"/>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8890" cy="8890"/>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8890" cy="825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8890" cy="8255"/>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8890" cy="8255"/>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8890" cy="8890"/>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8890" cy="8255"/>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75" w:lineRule="exact"/>
        <w:rPr>
          <w:sz w:val="20"/>
          <w:szCs w:val="20"/>
          <w:color w:val="auto"/>
        </w:rPr>
      </w:pPr>
    </w:p>
    <w:p>
      <w:pPr>
        <w:ind w:left="80" w:right="20"/>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The Employee understands that Data will be transferred to Morgan Stanley Smith Barney, LLC (“Morgan Stanley”),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the Employee’s country. The Employee understands that the Employee may request a list with the names and addresses of any potential recipients of the Data by contacting the Employee’s local human resources representative at Mondelez Malaysia Sales Sdn Bhd, Lot 9.01 Level 9, 1 First Avenue, 2A, Dataran Bandar Utama, Bandar Utama Damasara, 47800 Petaling Jaya, Selangor, Malaysia. The Employee authorizes the Company, Morgan Stanley and any other possible recipients which may assist the Company (presently or in the future) with implementing, administering and managing the Plan to receive, possess, use, retain and transfer the Data, in electronic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-3479165</wp:posOffset>
            </wp:positionV>
            <wp:extent cx="8890" cy="8255"/>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-3462020</wp:posOffset>
            </wp:positionV>
            <wp:extent cx="8890" cy="8255"/>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-3444875</wp:posOffset>
            </wp:positionV>
            <wp:extent cx="8890" cy="8890"/>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-3427730</wp:posOffset>
            </wp:positionV>
            <wp:extent cx="8890" cy="8890"/>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-3410585</wp:posOffset>
            </wp:positionV>
            <wp:extent cx="8890" cy="8255"/>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-3393440</wp:posOffset>
            </wp:positionV>
            <wp:extent cx="8890" cy="8255"/>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-3376295</wp:posOffset>
            </wp:positionV>
            <wp:extent cx="8890" cy="8255"/>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-3359150</wp:posOffset>
            </wp:positionV>
            <wp:extent cx="8890" cy="8890"/>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-3342005</wp:posOffset>
            </wp:positionV>
            <wp:extent cx="8890" cy="8890"/>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-3324860</wp:posOffset>
            </wp:positionV>
            <wp:extent cx="8890" cy="8255"/>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-3307715</wp:posOffset>
            </wp:positionV>
            <wp:extent cx="8890" cy="8255"/>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-3290570</wp:posOffset>
            </wp:positionV>
            <wp:extent cx="8890" cy="8255"/>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-3273425</wp:posOffset>
            </wp:positionV>
            <wp:extent cx="8890" cy="8890"/>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-3256280</wp:posOffset>
            </wp:positionV>
            <wp:extent cx="8890" cy="8890"/>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-3239135</wp:posOffset>
            </wp:positionV>
            <wp:extent cx="8890" cy="8255"/>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-3221990</wp:posOffset>
            </wp:positionV>
            <wp:extent cx="8890" cy="8255"/>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-3204845</wp:posOffset>
            </wp:positionV>
            <wp:extent cx="8890" cy="8255"/>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-3187700</wp:posOffset>
            </wp:positionV>
            <wp:extent cx="8890" cy="8890"/>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-3170555</wp:posOffset>
            </wp:positionV>
            <wp:extent cx="8890" cy="8890"/>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-3153410</wp:posOffset>
            </wp:positionV>
            <wp:extent cx="8890" cy="8890"/>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-3136265</wp:posOffset>
            </wp:positionV>
            <wp:extent cx="8890" cy="8255"/>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-3119120</wp:posOffset>
            </wp:positionV>
            <wp:extent cx="8890" cy="8890"/>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-3101975</wp:posOffset>
            </wp:positionV>
            <wp:extent cx="8890" cy="8890"/>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-3084830</wp:posOffset>
            </wp:positionV>
            <wp:extent cx="8890" cy="8890"/>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-3067685</wp:posOffset>
            </wp:positionV>
            <wp:extent cx="8890" cy="8890"/>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-3050540</wp:posOffset>
            </wp:positionV>
            <wp:extent cx="8890" cy="8255"/>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-3033395</wp:posOffset>
            </wp:positionV>
            <wp:extent cx="8890" cy="8890"/>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-3016250</wp:posOffset>
            </wp:positionV>
            <wp:extent cx="8890" cy="8255"/>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-2999105</wp:posOffset>
            </wp:positionV>
            <wp:extent cx="8890" cy="8890"/>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-2981960</wp:posOffset>
            </wp:positionV>
            <wp:extent cx="8890" cy="8890"/>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-2964815</wp:posOffset>
            </wp:positionV>
            <wp:extent cx="8890" cy="8890"/>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-2947670</wp:posOffset>
            </wp:positionV>
            <wp:extent cx="8890" cy="8890"/>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-2930525</wp:posOffset>
            </wp:positionV>
            <wp:extent cx="8890" cy="8255"/>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-2913380</wp:posOffset>
            </wp:positionV>
            <wp:extent cx="8890" cy="8890"/>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-2896235</wp:posOffset>
            </wp:positionV>
            <wp:extent cx="8890" cy="8890"/>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-2879090</wp:posOffset>
            </wp:positionV>
            <wp:extent cx="8890" cy="8890"/>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-2861945</wp:posOffset>
            </wp:positionV>
            <wp:extent cx="8890" cy="8890"/>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-2844800</wp:posOffset>
            </wp:positionV>
            <wp:extent cx="8890" cy="8255"/>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-2827655</wp:posOffset>
            </wp:positionV>
            <wp:extent cx="8890" cy="8890"/>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-2810510</wp:posOffset>
            </wp:positionV>
            <wp:extent cx="8890" cy="8890"/>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-2793365</wp:posOffset>
            </wp:positionV>
            <wp:extent cx="8890" cy="8890"/>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-2776220</wp:posOffset>
            </wp:positionV>
            <wp:extent cx="8890" cy="8890"/>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-2759075</wp:posOffset>
            </wp:positionV>
            <wp:extent cx="8890" cy="8255"/>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-2741930</wp:posOffset>
            </wp:positionV>
            <wp:extent cx="8890" cy="8890"/>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-2724785</wp:posOffset>
            </wp:positionV>
            <wp:extent cx="8890" cy="8890"/>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-2707640</wp:posOffset>
            </wp:positionV>
            <wp:extent cx="8890" cy="8890"/>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-2690495</wp:posOffset>
            </wp:positionV>
            <wp:extent cx="8890" cy="8890"/>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-2673350</wp:posOffset>
            </wp:positionV>
            <wp:extent cx="8890" cy="8255"/>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-2656205</wp:posOffset>
            </wp:positionV>
            <wp:extent cx="8890" cy="8890"/>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-2639060</wp:posOffset>
            </wp:positionV>
            <wp:extent cx="8890" cy="825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-2621915</wp:posOffset>
            </wp:positionV>
            <wp:extent cx="8890" cy="8890"/>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-2604770</wp:posOffset>
            </wp:positionV>
            <wp:extent cx="8890" cy="8890"/>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-2587625</wp:posOffset>
            </wp:positionV>
            <wp:extent cx="8890" cy="8890"/>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-2570480</wp:posOffset>
            </wp:positionV>
            <wp:extent cx="8890" cy="8890"/>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-2553335</wp:posOffset>
            </wp:positionV>
            <wp:extent cx="8890" cy="8255"/>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-2536190</wp:posOffset>
            </wp:positionV>
            <wp:extent cx="8890" cy="8890"/>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-2519045</wp:posOffset>
            </wp:positionV>
            <wp:extent cx="8890" cy="8890"/>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-2501900</wp:posOffset>
            </wp:positionV>
            <wp:extent cx="8890" cy="8890"/>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-2484755</wp:posOffset>
            </wp:positionV>
            <wp:extent cx="8890" cy="8890"/>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-2467610</wp:posOffset>
            </wp:positionV>
            <wp:extent cx="8890" cy="8255"/>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-2450465</wp:posOffset>
            </wp:positionV>
            <wp:extent cx="8890" cy="8890"/>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-2433320</wp:posOffset>
            </wp:positionV>
            <wp:extent cx="8890" cy="8890"/>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-2416175</wp:posOffset>
            </wp:positionV>
            <wp:extent cx="8890" cy="8890"/>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-2399030</wp:posOffset>
            </wp:positionV>
            <wp:extent cx="8890" cy="8890"/>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8890" cy="8255"/>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-2364740</wp:posOffset>
            </wp:positionV>
            <wp:extent cx="8890" cy="8890"/>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-2347595</wp:posOffset>
            </wp:positionV>
            <wp:extent cx="8890" cy="8890"/>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-2330450</wp:posOffset>
            </wp:positionV>
            <wp:extent cx="8890" cy="8890"/>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-2313305</wp:posOffset>
            </wp:positionV>
            <wp:extent cx="8890" cy="8890"/>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-2296160</wp:posOffset>
            </wp:positionV>
            <wp:extent cx="8890" cy="8890"/>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-2279015</wp:posOffset>
            </wp:positionV>
            <wp:extent cx="8890" cy="8890"/>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-2261870</wp:posOffset>
            </wp:positionV>
            <wp:extent cx="8890" cy="8255"/>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-2244725</wp:posOffset>
            </wp:positionV>
            <wp:extent cx="8890" cy="8890"/>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-2227580</wp:posOffset>
            </wp:positionV>
            <wp:extent cx="8890" cy="8890"/>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-2210435</wp:posOffset>
            </wp:positionV>
            <wp:extent cx="8890" cy="8890"/>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-2193290</wp:posOffset>
            </wp:positionV>
            <wp:extent cx="8890" cy="8890"/>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-2176145</wp:posOffset>
            </wp:positionV>
            <wp:extent cx="8890" cy="825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-2159000</wp:posOffset>
            </wp:positionV>
            <wp:extent cx="8890" cy="8890"/>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-2141855</wp:posOffset>
            </wp:positionV>
            <wp:extent cx="8890" cy="8890"/>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8890" cy="8890"/>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-2107565</wp:posOffset>
            </wp:positionV>
            <wp:extent cx="8890" cy="8890"/>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-2090420</wp:posOffset>
            </wp:positionV>
            <wp:extent cx="8890" cy="8255"/>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-2073275</wp:posOffset>
            </wp:positionV>
            <wp:extent cx="8890" cy="8890"/>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-2056130</wp:posOffset>
            </wp:positionV>
            <wp:extent cx="8890" cy="8890"/>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-2038985</wp:posOffset>
            </wp:positionV>
            <wp:extent cx="8890" cy="8890"/>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-2021840</wp:posOffset>
            </wp:positionV>
            <wp:extent cx="8890" cy="8890"/>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-2004695</wp:posOffset>
            </wp:positionV>
            <wp:extent cx="8890" cy="8255"/>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-1987550</wp:posOffset>
            </wp:positionV>
            <wp:extent cx="8890" cy="8890"/>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-1970405</wp:posOffset>
            </wp:positionV>
            <wp:extent cx="8890" cy="825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-1953260</wp:posOffset>
            </wp:positionV>
            <wp:extent cx="8890" cy="8890"/>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-1936115</wp:posOffset>
            </wp:positionV>
            <wp:extent cx="8890" cy="8890"/>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-1918970</wp:posOffset>
            </wp:positionV>
            <wp:extent cx="8890" cy="8890"/>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-1901825</wp:posOffset>
            </wp:positionV>
            <wp:extent cx="8890" cy="8890"/>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-1884680</wp:posOffset>
            </wp:positionV>
            <wp:extent cx="8890" cy="825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8890" cy="8890"/>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-1850390</wp:posOffset>
            </wp:positionV>
            <wp:extent cx="8890" cy="8890"/>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-1833245</wp:posOffset>
            </wp:positionV>
            <wp:extent cx="8890" cy="8890"/>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-1816100</wp:posOffset>
            </wp:positionV>
            <wp:extent cx="8890" cy="8890"/>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-1798955</wp:posOffset>
            </wp:positionV>
            <wp:extent cx="8890" cy="8255"/>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-1781810</wp:posOffset>
            </wp:positionV>
            <wp:extent cx="8890" cy="8890"/>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-1764665</wp:posOffset>
            </wp:positionV>
            <wp:extent cx="8890" cy="8890"/>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-1747520</wp:posOffset>
            </wp:positionV>
            <wp:extent cx="8890" cy="8890"/>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-1730375</wp:posOffset>
            </wp:positionV>
            <wp:extent cx="8890" cy="8890"/>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-1713230</wp:posOffset>
            </wp:positionV>
            <wp:extent cx="8890" cy="8255"/>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-1696085</wp:posOffset>
            </wp:positionV>
            <wp:extent cx="8890" cy="8890"/>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-1678940</wp:posOffset>
            </wp:positionV>
            <wp:extent cx="8890" cy="8890"/>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-1661795</wp:posOffset>
            </wp:positionV>
            <wp:extent cx="8890" cy="8890"/>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-1644650</wp:posOffset>
            </wp:positionV>
            <wp:extent cx="8890" cy="8890"/>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-1627505</wp:posOffset>
            </wp:positionV>
            <wp:extent cx="8890" cy="8890"/>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8890" cy="8890"/>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-1593215</wp:posOffset>
            </wp:positionV>
            <wp:extent cx="8890" cy="8255"/>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-1576070</wp:posOffset>
            </wp:positionV>
            <wp:extent cx="8890" cy="8890"/>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-1558925</wp:posOffset>
            </wp:positionV>
            <wp:extent cx="8890" cy="8255"/>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-1541780</wp:posOffset>
            </wp:positionV>
            <wp:extent cx="8890" cy="8255"/>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-1524635</wp:posOffset>
            </wp:positionV>
            <wp:extent cx="8890" cy="8890"/>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-1507490</wp:posOffset>
            </wp:positionV>
            <wp:extent cx="8890" cy="8890"/>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-1490345</wp:posOffset>
            </wp:positionV>
            <wp:extent cx="8890" cy="8890"/>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-1473200</wp:posOffset>
            </wp:positionV>
            <wp:extent cx="8890" cy="8255"/>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-1456055</wp:posOffset>
            </wp:positionV>
            <wp:extent cx="8890" cy="8255"/>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-1438910</wp:posOffset>
            </wp:positionV>
            <wp:extent cx="8890" cy="8890"/>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-1421765</wp:posOffset>
            </wp:positionV>
            <wp:extent cx="8890" cy="8890"/>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-1404620</wp:posOffset>
            </wp:positionV>
            <wp:extent cx="8890" cy="8890"/>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-1387475</wp:posOffset>
            </wp:positionV>
            <wp:extent cx="8890" cy="8255"/>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-1370330</wp:posOffset>
            </wp:positionV>
            <wp:extent cx="8890" cy="8255"/>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8890" cy="8255"/>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-1336040</wp:posOffset>
            </wp:positionV>
            <wp:extent cx="8890" cy="8890"/>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-1318895</wp:posOffset>
            </wp:positionV>
            <wp:extent cx="8890" cy="8890"/>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-1301750</wp:posOffset>
            </wp:positionV>
            <wp:extent cx="8890" cy="8890"/>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-1284605</wp:posOffset>
            </wp:positionV>
            <wp:extent cx="8890" cy="8255"/>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-1267460</wp:posOffset>
            </wp:positionV>
            <wp:extent cx="8890" cy="8255"/>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-1250315</wp:posOffset>
            </wp:positionV>
            <wp:extent cx="8890" cy="8890"/>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-1233170</wp:posOffset>
            </wp:positionV>
            <wp:extent cx="8890" cy="8890"/>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-1216025</wp:posOffset>
            </wp:positionV>
            <wp:extent cx="8890" cy="8890"/>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-1198880</wp:posOffset>
            </wp:positionV>
            <wp:extent cx="8890" cy="8890"/>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-1181735</wp:posOffset>
            </wp:positionV>
            <wp:extent cx="8890" cy="8255"/>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-1164590</wp:posOffset>
            </wp:positionV>
            <wp:extent cx="8890" cy="8255"/>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-1147445</wp:posOffset>
            </wp:positionV>
            <wp:extent cx="8890" cy="8890"/>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-1130300</wp:posOffset>
            </wp:positionV>
            <wp:extent cx="8890" cy="8890"/>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-1113155</wp:posOffset>
            </wp:positionV>
            <wp:extent cx="8890" cy="8890"/>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8890" cy="825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-1078865</wp:posOffset>
            </wp:positionV>
            <wp:extent cx="8890" cy="825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-1061720</wp:posOffset>
            </wp:positionV>
            <wp:extent cx="8890" cy="8890"/>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-1044575</wp:posOffset>
            </wp:positionV>
            <wp:extent cx="8890" cy="8890"/>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-1027430</wp:posOffset>
            </wp:positionV>
            <wp:extent cx="8890" cy="8890"/>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-1010285</wp:posOffset>
            </wp:positionV>
            <wp:extent cx="8890" cy="8890"/>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-993140</wp:posOffset>
            </wp:positionV>
            <wp:extent cx="8890" cy="825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-975995</wp:posOffset>
            </wp:positionV>
            <wp:extent cx="8890" cy="8255"/>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-958850</wp:posOffset>
            </wp:positionV>
            <wp:extent cx="8890" cy="8890"/>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-941705</wp:posOffset>
            </wp:positionV>
            <wp:extent cx="8890" cy="8890"/>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-924560</wp:posOffset>
            </wp:positionV>
            <wp:extent cx="8890" cy="8890"/>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-907415</wp:posOffset>
            </wp:positionV>
            <wp:extent cx="8890" cy="825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-890270</wp:posOffset>
            </wp:positionV>
            <wp:extent cx="8890" cy="8255"/>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-873125</wp:posOffset>
            </wp:positionV>
            <wp:extent cx="8890" cy="8890"/>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-855980</wp:posOffset>
            </wp:positionV>
            <wp:extent cx="8890" cy="8890"/>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-838835</wp:posOffset>
            </wp:positionV>
            <wp:extent cx="8890" cy="8890"/>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-821690</wp:posOffset>
            </wp:positionV>
            <wp:extent cx="8890" cy="8890"/>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8890" cy="8255"/>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8890" cy="8255"/>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8890" cy="8890"/>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-753110</wp:posOffset>
            </wp:positionV>
            <wp:extent cx="8890" cy="8890"/>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-735965</wp:posOffset>
            </wp:positionV>
            <wp:extent cx="8890" cy="825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-718820</wp:posOffset>
            </wp:positionV>
            <wp:extent cx="8890" cy="8255"/>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-701675</wp:posOffset>
            </wp:positionV>
            <wp:extent cx="8890" cy="8890"/>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-684530</wp:posOffset>
            </wp:positionV>
            <wp:extent cx="8890" cy="825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-667385</wp:posOffset>
            </wp:positionV>
            <wp:extent cx="8890" cy="8255"/>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8890" cy="825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8890" cy="825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8890" cy="825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8890" cy="825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-581660</wp:posOffset>
            </wp:positionV>
            <wp:extent cx="8890" cy="8255"/>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-564515</wp:posOffset>
            </wp:positionV>
            <wp:extent cx="8890" cy="825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-547370</wp:posOffset>
            </wp:positionV>
            <wp:extent cx="8890" cy="8255"/>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-530225</wp:posOffset>
            </wp:positionV>
            <wp:extent cx="8890" cy="825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8890" cy="8890"/>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8890" cy="8255"/>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8890" cy="825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8890" cy="8890"/>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8890" cy="825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8890" cy="825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-410210</wp:posOffset>
            </wp:positionV>
            <wp:extent cx="8890" cy="8255"/>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-393065</wp:posOffset>
            </wp:positionV>
            <wp:extent cx="8890" cy="825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8890" cy="825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8890" cy="825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8890" cy="825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8890" cy="8255"/>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8890" cy="8890"/>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8890" cy="8255"/>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wp:posOffset>
            </wp:positionV>
            <wp:extent cx="8890" cy="825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8890" cy="825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8890" cy="8890"/>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8890" cy="825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8890" cy="8255"/>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8890" cy="8890"/>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8890" cy="8890"/>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8890" cy="8255"/>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8890" cy="825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8890" cy="8255"/>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8890" cy="8890"/>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8890" cy="825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8890" cy="8890"/>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8890" cy="8890"/>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8890" cy="8255"/>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Pekerja memahami bahawa Syarikat dan Majikan mungkin memegang maklumat peribadi tertentu tentang Pekerja, termasuk, tetapi tidak terhad kepada, nama Pekerja, alamat rumah dan nombor telefon, almat emal, tarikh lahir, insurans sosial, nombor pasport atau pengenalan lain, gaji, kewarganegaraan, jawatan, apa-apa syer dalam Saham atau jawatan pengarah yang dipegang dalam Syarikat, maklumat berkaitan semua Unit Saham Tertunda atau apa-apa kelayakan lain untuk syer dalam saham yang dianugerahkan, dibatalkan, dilaksanakan, terletak hak, tidak diletak hak ataupun yang belum dijelaskan bagi faedah Pekerja, untuk tujuan eksklusif bagi melaksanakan, mentadbir dan menguruskan Pelan tersebut.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-1962150</wp:posOffset>
            </wp:positionV>
            <wp:extent cx="8255" cy="8890"/>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-1945005</wp:posOffset>
            </wp:positionV>
            <wp:extent cx="8255" cy="8890"/>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-1927860</wp:posOffset>
            </wp:positionV>
            <wp:extent cx="8255" cy="8255"/>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-1910715</wp:posOffset>
            </wp:positionV>
            <wp:extent cx="8255" cy="825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-1893570</wp:posOffset>
            </wp:positionV>
            <wp:extent cx="8255" cy="8255"/>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-1876425</wp:posOffset>
            </wp:positionV>
            <wp:extent cx="8255" cy="8890"/>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-1859280</wp:posOffset>
            </wp:positionV>
            <wp:extent cx="8255" cy="8890"/>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-1842135</wp:posOffset>
            </wp:positionV>
            <wp:extent cx="8255" cy="8255"/>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-1824990</wp:posOffset>
            </wp:positionV>
            <wp:extent cx="8255" cy="825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-1807845</wp:posOffset>
            </wp:positionV>
            <wp:extent cx="8255" cy="825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-1790700</wp:posOffset>
            </wp:positionV>
            <wp:extent cx="8255" cy="8890"/>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-1773555</wp:posOffset>
            </wp:positionV>
            <wp:extent cx="8255" cy="8890"/>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-1756410</wp:posOffset>
            </wp:positionV>
            <wp:extent cx="8255" cy="8255"/>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-1739265</wp:posOffset>
            </wp:positionV>
            <wp:extent cx="8255" cy="825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-1722120</wp:posOffset>
            </wp:positionV>
            <wp:extent cx="8255" cy="825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-1704975</wp:posOffset>
            </wp:positionV>
            <wp:extent cx="8255" cy="8890"/>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-1687830</wp:posOffset>
            </wp:positionV>
            <wp:extent cx="8255" cy="8890"/>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-1670685</wp:posOffset>
            </wp:positionV>
            <wp:extent cx="8255" cy="8255"/>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-1653540</wp:posOffset>
            </wp:positionV>
            <wp:extent cx="8255" cy="8255"/>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-1636395</wp:posOffset>
            </wp:positionV>
            <wp:extent cx="8255" cy="825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-1619250</wp:posOffset>
            </wp:positionV>
            <wp:extent cx="8255" cy="8890"/>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-1602105</wp:posOffset>
            </wp:positionV>
            <wp:extent cx="8255" cy="8890"/>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-1584960</wp:posOffset>
            </wp:positionV>
            <wp:extent cx="8255" cy="8255"/>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-1567815</wp:posOffset>
            </wp:positionV>
            <wp:extent cx="8255" cy="825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-1550670</wp:posOffset>
            </wp:positionV>
            <wp:extent cx="8255" cy="8890"/>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-1533525</wp:posOffset>
            </wp:positionV>
            <wp:extent cx="8255" cy="8890"/>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-1516380</wp:posOffset>
            </wp:positionV>
            <wp:extent cx="8255" cy="825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-1499235</wp:posOffset>
            </wp:positionV>
            <wp:extent cx="8255" cy="8255"/>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-1482090</wp:posOffset>
            </wp:positionV>
            <wp:extent cx="8255" cy="8255"/>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-1464945</wp:posOffset>
            </wp:positionV>
            <wp:extent cx="8255" cy="8890"/>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-1447800</wp:posOffset>
            </wp:positionV>
            <wp:extent cx="8255" cy="8890"/>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-1430655</wp:posOffset>
            </wp:positionV>
            <wp:extent cx="8255" cy="825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-1413510</wp:posOffset>
            </wp:positionV>
            <wp:extent cx="8255" cy="825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-1396365</wp:posOffset>
            </wp:positionV>
            <wp:extent cx="8255" cy="8255"/>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-1379220</wp:posOffset>
            </wp:positionV>
            <wp:extent cx="8255" cy="8890"/>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-1362075</wp:posOffset>
            </wp:positionV>
            <wp:extent cx="8255" cy="8890"/>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-1344930</wp:posOffset>
            </wp:positionV>
            <wp:extent cx="8255" cy="8255"/>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-1327785</wp:posOffset>
            </wp:positionV>
            <wp:extent cx="8255" cy="825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-1310640</wp:posOffset>
            </wp:positionV>
            <wp:extent cx="8255" cy="825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-1293495</wp:posOffset>
            </wp:positionV>
            <wp:extent cx="8255" cy="8890"/>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-1276350</wp:posOffset>
            </wp:positionV>
            <wp:extent cx="8255" cy="8890"/>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-1259205</wp:posOffset>
            </wp:positionV>
            <wp:extent cx="8255" cy="825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-1242060</wp:posOffset>
            </wp:positionV>
            <wp:extent cx="8255" cy="825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-1224915</wp:posOffset>
            </wp:positionV>
            <wp:extent cx="8255" cy="825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-1207770</wp:posOffset>
            </wp:positionV>
            <wp:extent cx="8255" cy="8890"/>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-1190625</wp:posOffset>
            </wp:positionV>
            <wp:extent cx="8255" cy="8890"/>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-1173480</wp:posOffset>
            </wp:positionV>
            <wp:extent cx="8255" cy="825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-1156335</wp:posOffset>
            </wp:positionV>
            <wp:extent cx="8255" cy="825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-1139190</wp:posOffset>
            </wp:positionV>
            <wp:extent cx="8255" cy="8255"/>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-1122045</wp:posOffset>
            </wp:positionV>
            <wp:extent cx="8255" cy="8890"/>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-1104900</wp:posOffset>
            </wp:positionV>
            <wp:extent cx="8255" cy="8890"/>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-1087755</wp:posOffset>
            </wp:positionV>
            <wp:extent cx="8255" cy="825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-1070610</wp:posOffset>
            </wp:positionV>
            <wp:extent cx="8255" cy="825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-1053465</wp:posOffset>
            </wp:positionV>
            <wp:extent cx="8255" cy="8255"/>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-1036320</wp:posOffset>
            </wp:positionV>
            <wp:extent cx="8255" cy="8890"/>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-1019175</wp:posOffset>
            </wp:positionV>
            <wp:extent cx="8255" cy="8890"/>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-1002030</wp:posOffset>
            </wp:positionV>
            <wp:extent cx="8255" cy="825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-984885</wp:posOffset>
            </wp:positionV>
            <wp:extent cx="8255" cy="825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-967740</wp:posOffset>
            </wp:positionV>
            <wp:extent cx="8255" cy="825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-950595</wp:posOffset>
            </wp:positionV>
            <wp:extent cx="8255" cy="8890"/>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-933450</wp:posOffset>
            </wp:positionV>
            <wp:extent cx="8255" cy="8890"/>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-916305</wp:posOffset>
            </wp:positionV>
            <wp:extent cx="8255" cy="825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-899160</wp:posOffset>
            </wp:positionV>
            <wp:extent cx="8255" cy="825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-882015</wp:posOffset>
            </wp:positionV>
            <wp:extent cx="8255" cy="8890"/>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-864870</wp:posOffset>
            </wp:positionV>
            <wp:extent cx="8255" cy="8890"/>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-847725</wp:posOffset>
            </wp:positionV>
            <wp:extent cx="8255" cy="8255"/>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-830580</wp:posOffset>
            </wp:positionV>
            <wp:extent cx="8255" cy="825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-813435</wp:posOffset>
            </wp:positionV>
            <wp:extent cx="8255" cy="825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-796290</wp:posOffset>
            </wp:positionV>
            <wp:extent cx="8255" cy="8890"/>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-779145</wp:posOffset>
            </wp:positionV>
            <wp:extent cx="8255" cy="8890"/>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-762000</wp:posOffset>
            </wp:positionV>
            <wp:extent cx="8255" cy="825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-744855</wp:posOffset>
            </wp:positionV>
            <wp:extent cx="8255" cy="825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-727710</wp:posOffset>
            </wp:positionV>
            <wp:extent cx="8255" cy="8255"/>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-710565</wp:posOffset>
            </wp:positionV>
            <wp:extent cx="8255" cy="8890"/>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-693420</wp:posOffset>
            </wp:positionV>
            <wp:extent cx="8255" cy="8890"/>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-676275</wp:posOffset>
            </wp:positionV>
            <wp:extent cx="8255" cy="825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-659130</wp:posOffset>
            </wp:positionV>
            <wp:extent cx="8255" cy="825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-641985</wp:posOffset>
            </wp:positionV>
            <wp:extent cx="8255" cy="8255"/>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-624840</wp:posOffset>
            </wp:positionV>
            <wp:extent cx="8255" cy="8890"/>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-607695</wp:posOffset>
            </wp:positionV>
            <wp:extent cx="8255" cy="8890"/>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-590550</wp:posOffset>
            </wp:positionV>
            <wp:extent cx="8255" cy="8255"/>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-573405</wp:posOffset>
            </wp:positionV>
            <wp:extent cx="8255" cy="825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-556260</wp:posOffset>
            </wp:positionV>
            <wp:extent cx="8255" cy="825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-539115</wp:posOffset>
            </wp:positionV>
            <wp:extent cx="8255" cy="8890"/>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-521970</wp:posOffset>
            </wp:positionV>
            <wp:extent cx="8255" cy="8890"/>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-504825</wp:posOffset>
            </wp:positionV>
            <wp:extent cx="8255" cy="825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-487680</wp:posOffset>
            </wp:positionV>
            <wp:extent cx="8255" cy="825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-470535</wp:posOffset>
            </wp:positionV>
            <wp:extent cx="8255" cy="825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-453390</wp:posOffset>
            </wp:positionV>
            <wp:extent cx="8255" cy="8890"/>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-436245</wp:posOffset>
            </wp:positionV>
            <wp:extent cx="8255" cy="8890"/>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-419100</wp:posOffset>
            </wp:positionV>
            <wp:extent cx="8255" cy="825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-401955</wp:posOffset>
            </wp:positionV>
            <wp:extent cx="8255" cy="825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-384810</wp:posOffset>
            </wp:positionV>
            <wp:extent cx="8255" cy="8255"/>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-367665</wp:posOffset>
            </wp:positionV>
            <wp:extent cx="8255" cy="8890"/>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-350520</wp:posOffset>
            </wp:positionV>
            <wp:extent cx="8255" cy="8890"/>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-333375</wp:posOffset>
            </wp:positionV>
            <wp:extent cx="8255" cy="825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-316230</wp:posOffset>
            </wp:positionV>
            <wp:extent cx="8255" cy="825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-299085</wp:posOffset>
            </wp:positionV>
            <wp:extent cx="8255" cy="825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-281940</wp:posOffset>
            </wp:positionV>
            <wp:extent cx="8255" cy="8890"/>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-264795</wp:posOffset>
            </wp:positionV>
            <wp:extent cx="8255" cy="8890"/>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-247650</wp:posOffset>
            </wp:positionV>
            <wp:extent cx="8255" cy="825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-230505</wp:posOffset>
            </wp:positionV>
            <wp:extent cx="8255" cy="825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-213360</wp:posOffset>
            </wp:positionV>
            <wp:extent cx="8255" cy="825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-196215</wp:posOffset>
            </wp:positionV>
            <wp:extent cx="8255" cy="8890"/>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-179070</wp:posOffset>
            </wp:positionV>
            <wp:extent cx="8255" cy="8255"/>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-161925</wp:posOffset>
            </wp:positionV>
            <wp:extent cx="8255" cy="825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-144780</wp:posOffset>
            </wp:positionV>
            <wp:extent cx="8255" cy="825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-127635</wp:posOffset>
            </wp:positionV>
            <wp:extent cx="8255" cy="8890"/>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-110490</wp:posOffset>
            </wp:positionV>
            <wp:extent cx="8255" cy="8890"/>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-93345</wp:posOffset>
            </wp:positionV>
            <wp:extent cx="8255" cy="825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-76200</wp:posOffset>
            </wp:positionV>
            <wp:extent cx="8255" cy="825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-59055</wp:posOffset>
            </wp:positionV>
            <wp:extent cx="8255" cy="825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-41910</wp:posOffset>
            </wp:positionV>
            <wp:extent cx="8255" cy="8890"/>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-24765</wp:posOffset>
            </wp:positionV>
            <wp:extent cx="8255" cy="8890"/>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-7620</wp:posOffset>
            </wp:positionV>
            <wp:extent cx="8255" cy="825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8890</wp:posOffset>
            </wp:positionV>
            <wp:extent cx="8255" cy="825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26035</wp:posOffset>
            </wp:positionV>
            <wp:extent cx="8255" cy="825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43180</wp:posOffset>
            </wp:positionV>
            <wp:extent cx="8255" cy="8890"/>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60325</wp:posOffset>
            </wp:positionV>
            <wp:extent cx="8255" cy="8890"/>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77470</wp:posOffset>
            </wp:positionV>
            <wp:extent cx="8255" cy="825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94615</wp:posOffset>
            </wp:positionV>
            <wp:extent cx="8255" cy="825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111760</wp:posOffset>
            </wp:positionV>
            <wp:extent cx="8255" cy="825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-1962150</wp:posOffset>
            </wp:positionV>
            <wp:extent cx="8890" cy="8890"/>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-1945005</wp:posOffset>
            </wp:positionV>
            <wp:extent cx="8890" cy="8890"/>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-1927860</wp:posOffset>
            </wp:positionV>
            <wp:extent cx="8890" cy="825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-1910715</wp:posOffset>
            </wp:positionV>
            <wp:extent cx="8890" cy="825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-1893570</wp:posOffset>
            </wp:positionV>
            <wp:extent cx="8890" cy="825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-1876425</wp:posOffset>
            </wp:positionV>
            <wp:extent cx="8890" cy="8890"/>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-1859280</wp:posOffset>
            </wp:positionV>
            <wp:extent cx="8890" cy="8890"/>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-1842135</wp:posOffset>
            </wp:positionV>
            <wp:extent cx="8890" cy="825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-1824990</wp:posOffset>
            </wp:positionV>
            <wp:extent cx="8890" cy="825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-1807845</wp:posOffset>
            </wp:positionV>
            <wp:extent cx="8890" cy="825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-1790700</wp:posOffset>
            </wp:positionV>
            <wp:extent cx="8890" cy="8890"/>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-1773555</wp:posOffset>
            </wp:positionV>
            <wp:extent cx="8890" cy="8890"/>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-1756410</wp:posOffset>
            </wp:positionV>
            <wp:extent cx="8890" cy="8255"/>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-1739265</wp:posOffset>
            </wp:positionV>
            <wp:extent cx="8890" cy="825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-1722120</wp:posOffset>
            </wp:positionV>
            <wp:extent cx="8890" cy="8255"/>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-1704975</wp:posOffset>
            </wp:positionV>
            <wp:extent cx="8890" cy="8890"/>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-1687830</wp:posOffset>
            </wp:positionV>
            <wp:extent cx="8890" cy="8890"/>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-1670685</wp:posOffset>
            </wp:positionV>
            <wp:extent cx="8890" cy="8255"/>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-1653540</wp:posOffset>
            </wp:positionV>
            <wp:extent cx="8890" cy="825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-1636395</wp:posOffset>
            </wp:positionV>
            <wp:extent cx="8890" cy="8255"/>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-1619250</wp:posOffset>
            </wp:positionV>
            <wp:extent cx="8890" cy="8890"/>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-1602105</wp:posOffset>
            </wp:positionV>
            <wp:extent cx="8890" cy="8890"/>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-1584960</wp:posOffset>
            </wp:positionV>
            <wp:extent cx="8890" cy="8255"/>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-1567815</wp:posOffset>
            </wp:positionV>
            <wp:extent cx="8890" cy="8255"/>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-1550670</wp:posOffset>
            </wp:positionV>
            <wp:extent cx="8890" cy="8890"/>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-1533525</wp:posOffset>
            </wp:positionV>
            <wp:extent cx="8890" cy="8890"/>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-1516380</wp:posOffset>
            </wp:positionV>
            <wp:extent cx="8890" cy="8255"/>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-1499235</wp:posOffset>
            </wp:positionV>
            <wp:extent cx="8890" cy="8255"/>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-1482090</wp:posOffset>
            </wp:positionV>
            <wp:extent cx="8890" cy="8255"/>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-1464945</wp:posOffset>
            </wp:positionV>
            <wp:extent cx="8890" cy="8890"/>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-1447800</wp:posOffset>
            </wp:positionV>
            <wp:extent cx="8890" cy="8890"/>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-1430655</wp:posOffset>
            </wp:positionV>
            <wp:extent cx="8890" cy="8255"/>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-1413510</wp:posOffset>
            </wp:positionV>
            <wp:extent cx="8890" cy="825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-1396365</wp:posOffset>
            </wp:positionV>
            <wp:extent cx="8890" cy="8255"/>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-1379220</wp:posOffset>
            </wp:positionV>
            <wp:extent cx="8890" cy="8890"/>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-1362075</wp:posOffset>
            </wp:positionV>
            <wp:extent cx="8890" cy="8890"/>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-1344930</wp:posOffset>
            </wp:positionV>
            <wp:extent cx="8890" cy="825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-1327785</wp:posOffset>
            </wp:positionV>
            <wp:extent cx="8890" cy="825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-1310640</wp:posOffset>
            </wp:positionV>
            <wp:extent cx="8890" cy="8255"/>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-1293495</wp:posOffset>
            </wp:positionV>
            <wp:extent cx="8890" cy="8890"/>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-1276350</wp:posOffset>
            </wp:positionV>
            <wp:extent cx="8890" cy="8890"/>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-1259205</wp:posOffset>
            </wp:positionV>
            <wp:extent cx="8890" cy="825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-1242060</wp:posOffset>
            </wp:positionV>
            <wp:extent cx="8890" cy="825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-1224915</wp:posOffset>
            </wp:positionV>
            <wp:extent cx="8890" cy="8255"/>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-1207770</wp:posOffset>
            </wp:positionV>
            <wp:extent cx="8890" cy="8890"/>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-1190625</wp:posOffset>
            </wp:positionV>
            <wp:extent cx="8890" cy="8890"/>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-1173480</wp:posOffset>
            </wp:positionV>
            <wp:extent cx="8890" cy="825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-1156335</wp:posOffset>
            </wp:positionV>
            <wp:extent cx="8890" cy="8255"/>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-1139190</wp:posOffset>
            </wp:positionV>
            <wp:extent cx="8890" cy="8255"/>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-1122045</wp:posOffset>
            </wp:positionV>
            <wp:extent cx="8890" cy="8890"/>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-1104900</wp:posOffset>
            </wp:positionV>
            <wp:extent cx="8890" cy="8890"/>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-1087755</wp:posOffset>
            </wp:positionV>
            <wp:extent cx="8890" cy="8255"/>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-1070610</wp:posOffset>
            </wp:positionV>
            <wp:extent cx="8890" cy="8255"/>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-1053465</wp:posOffset>
            </wp:positionV>
            <wp:extent cx="8890" cy="8255"/>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-1036320</wp:posOffset>
            </wp:positionV>
            <wp:extent cx="8890" cy="8890"/>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-1019175</wp:posOffset>
            </wp:positionV>
            <wp:extent cx="8890" cy="8890"/>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-1002030</wp:posOffset>
            </wp:positionV>
            <wp:extent cx="8890" cy="825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-984885</wp:posOffset>
            </wp:positionV>
            <wp:extent cx="8890" cy="8255"/>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-967740</wp:posOffset>
            </wp:positionV>
            <wp:extent cx="8890" cy="8255"/>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-950595</wp:posOffset>
            </wp:positionV>
            <wp:extent cx="8890" cy="8890"/>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-933450</wp:posOffset>
            </wp:positionV>
            <wp:extent cx="8890" cy="8890"/>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-916305</wp:posOffset>
            </wp:positionV>
            <wp:extent cx="8890" cy="8255"/>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-899160</wp:posOffset>
            </wp:positionV>
            <wp:extent cx="8890" cy="8255"/>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-882015</wp:posOffset>
            </wp:positionV>
            <wp:extent cx="8890" cy="8890"/>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-864870</wp:posOffset>
            </wp:positionV>
            <wp:extent cx="8890" cy="8890"/>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-847725</wp:posOffset>
            </wp:positionV>
            <wp:extent cx="8890" cy="8255"/>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-830580</wp:posOffset>
            </wp:positionV>
            <wp:extent cx="8890" cy="8255"/>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-813435</wp:posOffset>
            </wp:positionV>
            <wp:extent cx="8890" cy="8255"/>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-796290</wp:posOffset>
            </wp:positionV>
            <wp:extent cx="8890" cy="8890"/>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-779145</wp:posOffset>
            </wp:positionV>
            <wp:extent cx="8890" cy="8890"/>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-762000</wp:posOffset>
            </wp:positionV>
            <wp:extent cx="8890" cy="8255"/>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-744855</wp:posOffset>
            </wp:positionV>
            <wp:extent cx="8890" cy="8255"/>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-727710</wp:posOffset>
            </wp:positionV>
            <wp:extent cx="8890" cy="8255"/>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-710565</wp:posOffset>
            </wp:positionV>
            <wp:extent cx="8890" cy="8890"/>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-693420</wp:posOffset>
            </wp:positionV>
            <wp:extent cx="8890" cy="8890"/>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-676275</wp:posOffset>
            </wp:positionV>
            <wp:extent cx="8890" cy="8255"/>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-659130</wp:posOffset>
            </wp:positionV>
            <wp:extent cx="8890" cy="8255"/>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-641985</wp:posOffset>
            </wp:positionV>
            <wp:extent cx="8890" cy="8255"/>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-624840</wp:posOffset>
            </wp:positionV>
            <wp:extent cx="8890" cy="8890"/>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-607695</wp:posOffset>
            </wp:positionV>
            <wp:extent cx="8890" cy="8890"/>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-590550</wp:posOffset>
            </wp:positionV>
            <wp:extent cx="8890" cy="8255"/>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-573405</wp:posOffset>
            </wp:positionV>
            <wp:extent cx="8890" cy="8255"/>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-556260</wp:posOffset>
            </wp:positionV>
            <wp:extent cx="8890" cy="8255"/>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-539115</wp:posOffset>
            </wp:positionV>
            <wp:extent cx="8890" cy="8890"/>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-521970</wp:posOffset>
            </wp:positionV>
            <wp:extent cx="8890" cy="8890"/>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-504825</wp:posOffset>
            </wp:positionV>
            <wp:extent cx="8890" cy="8255"/>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-487680</wp:posOffset>
            </wp:positionV>
            <wp:extent cx="8890" cy="825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-470535</wp:posOffset>
            </wp:positionV>
            <wp:extent cx="8890" cy="8255"/>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-453390</wp:posOffset>
            </wp:positionV>
            <wp:extent cx="8890" cy="8890"/>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-436245</wp:posOffset>
            </wp:positionV>
            <wp:extent cx="8890" cy="8890"/>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-419100</wp:posOffset>
            </wp:positionV>
            <wp:extent cx="8890" cy="8255"/>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-401955</wp:posOffset>
            </wp:positionV>
            <wp:extent cx="8890" cy="8255"/>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-384810</wp:posOffset>
            </wp:positionV>
            <wp:extent cx="8890" cy="8255"/>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-367665</wp:posOffset>
            </wp:positionV>
            <wp:extent cx="8890" cy="8890"/>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-350520</wp:posOffset>
            </wp:positionV>
            <wp:extent cx="8890" cy="8890"/>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-333375</wp:posOffset>
            </wp:positionV>
            <wp:extent cx="8890" cy="8255"/>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-316230</wp:posOffset>
            </wp:positionV>
            <wp:extent cx="8890" cy="8255"/>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-299085</wp:posOffset>
            </wp:positionV>
            <wp:extent cx="8890" cy="8255"/>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-281940</wp:posOffset>
            </wp:positionV>
            <wp:extent cx="8890" cy="8890"/>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-264795</wp:posOffset>
            </wp:positionV>
            <wp:extent cx="8890" cy="8890"/>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-247650</wp:posOffset>
            </wp:positionV>
            <wp:extent cx="8890" cy="8255"/>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-230505</wp:posOffset>
            </wp:positionV>
            <wp:extent cx="8890" cy="8255"/>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-213360</wp:posOffset>
            </wp:positionV>
            <wp:extent cx="8890" cy="8255"/>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-196215</wp:posOffset>
            </wp:positionV>
            <wp:extent cx="8890" cy="8890"/>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-179070</wp:posOffset>
            </wp:positionV>
            <wp:extent cx="8890" cy="8255"/>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-161925</wp:posOffset>
            </wp:positionV>
            <wp:extent cx="8890" cy="8255"/>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-144780</wp:posOffset>
            </wp:positionV>
            <wp:extent cx="8890" cy="8255"/>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-127635</wp:posOffset>
            </wp:positionV>
            <wp:extent cx="8890" cy="8890"/>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-110490</wp:posOffset>
            </wp:positionV>
            <wp:extent cx="8890" cy="8890"/>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-93345</wp:posOffset>
            </wp:positionV>
            <wp:extent cx="8890" cy="8255"/>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-76200</wp:posOffset>
            </wp:positionV>
            <wp:extent cx="8890" cy="8255"/>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-59055</wp:posOffset>
            </wp:positionV>
            <wp:extent cx="8890" cy="8255"/>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-41910</wp:posOffset>
            </wp:positionV>
            <wp:extent cx="8890" cy="8890"/>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-24765</wp:posOffset>
            </wp:positionV>
            <wp:extent cx="8890" cy="8890"/>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-7620</wp:posOffset>
            </wp:positionV>
            <wp:extent cx="8890" cy="8255"/>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8890</wp:posOffset>
            </wp:positionV>
            <wp:extent cx="8890" cy="8255"/>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26035</wp:posOffset>
            </wp:positionV>
            <wp:extent cx="8890" cy="8255"/>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43180</wp:posOffset>
            </wp:positionV>
            <wp:extent cx="8890" cy="8890"/>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60325</wp:posOffset>
            </wp:positionV>
            <wp:extent cx="8890" cy="8890"/>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77470</wp:posOffset>
            </wp:positionV>
            <wp:extent cx="8890" cy="8255"/>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94615</wp:posOffset>
            </wp:positionV>
            <wp:extent cx="8890" cy="8255"/>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111760</wp:posOffset>
            </wp:positionV>
            <wp:extent cx="8890" cy="8255"/>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70"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Pekerja memahami bahawa Data tersebut akan dipindahkan ke Morgan Stanley Smith Barney, LLC (“Morgan Stanley”) atau pembekal perkhidmatan pelan saham lain yang mungkin dipilih oleh Syarikat pada masa hadapan, yang membantu Syarikat melaksanakan, mentadbir dan menguruskan Pelan tersebut. Pekerja memahami bahawa Data juga mungkin dipindahkan kepada firma akauntansi awam berdaftar bebas Syarikat, PricewaterhouseCoopers LLP, atau firma akauntansi awam lain yang mungkin digunakan oleh Syarikat pada masa hadapan. Pekerja turut memahami bahawa penerima Data mungkin berada di Amerika Syarikat atau negara lain dan negara asal penerima Data (contohnya, Amerika Syarikat) mungkin mempunyai undang-undang data peribadi serta perlindungan yang berbeza daripada negara asal Pekerja. Pekerja memahami bahawa Pekerja boleh meminta satu senarai yang mengandungi nama dan alamat penerima-penerima Data yang berpotensi dengan menghubungi wakil sumber manusia tempatan Pekerja di Mondelez Malaysia Sales Sdn Bhd, Lot 9.01 Level 9, 1 First Avenue, 2A, Dataran Bandar Utama, Bandar Utama Damasara, 47800 Petaling Jaya, Selangor, Malaysia.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-3021330</wp:posOffset>
            </wp:positionV>
            <wp:extent cx="8255" cy="8890"/>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-3004185</wp:posOffset>
            </wp:positionV>
            <wp:extent cx="8255" cy="8890"/>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-2987040</wp:posOffset>
            </wp:positionV>
            <wp:extent cx="8255" cy="8890"/>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-2969895</wp:posOffset>
            </wp:positionV>
            <wp:extent cx="8255" cy="8255"/>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-2952750</wp:posOffset>
            </wp:positionV>
            <wp:extent cx="8255" cy="8890"/>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-2935605</wp:posOffset>
            </wp:positionV>
            <wp:extent cx="8255" cy="8890"/>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-2918460</wp:posOffset>
            </wp:positionV>
            <wp:extent cx="8255" cy="8890"/>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-2901315</wp:posOffset>
            </wp:positionV>
            <wp:extent cx="8255" cy="8890"/>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-2884170</wp:posOffset>
            </wp:positionV>
            <wp:extent cx="8255" cy="8255"/>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-2867025</wp:posOffset>
            </wp:positionV>
            <wp:extent cx="8255" cy="8890"/>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-2849880</wp:posOffset>
            </wp:positionV>
            <wp:extent cx="8255" cy="8255"/>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-2832735</wp:posOffset>
            </wp:positionV>
            <wp:extent cx="8255" cy="8890"/>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-2815590</wp:posOffset>
            </wp:positionV>
            <wp:extent cx="8255" cy="8890"/>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-2798445</wp:posOffset>
            </wp:positionV>
            <wp:extent cx="8255" cy="8890"/>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-2781300</wp:posOffset>
            </wp:positionV>
            <wp:extent cx="8255" cy="8890"/>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-2764155</wp:posOffset>
            </wp:positionV>
            <wp:extent cx="8255" cy="8255"/>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-2747010</wp:posOffset>
            </wp:positionV>
            <wp:extent cx="8255" cy="8890"/>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-2729865</wp:posOffset>
            </wp:positionV>
            <wp:extent cx="8255" cy="8890"/>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-2712720</wp:posOffset>
            </wp:positionV>
            <wp:extent cx="8255" cy="8890"/>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-2695575</wp:posOffset>
            </wp:positionV>
            <wp:extent cx="8255" cy="8890"/>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-2678430</wp:posOffset>
            </wp:positionV>
            <wp:extent cx="8255" cy="8255"/>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-2661285</wp:posOffset>
            </wp:positionV>
            <wp:extent cx="8255" cy="8890"/>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-2644140</wp:posOffset>
            </wp:positionV>
            <wp:extent cx="8255" cy="8890"/>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-2626995</wp:posOffset>
            </wp:positionV>
            <wp:extent cx="8255" cy="8890"/>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-2609850</wp:posOffset>
            </wp:positionV>
            <wp:extent cx="8255" cy="8890"/>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-2592705</wp:posOffset>
            </wp:positionV>
            <wp:extent cx="8255" cy="8255"/>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-2575560</wp:posOffset>
            </wp:positionV>
            <wp:extent cx="8255" cy="8890"/>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-2558415</wp:posOffset>
            </wp:positionV>
            <wp:extent cx="8255" cy="8890"/>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-2541270</wp:posOffset>
            </wp:positionV>
            <wp:extent cx="8255" cy="8890"/>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-2524125</wp:posOffset>
            </wp:positionV>
            <wp:extent cx="8255" cy="8890"/>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-2506980</wp:posOffset>
            </wp:positionV>
            <wp:extent cx="8255" cy="8255"/>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-2489835</wp:posOffset>
            </wp:positionV>
            <wp:extent cx="8255" cy="8890"/>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-2472690</wp:posOffset>
            </wp:positionV>
            <wp:extent cx="8255" cy="8255"/>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-2455545</wp:posOffset>
            </wp:positionV>
            <wp:extent cx="8255" cy="8890"/>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-2438400</wp:posOffset>
            </wp:positionV>
            <wp:extent cx="8255" cy="8890"/>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-2421255</wp:posOffset>
            </wp:positionV>
            <wp:extent cx="8255" cy="8890"/>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-2404110</wp:posOffset>
            </wp:positionV>
            <wp:extent cx="8255" cy="8890"/>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-2386965</wp:posOffset>
            </wp:positionV>
            <wp:extent cx="8255" cy="8255"/>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-2369820</wp:posOffset>
            </wp:positionV>
            <wp:extent cx="8255" cy="8890"/>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-2352675</wp:posOffset>
            </wp:positionV>
            <wp:extent cx="8255" cy="8890"/>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-2335530</wp:posOffset>
            </wp:positionV>
            <wp:extent cx="8255" cy="8890"/>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-2318385</wp:posOffset>
            </wp:positionV>
            <wp:extent cx="8255" cy="8890"/>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-2301240</wp:posOffset>
            </wp:positionV>
            <wp:extent cx="8255" cy="8255"/>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-2284095</wp:posOffset>
            </wp:positionV>
            <wp:extent cx="8255" cy="8890"/>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-2266950</wp:posOffset>
            </wp:positionV>
            <wp:extent cx="8255" cy="8890"/>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-2249805</wp:posOffset>
            </wp:positionV>
            <wp:extent cx="8255" cy="8890"/>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-2232660</wp:posOffset>
            </wp:positionV>
            <wp:extent cx="8255" cy="8890"/>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-2215515</wp:posOffset>
            </wp:positionV>
            <wp:extent cx="8255" cy="8255"/>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-2198370</wp:posOffset>
            </wp:positionV>
            <wp:extent cx="8255" cy="8890"/>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-2181225</wp:posOffset>
            </wp:positionV>
            <wp:extent cx="8255" cy="8890"/>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-2164080</wp:posOffset>
            </wp:positionV>
            <wp:extent cx="8255" cy="8890"/>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-2146935</wp:posOffset>
            </wp:positionV>
            <wp:extent cx="8255" cy="8890"/>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-2129790</wp:posOffset>
            </wp:positionV>
            <wp:extent cx="8255" cy="8890"/>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-2112645</wp:posOffset>
            </wp:positionV>
            <wp:extent cx="8255" cy="8890"/>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-2095500</wp:posOffset>
            </wp:positionV>
            <wp:extent cx="8255" cy="8255"/>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-2078355</wp:posOffset>
            </wp:positionV>
            <wp:extent cx="8255" cy="8890"/>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-2061210</wp:posOffset>
            </wp:positionV>
            <wp:extent cx="8255" cy="8890"/>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-2044065</wp:posOffset>
            </wp:positionV>
            <wp:extent cx="8255" cy="8890"/>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-2026920</wp:posOffset>
            </wp:positionV>
            <wp:extent cx="8255" cy="8890"/>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-2009775</wp:posOffset>
            </wp:positionV>
            <wp:extent cx="8255" cy="8255"/>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-1992630</wp:posOffset>
            </wp:positionV>
            <wp:extent cx="8255" cy="8890"/>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-1975485</wp:posOffset>
            </wp:positionV>
            <wp:extent cx="8255" cy="8890"/>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-1958340</wp:posOffset>
            </wp:positionV>
            <wp:extent cx="8255" cy="8890"/>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-1941195</wp:posOffset>
            </wp:positionV>
            <wp:extent cx="8255" cy="8890"/>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-1924050</wp:posOffset>
            </wp:positionV>
            <wp:extent cx="8255" cy="8255"/>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-1906905</wp:posOffset>
            </wp:positionV>
            <wp:extent cx="8255" cy="8890"/>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-1889760</wp:posOffset>
            </wp:positionV>
            <wp:extent cx="8255" cy="8890"/>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-1872615</wp:posOffset>
            </wp:positionV>
            <wp:extent cx="8255" cy="8890"/>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-1855470</wp:posOffset>
            </wp:positionV>
            <wp:extent cx="8255" cy="8890"/>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-1838325</wp:posOffset>
            </wp:positionV>
            <wp:extent cx="8255" cy="8255"/>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-1821180</wp:posOffset>
            </wp:positionV>
            <wp:extent cx="8255" cy="8890"/>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-1804035</wp:posOffset>
            </wp:positionV>
            <wp:extent cx="8255" cy="8255"/>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-1786890</wp:posOffset>
            </wp:positionV>
            <wp:extent cx="8255" cy="8890"/>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-1769745</wp:posOffset>
            </wp:positionV>
            <wp:extent cx="8255" cy="8890"/>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-1752600</wp:posOffset>
            </wp:positionV>
            <wp:extent cx="8255" cy="8890"/>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-1735455</wp:posOffset>
            </wp:positionV>
            <wp:extent cx="8255" cy="8890"/>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-1718310</wp:posOffset>
            </wp:positionV>
            <wp:extent cx="8255" cy="8255"/>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-1701165</wp:posOffset>
            </wp:positionV>
            <wp:extent cx="8255" cy="8890"/>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-1684020</wp:posOffset>
            </wp:positionV>
            <wp:extent cx="8255" cy="8890"/>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-1666875</wp:posOffset>
            </wp:positionV>
            <wp:extent cx="8255" cy="8890"/>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-1649730</wp:posOffset>
            </wp:positionV>
            <wp:extent cx="8255" cy="8890"/>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-1632585</wp:posOffset>
            </wp:positionV>
            <wp:extent cx="8255" cy="8255"/>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-1615440</wp:posOffset>
            </wp:positionV>
            <wp:extent cx="8255" cy="8890"/>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-1598295</wp:posOffset>
            </wp:positionV>
            <wp:extent cx="8255" cy="8890"/>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-1581150</wp:posOffset>
            </wp:positionV>
            <wp:extent cx="8255" cy="8890"/>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-1564005</wp:posOffset>
            </wp:positionV>
            <wp:extent cx="8255" cy="8890"/>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-1546860</wp:posOffset>
            </wp:positionV>
            <wp:extent cx="8255" cy="8255"/>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-1529715</wp:posOffset>
            </wp:positionV>
            <wp:extent cx="8255" cy="8890"/>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-1512570</wp:posOffset>
            </wp:positionV>
            <wp:extent cx="8255" cy="8890"/>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-1495425</wp:posOffset>
            </wp:positionV>
            <wp:extent cx="8255" cy="8890"/>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-1478280</wp:posOffset>
            </wp:positionV>
            <wp:extent cx="8255" cy="8890"/>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-1461135</wp:posOffset>
            </wp:positionV>
            <wp:extent cx="8255" cy="8890"/>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-1443990</wp:posOffset>
            </wp:positionV>
            <wp:extent cx="8255" cy="8890"/>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-1426845</wp:posOffset>
            </wp:positionV>
            <wp:extent cx="8255" cy="8255"/>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-1409700</wp:posOffset>
            </wp:positionV>
            <wp:extent cx="8255" cy="8890"/>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-1392555</wp:posOffset>
            </wp:positionV>
            <wp:extent cx="8255" cy="8255"/>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-1375410</wp:posOffset>
            </wp:positionV>
            <wp:extent cx="8255" cy="8255"/>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-1358265</wp:posOffset>
            </wp:positionV>
            <wp:extent cx="8255" cy="8890"/>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-1341120</wp:posOffset>
            </wp:positionV>
            <wp:extent cx="8255" cy="8890"/>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-1323975</wp:posOffset>
            </wp:positionV>
            <wp:extent cx="8255" cy="8890"/>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-1306830</wp:posOffset>
            </wp:positionV>
            <wp:extent cx="8255" cy="8255"/>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-1289685</wp:posOffset>
            </wp:positionV>
            <wp:extent cx="8255" cy="8255"/>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-1272540</wp:posOffset>
            </wp:positionV>
            <wp:extent cx="8255" cy="8890"/>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-1255395</wp:posOffset>
            </wp:positionV>
            <wp:extent cx="8255" cy="8890"/>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-1238250</wp:posOffset>
            </wp:positionV>
            <wp:extent cx="8255" cy="8890"/>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-1221105</wp:posOffset>
            </wp:positionV>
            <wp:extent cx="8255" cy="8255"/>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-1203960</wp:posOffset>
            </wp:positionV>
            <wp:extent cx="8255" cy="8255"/>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-1186815</wp:posOffset>
            </wp:positionV>
            <wp:extent cx="8255" cy="8255"/>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-1169670</wp:posOffset>
            </wp:positionV>
            <wp:extent cx="8255" cy="8890"/>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-1152525</wp:posOffset>
            </wp:positionV>
            <wp:extent cx="8255" cy="8890"/>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-1135380</wp:posOffset>
            </wp:positionV>
            <wp:extent cx="8255" cy="8890"/>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-1118235</wp:posOffset>
            </wp:positionV>
            <wp:extent cx="8255" cy="8255"/>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-1101090</wp:posOffset>
            </wp:positionV>
            <wp:extent cx="8255" cy="8255"/>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-1083945</wp:posOffset>
            </wp:positionV>
            <wp:extent cx="8255" cy="8890"/>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-1066800</wp:posOffset>
            </wp:positionV>
            <wp:extent cx="8255" cy="8890"/>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-1049655</wp:posOffset>
            </wp:positionV>
            <wp:extent cx="8255" cy="8890"/>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-1032510</wp:posOffset>
            </wp:positionV>
            <wp:extent cx="8255" cy="8890"/>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-1015365</wp:posOffset>
            </wp:positionV>
            <wp:extent cx="8255" cy="8255"/>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-998220</wp:posOffset>
            </wp:positionV>
            <wp:extent cx="8255" cy="8255"/>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-981075</wp:posOffset>
            </wp:positionV>
            <wp:extent cx="8255" cy="8890"/>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-963930</wp:posOffset>
            </wp:positionV>
            <wp:extent cx="8255" cy="8890"/>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-946785</wp:posOffset>
            </wp:positionV>
            <wp:extent cx="8255" cy="8890"/>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-929640</wp:posOffset>
            </wp:positionV>
            <wp:extent cx="8255" cy="8255"/>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-912495</wp:posOffset>
            </wp:positionV>
            <wp:extent cx="8255" cy="8255"/>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-895350</wp:posOffset>
            </wp:positionV>
            <wp:extent cx="8255" cy="8890"/>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-878205</wp:posOffset>
            </wp:positionV>
            <wp:extent cx="8255" cy="8890"/>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-861060</wp:posOffset>
            </wp:positionV>
            <wp:extent cx="8255" cy="8890"/>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-843915</wp:posOffset>
            </wp:positionV>
            <wp:extent cx="8255" cy="8890"/>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-826770</wp:posOffset>
            </wp:positionV>
            <wp:extent cx="8255" cy="8255"/>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-809625</wp:posOffset>
            </wp:positionV>
            <wp:extent cx="8255" cy="8255"/>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-792480</wp:posOffset>
            </wp:positionV>
            <wp:extent cx="8255" cy="8890"/>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-775335</wp:posOffset>
            </wp:positionV>
            <wp:extent cx="8255" cy="8890"/>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-758190</wp:posOffset>
            </wp:positionV>
            <wp:extent cx="8255" cy="8890"/>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-741045</wp:posOffset>
            </wp:positionV>
            <wp:extent cx="8255" cy="8255"/>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-723900</wp:posOffset>
            </wp:positionV>
            <wp:extent cx="8255" cy="8255"/>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-706755</wp:posOffset>
            </wp:positionV>
            <wp:extent cx="8255" cy="8890"/>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-689610</wp:posOffset>
            </wp:positionV>
            <wp:extent cx="8255" cy="8890"/>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-672465</wp:posOffset>
            </wp:positionV>
            <wp:extent cx="8255" cy="8890"/>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-655320</wp:posOffset>
            </wp:positionV>
            <wp:extent cx="8255" cy="8890"/>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-638175</wp:posOffset>
            </wp:positionV>
            <wp:extent cx="8255" cy="8255"/>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-621030</wp:posOffset>
            </wp:positionV>
            <wp:extent cx="8255" cy="8255"/>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-603885</wp:posOffset>
            </wp:positionV>
            <wp:extent cx="8255" cy="8890"/>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-586740</wp:posOffset>
            </wp:positionV>
            <wp:extent cx="8255" cy="8890"/>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-569595</wp:posOffset>
            </wp:positionV>
            <wp:extent cx="8255" cy="8255"/>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-552450</wp:posOffset>
            </wp:positionV>
            <wp:extent cx="8255" cy="8255"/>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-535305</wp:posOffset>
            </wp:positionV>
            <wp:extent cx="8255" cy="8890"/>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-518160</wp:posOffset>
            </wp:positionV>
            <wp:extent cx="8255" cy="8255"/>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-501015</wp:posOffset>
            </wp:positionV>
            <wp:extent cx="8255" cy="8255"/>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-483870</wp:posOffset>
            </wp:positionV>
            <wp:extent cx="8255" cy="8255"/>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-466725</wp:posOffset>
            </wp:positionV>
            <wp:extent cx="8255" cy="8255"/>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-449580</wp:posOffset>
            </wp:positionV>
            <wp:extent cx="8255" cy="8255"/>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-432435</wp:posOffset>
            </wp:positionV>
            <wp:extent cx="8255" cy="8255"/>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-415290</wp:posOffset>
            </wp:positionV>
            <wp:extent cx="8255" cy="8255"/>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-398145</wp:posOffset>
            </wp:positionV>
            <wp:extent cx="8255" cy="8255"/>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-381000</wp:posOffset>
            </wp:positionV>
            <wp:extent cx="8255" cy="8255"/>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4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-363855</wp:posOffset>
            </wp:positionV>
            <wp:extent cx="8255" cy="8255"/>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-346710</wp:posOffset>
            </wp:positionV>
            <wp:extent cx="8255" cy="8890"/>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-329565</wp:posOffset>
            </wp:positionV>
            <wp:extent cx="8255" cy="8255"/>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-312420</wp:posOffset>
            </wp:positionV>
            <wp:extent cx="8255" cy="8255"/>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-295275</wp:posOffset>
            </wp:positionV>
            <wp:extent cx="8255" cy="8890"/>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-278130</wp:posOffset>
            </wp:positionV>
            <wp:extent cx="8255" cy="8255"/>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-260985</wp:posOffset>
            </wp:positionV>
            <wp:extent cx="8255" cy="8255"/>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-243840</wp:posOffset>
            </wp:positionV>
            <wp:extent cx="8255" cy="8255"/>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-226695</wp:posOffset>
            </wp:positionV>
            <wp:extent cx="8255" cy="8255"/>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-209550</wp:posOffset>
            </wp:positionV>
            <wp:extent cx="8255" cy="8255"/>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-192405</wp:posOffset>
            </wp:positionV>
            <wp:extent cx="8255" cy="8255"/>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-175260</wp:posOffset>
            </wp:positionV>
            <wp:extent cx="8255" cy="8255"/>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-158115</wp:posOffset>
            </wp:positionV>
            <wp:extent cx="8255" cy="8255"/>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-140970</wp:posOffset>
            </wp:positionV>
            <wp:extent cx="8255" cy="8890"/>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-123825</wp:posOffset>
            </wp:positionV>
            <wp:extent cx="8255" cy="8255"/>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-106680</wp:posOffset>
            </wp:positionV>
            <wp:extent cx="8255" cy="8255"/>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-89535</wp:posOffset>
            </wp:positionV>
            <wp:extent cx="8255" cy="8255"/>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-72390</wp:posOffset>
            </wp:positionV>
            <wp:extent cx="8255" cy="8890"/>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-55245</wp:posOffset>
            </wp:positionV>
            <wp:extent cx="8255" cy="8255"/>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-38100</wp:posOffset>
            </wp:positionV>
            <wp:extent cx="8255" cy="8255"/>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-20955</wp:posOffset>
            </wp:positionV>
            <wp:extent cx="8255" cy="8890"/>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-3810</wp:posOffset>
            </wp:positionV>
            <wp:extent cx="8255" cy="8890"/>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12700</wp:posOffset>
            </wp:positionV>
            <wp:extent cx="8255" cy="8255"/>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29845</wp:posOffset>
            </wp:positionV>
            <wp:extent cx="8255" cy="8255"/>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46990</wp:posOffset>
            </wp:positionV>
            <wp:extent cx="8255" cy="8255"/>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64135</wp:posOffset>
            </wp:positionV>
            <wp:extent cx="8255" cy="8890"/>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81280</wp:posOffset>
            </wp:positionV>
            <wp:extent cx="8255" cy="8255"/>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98425</wp:posOffset>
            </wp:positionV>
            <wp:extent cx="8255" cy="8890"/>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115570</wp:posOffset>
            </wp:positionV>
            <wp:extent cx="8255" cy="8890"/>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132715</wp:posOffset>
            </wp:positionV>
            <wp:extent cx="8255" cy="8255"/>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-3021330</wp:posOffset>
            </wp:positionV>
            <wp:extent cx="8890" cy="8890"/>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-3004185</wp:posOffset>
            </wp:positionV>
            <wp:extent cx="8890" cy="8890"/>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-2987040</wp:posOffset>
            </wp:positionV>
            <wp:extent cx="8890" cy="8890"/>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-2969895</wp:posOffset>
            </wp:positionV>
            <wp:extent cx="8890" cy="8255"/>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-2952750</wp:posOffset>
            </wp:positionV>
            <wp:extent cx="8890" cy="8890"/>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-2935605</wp:posOffset>
            </wp:positionV>
            <wp:extent cx="8890" cy="8890"/>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-2918460</wp:posOffset>
            </wp:positionV>
            <wp:extent cx="8890" cy="8890"/>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-2901315</wp:posOffset>
            </wp:positionV>
            <wp:extent cx="8890" cy="8890"/>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-2884170</wp:posOffset>
            </wp:positionV>
            <wp:extent cx="8890" cy="8255"/>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-2867025</wp:posOffset>
            </wp:positionV>
            <wp:extent cx="8890" cy="8890"/>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-2849880</wp:posOffset>
            </wp:positionV>
            <wp:extent cx="8890" cy="8255"/>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-2832735</wp:posOffset>
            </wp:positionV>
            <wp:extent cx="8890" cy="8890"/>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-2815590</wp:posOffset>
            </wp:positionV>
            <wp:extent cx="8890" cy="8890"/>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-2798445</wp:posOffset>
            </wp:positionV>
            <wp:extent cx="8890" cy="8890"/>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-2781300</wp:posOffset>
            </wp:positionV>
            <wp:extent cx="8890" cy="8890"/>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-2764155</wp:posOffset>
            </wp:positionV>
            <wp:extent cx="8890" cy="8255"/>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-2747010</wp:posOffset>
            </wp:positionV>
            <wp:extent cx="8890" cy="8890"/>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-2729865</wp:posOffset>
            </wp:positionV>
            <wp:extent cx="8890" cy="8890"/>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-2712720</wp:posOffset>
            </wp:positionV>
            <wp:extent cx="8890" cy="8890"/>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-2695575</wp:posOffset>
            </wp:positionV>
            <wp:extent cx="8890" cy="8890"/>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-2678430</wp:posOffset>
            </wp:positionV>
            <wp:extent cx="8890" cy="8255"/>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-2661285</wp:posOffset>
            </wp:positionV>
            <wp:extent cx="8890" cy="8890"/>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-2644140</wp:posOffset>
            </wp:positionV>
            <wp:extent cx="8890" cy="8890"/>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-2626995</wp:posOffset>
            </wp:positionV>
            <wp:extent cx="8890" cy="8890"/>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-2609850</wp:posOffset>
            </wp:positionV>
            <wp:extent cx="8890" cy="8890"/>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-2592705</wp:posOffset>
            </wp:positionV>
            <wp:extent cx="8890" cy="8255"/>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-2575560</wp:posOffset>
            </wp:positionV>
            <wp:extent cx="8890" cy="8890"/>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-2558415</wp:posOffset>
            </wp:positionV>
            <wp:extent cx="8890" cy="8890"/>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-2541270</wp:posOffset>
            </wp:positionV>
            <wp:extent cx="8890" cy="8890"/>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-2524125</wp:posOffset>
            </wp:positionV>
            <wp:extent cx="8890" cy="8890"/>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-2506980</wp:posOffset>
            </wp:positionV>
            <wp:extent cx="8890" cy="8255"/>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-2489835</wp:posOffset>
            </wp:positionV>
            <wp:extent cx="8890" cy="8890"/>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-2472690</wp:posOffset>
            </wp:positionV>
            <wp:extent cx="8890" cy="8255"/>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-2455545</wp:posOffset>
            </wp:positionV>
            <wp:extent cx="8890" cy="8890"/>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-2438400</wp:posOffset>
            </wp:positionV>
            <wp:extent cx="8890" cy="8890"/>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-2421255</wp:posOffset>
            </wp:positionV>
            <wp:extent cx="8890" cy="8890"/>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-2404110</wp:posOffset>
            </wp:positionV>
            <wp:extent cx="8890" cy="8890"/>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-2386965</wp:posOffset>
            </wp:positionV>
            <wp:extent cx="8890" cy="8255"/>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-2369820</wp:posOffset>
            </wp:positionV>
            <wp:extent cx="8890" cy="8890"/>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-2352675</wp:posOffset>
            </wp:positionV>
            <wp:extent cx="8890" cy="8890"/>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-2335530</wp:posOffset>
            </wp:positionV>
            <wp:extent cx="8890" cy="8890"/>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-2318385</wp:posOffset>
            </wp:positionV>
            <wp:extent cx="8890" cy="8890"/>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-2301240</wp:posOffset>
            </wp:positionV>
            <wp:extent cx="8890" cy="8255"/>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-2284095</wp:posOffset>
            </wp:positionV>
            <wp:extent cx="8890" cy="8890"/>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-2266950</wp:posOffset>
            </wp:positionV>
            <wp:extent cx="8890" cy="8890"/>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-2249805</wp:posOffset>
            </wp:positionV>
            <wp:extent cx="8890" cy="8890"/>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-2232660</wp:posOffset>
            </wp:positionV>
            <wp:extent cx="8890" cy="8890"/>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-2215515</wp:posOffset>
            </wp:positionV>
            <wp:extent cx="8890" cy="8255"/>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-2198370</wp:posOffset>
            </wp:positionV>
            <wp:extent cx="8890" cy="8890"/>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-2181225</wp:posOffset>
            </wp:positionV>
            <wp:extent cx="8890" cy="8890"/>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-2164080</wp:posOffset>
            </wp:positionV>
            <wp:extent cx="8890" cy="8890"/>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-2146935</wp:posOffset>
            </wp:positionV>
            <wp:extent cx="8890" cy="8890"/>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-2129790</wp:posOffset>
            </wp:positionV>
            <wp:extent cx="8890" cy="8890"/>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-2112645</wp:posOffset>
            </wp:positionV>
            <wp:extent cx="8890" cy="8890"/>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-2095500</wp:posOffset>
            </wp:positionV>
            <wp:extent cx="8890" cy="8255"/>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-2078355</wp:posOffset>
            </wp:positionV>
            <wp:extent cx="8890" cy="8890"/>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-2061210</wp:posOffset>
            </wp:positionV>
            <wp:extent cx="8890" cy="8890"/>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-2044065</wp:posOffset>
            </wp:positionV>
            <wp:extent cx="8890" cy="8890"/>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-2026920</wp:posOffset>
            </wp:positionV>
            <wp:extent cx="8890" cy="8890"/>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-2009775</wp:posOffset>
            </wp:positionV>
            <wp:extent cx="8890" cy="8255"/>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-1992630</wp:posOffset>
            </wp:positionV>
            <wp:extent cx="8890" cy="8890"/>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-1975485</wp:posOffset>
            </wp:positionV>
            <wp:extent cx="8890" cy="8890"/>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-1958340</wp:posOffset>
            </wp:positionV>
            <wp:extent cx="8890" cy="8890"/>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-1941195</wp:posOffset>
            </wp:positionV>
            <wp:extent cx="8890" cy="8890"/>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-1924050</wp:posOffset>
            </wp:positionV>
            <wp:extent cx="8890" cy="8255"/>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-1906905</wp:posOffset>
            </wp:positionV>
            <wp:extent cx="8890" cy="8890"/>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-1889760</wp:posOffset>
            </wp:positionV>
            <wp:extent cx="8890" cy="8890"/>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-1872615</wp:posOffset>
            </wp:positionV>
            <wp:extent cx="8890" cy="8890"/>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-1855470</wp:posOffset>
            </wp:positionV>
            <wp:extent cx="8890" cy="8890"/>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-1838325</wp:posOffset>
            </wp:positionV>
            <wp:extent cx="8890" cy="8255"/>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-1821180</wp:posOffset>
            </wp:positionV>
            <wp:extent cx="8890" cy="8890"/>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-1804035</wp:posOffset>
            </wp:positionV>
            <wp:extent cx="8890" cy="8255"/>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-1786890</wp:posOffset>
            </wp:positionV>
            <wp:extent cx="8890" cy="8890"/>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-1769745</wp:posOffset>
            </wp:positionV>
            <wp:extent cx="8890" cy="8890"/>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-1752600</wp:posOffset>
            </wp:positionV>
            <wp:extent cx="8890" cy="8890"/>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-1735455</wp:posOffset>
            </wp:positionV>
            <wp:extent cx="8890" cy="8890"/>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-1718310</wp:posOffset>
            </wp:positionV>
            <wp:extent cx="8890" cy="8255"/>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-1701165</wp:posOffset>
            </wp:positionV>
            <wp:extent cx="8890" cy="8890"/>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-1684020</wp:posOffset>
            </wp:positionV>
            <wp:extent cx="8890" cy="8890"/>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-1666875</wp:posOffset>
            </wp:positionV>
            <wp:extent cx="8890" cy="8890"/>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-1649730</wp:posOffset>
            </wp:positionV>
            <wp:extent cx="8890" cy="8890"/>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-1632585</wp:posOffset>
            </wp:positionV>
            <wp:extent cx="8890" cy="8255"/>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-1615440</wp:posOffset>
            </wp:positionV>
            <wp:extent cx="8890" cy="8890"/>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-1598295</wp:posOffset>
            </wp:positionV>
            <wp:extent cx="8890" cy="8890"/>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-1581150</wp:posOffset>
            </wp:positionV>
            <wp:extent cx="8890" cy="889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-1564005</wp:posOffset>
            </wp:positionV>
            <wp:extent cx="8890" cy="8890"/>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-1546860</wp:posOffset>
            </wp:positionV>
            <wp:extent cx="8890" cy="8255"/>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-1529715</wp:posOffset>
            </wp:positionV>
            <wp:extent cx="8890" cy="8890"/>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-1512570</wp:posOffset>
            </wp:positionV>
            <wp:extent cx="8890" cy="8890"/>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-1495425</wp:posOffset>
            </wp:positionV>
            <wp:extent cx="8890" cy="8890"/>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-1478280</wp:posOffset>
            </wp:positionV>
            <wp:extent cx="8890" cy="8890"/>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-1461135</wp:posOffset>
            </wp:positionV>
            <wp:extent cx="8890" cy="8890"/>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-1443990</wp:posOffset>
            </wp:positionV>
            <wp:extent cx="8890" cy="8890"/>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-1426845</wp:posOffset>
            </wp:positionV>
            <wp:extent cx="8890" cy="8255"/>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-1409700</wp:posOffset>
            </wp:positionV>
            <wp:extent cx="8890" cy="8890"/>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-1392555</wp:posOffset>
            </wp:positionV>
            <wp:extent cx="8890" cy="8255"/>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-1375410</wp:posOffset>
            </wp:positionV>
            <wp:extent cx="8890" cy="825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-1358265</wp:posOffset>
            </wp:positionV>
            <wp:extent cx="8890" cy="8890"/>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-1341120</wp:posOffset>
            </wp:positionV>
            <wp:extent cx="8890" cy="8890"/>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-1323975</wp:posOffset>
            </wp:positionV>
            <wp:extent cx="8890" cy="8890"/>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-1306830</wp:posOffset>
            </wp:positionV>
            <wp:extent cx="8890" cy="8255"/>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-1289685</wp:posOffset>
            </wp:positionV>
            <wp:extent cx="8890" cy="8255"/>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-1272540</wp:posOffset>
            </wp:positionV>
            <wp:extent cx="8890" cy="8890"/>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-1255395</wp:posOffset>
            </wp:positionV>
            <wp:extent cx="8890" cy="8890"/>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-1238250</wp:posOffset>
            </wp:positionV>
            <wp:extent cx="8890" cy="8890"/>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-1221105</wp:posOffset>
            </wp:positionV>
            <wp:extent cx="8890" cy="8255"/>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-1203960</wp:posOffset>
            </wp:positionV>
            <wp:extent cx="8890" cy="8255"/>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-1186815</wp:posOffset>
            </wp:positionV>
            <wp:extent cx="8890" cy="8255"/>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-1169670</wp:posOffset>
            </wp:positionV>
            <wp:extent cx="8890" cy="8890"/>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-1152525</wp:posOffset>
            </wp:positionV>
            <wp:extent cx="8890" cy="8890"/>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-1135380</wp:posOffset>
            </wp:positionV>
            <wp:extent cx="8890" cy="8890"/>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-1118235</wp:posOffset>
            </wp:positionV>
            <wp:extent cx="8890" cy="8255"/>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-1101090</wp:posOffset>
            </wp:positionV>
            <wp:extent cx="8890" cy="8255"/>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-1083945</wp:posOffset>
            </wp:positionV>
            <wp:extent cx="8890" cy="8890"/>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-1066800</wp:posOffset>
            </wp:positionV>
            <wp:extent cx="8890" cy="8890"/>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-1049655</wp:posOffset>
            </wp:positionV>
            <wp:extent cx="8890" cy="8890"/>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-1032510</wp:posOffset>
            </wp:positionV>
            <wp:extent cx="8890" cy="8890"/>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-1015365</wp:posOffset>
            </wp:positionV>
            <wp:extent cx="8890" cy="8255"/>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-998220</wp:posOffset>
            </wp:positionV>
            <wp:extent cx="8890" cy="8255"/>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-981075</wp:posOffset>
            </wp:positionV>
            <wp:extent cx="8890" cy="8890"/>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-963930</wp:posOffset>
            </wp:positionV>
            <wp:extent cx="8890" cy="8890"/>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-946785</wp:posOffset>
            </wp:positionV>
            <wp:extent cx="8890" cy="8890"/>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-929640</wp:posOffset>
            </wp:positionV>
            <wp:extent cx="8890" cy="8255"/>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-912495</wp:posOffset>
            </wp:positionV>
            <wp:extent cx="8890" cy="8255"/>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-895350</wp:posOffset>
            </wp:positionV>
            <wp:extent cx="8890" cy="8890"/>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-878205</wp:posOffset>
            </wp:positionV>
            <wp:extent cx="8890" cy="8890"/>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-861060</wp:posOffset>
            </wp:positionV>
            <wp:extent cx="8890" cy="8890"/>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-843915</wp:posOffset>
            </wp:positionV>
            <wp:extent cx="8890" cy="8890"/>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-826770</wp:posOffset>
            </wp:positionV>
            <wp:extent cx="8890" cy="8255"/>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-809625</wp:posOffset>
            </wp:positionV>
            <wp:extent cx="8890" cy="8255"/>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-792480</wp:posOffset>
            </wp:positionV>
            <wp:extent cx="8890" cy="8890"/>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-775335</wp:posOffset>
            </wp:positionV>
            <wp:extent cx="8890" cy="8890"/>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-758190</wp:posOffset>
            </wp:positionV>
            <wp:extent cx="8890" cy="8890"/>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-741045</wp:posOffset>
            </wp:positionV>
            <wp:extent cx="8890" cy="8255"/>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-723900</wp:posOffset>
            </wp:positionV>
            <wp:extent cx="8890" cy="8255"/>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-706755</wp:posOffset>
            </wp:positionV>
            <wp:extent cx="8890" cy="8890"/>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-689610</wp:posOffset>
            </wp:positionV>
            <wp:extent cx="8890" cy="8890"/>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-672465</wp:posOffset>
            </wp:positionV>
            <wp:extent cx="8890" cy="8890"/>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-655320</wp:posOffset>
            </wp:positionV>
            <wp:extent cx="8890" cy="8890"/>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-638175</wp:posOffset>
            </wp:positionV>
            <wp:extent cx="8890" cy="8255"/>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-621030</wp:posOffset>
            </wp:positionV>
            <wp:extent cx="8890" cy="8255"/>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-603885</wp:posOffset>
            </wp:positionV>
            <wp:extent cx="8890" cy="8890"/>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-586740</wp:posOffset>
            </wp:positionV>
            <wp:extent cx="8890" cy="8890"/>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-569595</wp:posOffset>
            </wp:positionV>
            <wp:extent cx="8890" cy="8255"/>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-552450</wp:posOffset>
            </wp:positionV>
            <wp:extent cx="8890" cy="8255"/>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-535305</wp:posOffset>
            </wp:positionV>
            <wp:extent cx="8890" cy="8890"/>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-518160</wp:posOffset>
            </wp:positionV>
            <wp:extent cx="8890" cy="8255"/>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-501015</wp:posOffset>
            </wp:positionV>
            <wp:extent cx="8890" cy="8255"/>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-483870</wp:posOffset>
            </wp:positionV>
            <wp:extent cx="8890" cy="8255"/>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-466725</wp:posOffset>
            </wp:positionV>
            <wp:extent cx="8890" cy="8255"/>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-449580</wp:posOffset>
            </wp:positionV>
            <wp:extent cx="8890" cy="8255"/>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-432435</wp:posOffset>
            </wp:positionV>
            <wp:extent cx="8890" cy="8255"/>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-415290</wp:posOffset>
            </wp:positionV>
            <wp:extent cx="8890" cy="8255"/>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-398145</wp:posOffset>
            </wp:positionV>
            <wp:extent cx="8890" cy="8255"/>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-381000</wp:posOffset>
            </wp:positionV>
            <wp:extent cx="8890" cy="8255"/>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-363855</wp:posOffset>
            </wp:positionV>
            <wp:extent cx="8890" cy="8255"/>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-346710</wp:posOffset>
            </wp:positionV>
            <wp:extent cx="8890" cy="8890"/>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-329565</wp:posOffset>
            </wp:positionV>
            <wp:extent cx="8890" cy="8255"/>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-312420</wp:posOffset>
            </wp:positionV>
            <wp:extent cx="8890" cy="8255"/>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-295275</wp:posOffset>
            </wp:positionV>
            <wp:extent cx="8890" cy="8890"/>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-278130</wp:posOffset>
            </wp:positionV>
            <wp:extent cx="8890" cy="8255"/>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-260985</wp:posOffset>
            </wp:positionV>
            <wp:extent cx="8890" cy="8255"/>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-243840</wp:posOffset>
            </wp:positionV>
            <wp:extent cx="8890" cy="8255"/>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-226695</wp:posOffset>
            </wp:positionV>
            <wp:extent cx="8890" cy="8255"/>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-209550</wp:posOffset>
            </wp:positionV>
            <wp:extent cx="8890" cy="8255"/>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-192405</wp:posOffset>
            </wp:positionV>
            <wp:extent cx="8890" cy="8255"/>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-175260</wp:posOffset>
            </wp:positionV>
            <wp:extent cx="8890" cy="8255"/>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-158115</wp:posOffset>
            </wp:positionV>
            <wp:extent cx="8890" cy="8255"/>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-140970</wp:posOffset>
            </wp:positionV>
            <wp:extent cx="8890" cy="8890"/>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-123825</wp:posOffset>
            </wp:positionV>
            <wp:extent cx="8890" cy="8255"/>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-106680</wp:posOffset>
            </wp:positionV>
            <wp:extent cx="8890" cy="8255"/>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-89535</wp:posOffset>
            </wp:positionV>
            <wp:extent cx="8890" cy="8255"/>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-72390</wp:posOffset>
            </wp:positionV>
            <wp:extent cx="8890" cy="8890"/>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-55245</wp:posOffset>
            </wp:positionV>
            <wp:extent cx="8890" cy="8255"/>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-38100</wp:posOffset>
            </wp:positionV>
            <wp:extent cx="8890" cy="8255"/>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-20955</wp:posOffset>
            </wp:positionV>
            <wp:extent cx="8890" cy="8890"/>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-3810</wp:posOffset>
            </wp:positionV>
            <wp:extent cx="8890" cy="8890"/>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12700</wp:posOffset>
            </wp:positionV>
            <wp:extent cx="8890" cy="8255"/>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29845</wp:posOffset>
            </wp:positionV>
            <wp:extent cx="8890" cy="8255"/>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46990</wp:posOffset>
            </wp:positionV>
            <wp:extent cx="8890" cy="8255"/>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64135</wp:posOffset>
            </wp:positionV>
            <wp:extent cx="8890" cy="8890"/>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81280</wp:posOffset>
            </wp:positionV>
            <wp:extent cx="8890" cy="8255"/>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98425</wp:posOffset>
            </wp:positionV>
            <wp:extent cx="8890" cy="8890"/>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115570</wp:posOffset>
            </wp:positionV>
            <wp:extent cx="8890" cy="8890"/>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132715</wp:posOffset>
            </wp:positionV>
            <wp:extent cx="8890" cy="8255"/>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930" w:orient="portrait"/>
          <w:cols w:equalWidth="0" w:num="2">
            <w:col w:w="5520" w:space="140"/>
            <w:col w:w="5560"/>
          </w:cols>
          <w:pgMar w:left="320" w:top="1413" w:right="359" w:bottom="0" w:gutter="0" w:footer="0" w:header="0"/>
          <w:type w:val="continuous"/>
        </w:sectPr>
      </w:pPr>
    </w:p>
    <w:bookmarkStart w:id="195" w:name="page196"/>
    <w:bookmarkEnd w:id="195"/>
    <w:p>
      <w:pPr>
        <w:spacing w:after="0" w:line="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form, for the sole purpose of implementing, administering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8890" cy="8255"/>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8890" cy="8255"/>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8890" cy="8890"/>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8890" cy="8255"/>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8890" cy="8255"/>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wp:posOffset>
            </wp:positionV>
            <wp:extent cx="8890" cy="8255"/>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8890" cy="8255"/>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8890" cy="8890"/>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4" w:lineRule="exact"/>
        <w:rPr>
          <w:sz w:val="20"/>
          <w:szCs w:val="20"/>
          <w:color w:val="auto"/>
        </w:rPr>
      </w:pPr>
    </w:p>
    <w:p>
      <w:pPr>
        <w:ind w:left="8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managing the Employee’s participation in the Plan.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he or she is providing the consents herein on a purely voluntary basis. If the Employee does not consent, or if the Employee later seeks to revoke their consent, their employment status or service and career with the Employer will not be adversely affected; the only consequence of refusing or withdrawing the Employee’s consent is that the Company would not be able to grant the Employee Deferred Stock Units or other equity awards or administer or maintain such awards. The Employee also understands that the Company has no obligation to substitute other forms of awards or compensation in lieu of the Deferred Stock Units as a consequence of the Employee’s refusal or withdrawal of their consent. Therefore, the Employee understands that refusing or withdrawing their consent may affect the Employee’s ability to participate in the Plan. For more information on the consequences of the Employee’s refusal to consent or withdrawal of consent, the Employee understands that he or she may contact their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-3780790</wp:posOffset>
            </wp:positionV>
            <wp:extent cx="3531870" cy="5426075"/>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4">
                      <a:extLst>
                        <a:ext uri="{28A0092B-C50C-407E-A947-70E740481C1C}"/>
                      </a:extLst>
                    </a:blip>
                    <a:srcRect/>
                    <a:stretch>
                      <a:fillRect/>
                    </a:stretch>
                  </pic:blipFill>
                  <pic:spPr bwMode="auto">
                    <a:xfrm>
                      <a:off x="0" y="0"/>
                      <a:ext cx="3531870" cy="5426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Pekerjadengan ini membenarkan Syarikat, Morgan Stanley dan mana-mana pihak yang mungkin menerima Data yang mungkin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-267970</wp:posOffset>
            </wp:positionV>
            <wp:extent cx="8255" cy="8255"/>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-250825</wp:posOffset>
            </wp:positionV>
            <wp:extent cx="8255" cy="8255"/>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-233680</wp:posOffset>
            </wp:positionV>
            <wp:extent cx="8255" cy="8890"/>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-216535</wp:posOffset>
            </wp:positionV>
            <wp:extent cx="8255" cy="8255"/>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-199390</wp:posOffset>
            </wp:positionV>
            <wp:extent cx="8255" cy="8255"/>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-182245</wp:posOffset>
            </wp:positionV>
            <wp:extent cx="8255" cy="8255"/>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-165100</wp:posOffset>
            </wp:positionV>
            <wp:extent cx="8255" cy="8255"/>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-147955</wp:posOffset>
            </wp:positionV>
            <wp:extent cx="8255" cy="8890"/>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-130810</wp:posOffset>
            </wp:positionV>
            <wp:extent cx="8255" cy="8255"/>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-113665</wp:posOffset>
            </wp:positionV>
            <wp:extent cx="8255" cy="8255"/>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-96520</wp:posOffset>
            </wp:positionV>
            <wp:extent cx="8255" cy="8255"/>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-79375</wp:posOffset>
            </wp:positionV>
            <wp:extent cx="8255" cy="8255"/>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-62230</wp:posOffset>
            </wp:positionV>
            <wp:extent cx="8255" cy="8890"/>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-45085</wp:posOffset>
            </wp:positionV>
            <wp:extent cx="8255" cy="8255"/>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-27940</wp:posOffset>
            </wp:positionV>
            <wp:extent cx="8255" cy="8255"/>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-10795</wp:posOffset>
            </wp:positionV>
            <wp:extent cx="8255" cy="8255"/>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-267970</wp:posOffset>
            </wp:positionV>
            <wp:extent cx="8890" cy="8255"/>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-250825</wp:posOffset>
            </wp:positionV>
            <wp:extent cx="8890" cy="8255"/>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-233680</wp:posOffset>
            </wp:positionV>
            <wp:extent cx="8890" cy="8890"/>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-216535</wp:posOffset>
            </wp:positionV>
            <wp:extent cx="8890" cy="8255"/>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-199390</wp:posOffset>
            </wp:positionV>
            <wp:extent cx="8890" cy="8255"/>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-182245</wp:posOffset>
            </wp:positionV>
            <wp:extent cx="8890" cy="8255"/>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-165100</wp:posOffset>
            </wp:positionV>
            <wp:extent cx="8890" cy="8255"/>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-147955</wp:posOffset>
            </wp:positionV>
            <wp:extent cx="8890" cy="8890"/>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-130810</wp:posOffset>
            </wp:positionV>
            <wp:extent cx="8890" cy="8255"/>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-113665</wp:posOffset>
            </wp:positionV>
            <wp:extent cx="8890" cy="8255"/>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-96520</wp:posOffset>
            </wp:positionV>
            <wp:extent cx="8890" cy="8255"/>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-79375</wp:posOffset>
            </wp:positionV>
            <wp:extent cx="8890" cy="8255"/>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-62230</wp:posOffset>
            </wp:positionV>
            <wp:extent cx="8890" cy="8890"/>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-45085</wp:posOffset>
            </wp:positionV>
            <wp:extent cx="8890" cy="8255"/>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-27940</wp:posOffset>
            </wp:positionV>
            <wp:extent cx="8890" cy="8255"/>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-10795</wp:posOffset>
            </wp:positionV>
            <wp:extent cx="8890" cy="8255"/>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jc w:val="both"/>
        <w:ind w:right="40"/>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Pekerja dalam Pelan. Pekerja memahami bahawa Data hanya akan disimpan untuk tempoh yang diperlukan untuk melaksana, mentadbir, dan mengurus penyertaan Pekerja dalam Pelan. Pekerja memahami bahawa Pekerja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Pekerja memahami bahawa Pekerja memberikan persetujuan di sini secara sukarela. Jikalau, Pekerja tidak bersetuju, atau sekiranaya Pekerja kemudiannya membatalkan persetujuannya, status pekerjaan atau perkhidmatan dan kerjaya Pekerja dengan Majikan tidak akan terjejas; satu-satunya akibat jika Pekerja tidak bersetuju atau menarik balik persetujuan Pekerja adalah bahawa Syarikat tidak akan dapat memberikan kepada Pekerja opsyen atau anugerah-anugerah ekuiti yang lain atau mentadbir atau mengekalkan anugerah tersebut. Pekerja turut memahami bahawa pihak Syarikat tidak mempunyai sebarang kewajiban untuk menggantikan bentuk anugerah yang lain atau memberikan sebarang bentuk kompensasi sebagai pengganti opsyen disebabkan keengganan atau penarikan balik persetujuan Pekerja. Oleh kerana itu, Pekerja memahami bahawa keengganan atau penarikan balik persetujuan Pekerja boleh menjejaskan keupayaan Pekerja untuk mengambil bahagian dalam Pelan. Untuk maklumat lanjut mengenai akibat keengganan Pekerja untuk memberikan keizinan atau penarikan balik keizinan, Pekerja memahami bahawa Pekerja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-4973320</wp:posOffset>
            </wp:positionV>
            <wp:extent cx="3600450" cy="5288915"/>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7">
                      <a:extLst>
                        <a:ext uri="{28A0092B-C50C-407E-A947-70E740481C1C}"/>
                      </a:extLst>
                    </a:blip>
                    <a:srcRect/>
                    <a:stretch>
                      <a:fillRect/>
                    </a:stretch>
                  </pic:blipFill>
                  <pic:spPr bwMode="auto">
                    <a:xfrm>
                      <a:off x="0" y="0"/>
                      <a:ext cx="3600450" cy="52889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140"/>
            <w:col w:w="5560"/>
          </w:cols>
          <w:pgMar w:left="320" w:top="8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Exchange Control Compliance. </w:t>
      </w:r>
      <w:r>
        <w:rPr>
          <w:rFonts w:ascii="Times New Roman" w:cs="Times New Roman" w:eastAsia="Times New Roman" w:hAnsi="Times New Roman"/>
          <w:sz w:val="20"/>
          <w:szCs w:val="20"/>
          <w:color w:val="auto"/>
        </w:rPr>
        <w:t>If requested by the Company, the Employer or any third party designated by the Company or the Employer,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Employee must execute and return a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86" w:right="359" w:bottom="1440" w:gutter="0" w:footer="0" w:header="0"/>
          <w:type w:val="continuous"/>
        </w:sectPr>
      </w:pPr>
    </w:p>
    <w:bookmarkStart w:id="196" w:name="page197"/>
    <w:bookmarkEnd w:id="196"/>
    <w:p>
      <w:pPr>
        <w:spacing w:after="0" w:line="269" w:lineRule="auto"/>
        <w:rPr>
          <w:sz w:val="20"/>
          <w:szCs w:val="20"/>
          <w:color w:val="auto"/>
        </w:rPr>
      </w:pPr>
      <w:r>
        <w:rPr>
          <w:rFonts w:ascii="Times New Roman" w:cs="Times New Roman" w:eastAsia="Times New Roman" w:hAnsi="Times New Roman"/>
          <w:sz w:val="20"/>
          <w:szCs w:val="20"/>
          <w:color w:val="auto"/>
        </w:rPr>
        <w:t>declaration related to the Employee’s foreign investments to such person, as provided by the Company or the Employer in order to participate in the Plan. The Employee understands that failure to do so may prevent the Employee from being able to participate in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Obligation. </w:t>
      </w:r>
      <w:r>
        <w:rPr>
          <w:rFonts w:ascii="Times New Roman" w:cs="Times New Roman" w:eastAsia="Times New Roman" w:hAnsi="Times New Roman"/>
          <w:sz w:val="20"/>
          <w:szCs w:val="20"/>
          <w:color w:val="auto"/>
        </w:rPr>
        <w:t>If the Employee is a director of the Company’s Malaysian subsidiary or affiliate, the Employee is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certain notification requirements under the Malaysian Companies Act. Among these requirements is an obligation to notify the Malaysian subsidiary or affiliate in writing when the Employee receives or disposes of an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Deferred Stock Units or shares of Common Stock) in the Company or any related company. Such notifications must be made within 14 days of receiving or disposing of any interest in the Company or any related company.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MEXICO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Labor Law Policy. </w:t>
      </w:r>
      <w:r>
        <w:rPr>
          <w:rFonts w:ascii="Times New Roman" w:cs="Times New Roman" w:eastAsia="Times New Roman" w:hAnsi="Times New Roman"/>
          <w:sz w:val="20"/>
          <w:szCs w:val="20"/>
          <w:color w:val="auto"/>
        </w:rPr>
        <w:t>In accepting the grant of the Deferred Stock Units, the Employee expressly recognizes that Mondelēz International, Inc.,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registered offices at 905 West Fulton Market, Suite 200, Chicago, Illinois 60607, U.S.A., is solely responsible for the administration of the Plan and that the Employee’s participation in the Plan and acquisition of shares of Common Stock do not constitute an employment relationship between the Employee and Mondelēz International, Inc. since the Employee is participating in the Plan on a wholly commercial basis and their sole Employer is Mondelēz México, S. de R.L. de C.V., located at Av. 18 de Noviembre 1028, Camino a Manzanilla, Heroica Puebla de Zaragoza, Puebla, C.P. 72304. Based on the foregoing, the Employee expressly recognizes that the Plan and the benefits that he or she may derive from participating in the Plan do not establish any rights between the Employee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Employee’s employment.</w:t>
      </w:r>
    </w:p>
    <w:p>
      <w:pPr>
        <w:spacing w:after="0" w:line="202"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20"/>
          <w:szCs w:val="20"/>
          <w:color w:val="auto"/>
        </w:rPr>
        <w:t>The Employee further understands that their participation in the Plan is as a result of a unilateral and discretionary decision of Mondelēz International, Inc.; therefore, Mondelēz International, Inc. reserves the absolute right to amend and/or discontinue the Employee’s participation at any time without any liability to the Employee.</w:t>
      </w:r>
    </w:p>
    <w:p>
      <w:pPr>
        <w:spacing w:after="0" w:line="18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b w:val="1"/>
          <w:bCs w:val="1"/>
          <w:color w:val="auto"/>
        </w:rPr>
        <w:t>Plan Document Acknowledgment</w:t>
      </w:r>
      <w:r>
        <w:rPr>
          <w:rFonts w:ascii="Times New Roman" w:cs="Times New Roman" w:eastAsia="Times New Roman" w:hAnsi="Times New Roman"/>
          <w:sz w:val="20"/>
          <w:szCs w:val="20"/>
          <w:color w:val="auto"/>
        </w:rPr>
        <w:t>. By accepting the Deferred Stock Units, the Employee acknowledges that he or she has received copies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Plan, has reviewed the Plan and the Agreement in their entirety and fully understands and accepts all provisions of the Plan and the Agreement.</w:t>
      </w:r>
    </w:p>
    <w:p>
      <w:pPr>
        <w:spacing w:after="0" w:line="18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In addition, by accepting the Agreement, the Employee further acknowledges that he or she has read and specifically and expressly approves the terms and conditions in paragraph 13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Deferred Stock Units.</w:t>
      </w:r>
    </w:p>
    <w:p>
      <w:pPr>
        <w:spacing w:after="0" w:line="194" w:lineRule="exact"/>
        <w:rPr>
          <w:sz w:val="20"/>
          <w:szCs w:val="20"/>
          <w:color w:val="auto"/>
        </w:rPr>
      </w:pPr>
    </w:p>
    <w:p>
      <w:pPr>
        <w:ind w:right="700"/>
        <w:spacing w:after="0" w:line="269" w:lineRule="auto"/>
        <w:rPr>
          <w:sz w:val="20"/>
          <w:szCs w:val="20"/>
          <w:color w:val="auto"/>
        </w:rPr>
      </w:pPr>
      <w:r>
        <w:rPr>
          <w:rFonts w:ascii="Times New Roman" w:cs="Times New Roman" w:eastAsia="Times New Roman" w:hAnsi="Times New Roman"/>
          <w:sz w:val="20"/>
          <w:szCs w:val="20"/>
          <w:color w:val="auto"/>
        </w:rPr>
        <w:t>Finally, the Employee hereby declares that he or she does not reserve to him- or herself any action or right to bring any claim against Mondelēz International, Inc. for any compensation or damages regarding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13" w:right="359" w:bottom="1440" w:gutter="0" w:footer="0" w:header="0"/>
        </w:sectPr>
      </w:pPr>
    </w:p>
    <w:bookmarkStart w:id="197" w:name="page198"/>
    <w:bookmarkEnd w:id="197"/>
    <w:p>
      <w:pPr>
        <w:ind w:right="120"/>
        <w:spacing w:after="0" w:line="261" w:lineRule="auto"/>
        <w:rPr>
          <w:sz w:val="20"/>
          <w:szCs w:val="20"/>
          <w:color w:val="auto"/>
        </w:rPr>
      </w:pPr>
      <w:r>
        <w:rPr>
          <w:rFonts w:ascii="Times New Roman" w:cs="Times New Roman" w:eastAsia="Times New Roman" w:hAnsi="Times New Roman"/>
          <w:sz w:val="20"/>
          <w:szCs w:val="20"/>
          <w:color w:val="auto"/>
        </w:rPr>
        <w:t>provision of the Plan or the benefits derived under the Plan, and the Employee therefore grants a full and broad release to Mondelēz International, Inc., its affiliates, branches, representation offices, its shareholders, officers, agents or legal representatives with respect to any claim that may arise.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TÉRMINOS Y CONDICIONES</w:t>
      </w:r>
    </w:p>
    <w:p>
      <w:pPr>
        <w:spacing w:after="0" w:line="21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Política Laboral y Reconocimiento/Aceptación. </w:t>
      </w:r>
      <w:r>
        <w:rPr>
          <w:rFonts w:ascii="Times New Roman" w:cs="Times New Roman" w:eastAsia="Times New Roman" w:hAnsi="Times New Roman"/>
          <w:sz w:val="20"/>
          <w:szCs w:val="20"/>
          <w:color w:val="auto"/>
        </w:rPr>
        <w:t>Al aceptar el otorgamiento de las Acciones Diferidas, el Empleado expresamente reconoce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que Mondelēz International, Inc., con domicilio registrado ubicado en 905 West Fulton Market, Suite 200, Chicago, Illinois 60607, U.S.A., es la única responsable por la administración del Plan y que la participación del Empleado en el Plan y en su caso la adquisición de Acciones no constituyen ni podrán interpretarse como una relación de trabajo entre el Empleado y Mondelēz International, Inc., ya que el Empleado participa en el Plan en un marco totalmente comercial y su único Patrón lo es Mondelēz México, S. de R.L. de C.V. con domicilio en Avenida Santa Fe 485, Piso 7, Colonia Cruz Manca, Mexico City, C.P. 05349 Mexico. Derivado de lo anterior, el Empleado expresamente reconoce que el Plan y los beneficios que pudieran derivar de la participación en el Plan no establecen derecho alguno entre el Empleado y el Patrón, Mondelēz México, S. de R.L. de C.V. y no forma parte de las condiciones de trabajo y/o las prestaciones otorgadas por Mondelēz México, S. de R.L. de C.V. y que cualquier modificación al Plan o su terminación no constituye un cambio o impedimento de los términos y condiciones de la relación de trabajo del Empleado.</w:t>
      </w:r>
    </w:p>
    <w:p>
      <w:pPr>
        <w:spacing w:after="0" w:line="202"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20"/>
          <w:szCs w:val="20"/>
          <w:color w:val="auto"/>
        </w:rPr>
        <w:t>Asimismo, el Empleado reconoce que su participación en el Plan es resultado de una decisión unilateral y discrecional de Mondelēz International, Inc.; por lo tanto, Mondelēz International, Inc. se reserva el absoluto derecho de modificar y/o terminar la participación del Empleado en cualquier momento y sin responsabilidad alguna frente el Empleado.</w:t>
      </w:r>
    </w:p>
    <w:p>
      <w:pPr>
        <w:spacing w:after="0" w:line="184"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0"/>
          <w:szCs w:val="20"/>
          <w:b w:val="1"/>
          <w:bCs w:val="1"/>
          <w:color w:val="auto"/>
        </w:rPr>
        <w:t>Reconocimiento del Plan de Documentos</w:t>
      </w:r>
      <w:r>
        <w:rPr>
          <w:rFonts w:ascii="Times New Roman" w:cs="Times New Roman" w:eastAsia="Times New Roman" w:hAnsi="Times New Roman"/>
          <w:sz w:val="20"/>
          <w:szCs w:val="20"/>
          <w:color w:val="auto"/>
        </w:rPr>
        <w:t>. Al aceptar el otorgamiento de las Acciones Diferidas, el Empleado reconoce que ha recibido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copias del Plan, que ha revisado el Plan y el Acuerdo en su totalidad y que entiende y acepta completamente todas las disposiciones contenidas en el Plan y en el Acuerdo.</w:t>
      </w:r>
    </w:p>
    <w:p>
      <w:pPr>
        <w:spacing w:after="0" w:line="18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Adicionalmente, al aceptar el Acuerdo, el Empleado reconoce que ha leído y que aprueba específica y expresamente los términos y condiciones contenidos en el párrafo 13 del Acuerdo (“La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Mondelēz International, Inc. ni de cualqiuer Sociedad controlante, Subsidiaria o Filial son responsables por ninguna disminución en el valor de las Acciones subyacentes de las Acciones Diferidas.</w:t>
      </w:r>
    </w:p>
    <w:p>
      <w:pPr>
        <w:spacing w:after="0" w:line="19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9"/>
          <w:szCs w:val="19"/>
          <w:color w:val="auto"/>
        </w:rPr>
        <w:t>Finalmente, el Empleado por este medio declara que no se reserve derecho o acción alguna que ejercitar en contra de Mondelēz International, Inc. por cualquier compensación o daño en relación con las disposiciones del Plan o de los beneficios derivados del Plan y por lo tanto, el Empleado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260"/>
        <w:spacing w:after="0" w:line="263"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The Deferred Stock Units and the shares of Common Stock offered under the Plan have not been registered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National Register of Securities maintained by the Mexican National Banking and Securities Commission and cannot be offered or sold publicly in Mexico.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198" w:name="page199"/>
    <w:bookmarkEnd w:id="198"/>
    <w:p>
      <w:pPr>
        <w:spacing w:after="0" w:line="251" w:lineRule="auto"/>
        <w:rPr>
          <w:sz w:val="20"/>
          <w:szCs w:val="20"/>
          <w:color w:val="auto"/>
        </w:rPr>
      </w:pPr>
      <w:r>
        <w:rPr>
          <w:rFonts w:ascii="Times New Roman" w:cs="Times New Roman" w:eastAsia="Times New Roman" w:hAnsi="Times New Roman"/>
          <w:sz w:val="20"/>
          <w:szCs w:val="20"/>
          <w:color w:val="auto"/>
        </w:rPr>
        <w:t>addition, the Plan, the Agreement and any other document relating to the Deferred Stock Units may not be publicly distributed in Mexico. These materials are addressed to the Employee only because of the Employee’s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MOROCCO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Deferred Stock Units Payable Only in Cash. </w:t>
      </w:r>
      <w:r>
        <w:rPr>
          <w:rFonts w:ascii="Times New Roman" w:cs="Times New Roman" w:eastAsia="Times New Roman" w:hAnsi="Times New Roman"/>
          <w:sz w:val="20"/>
          <w:szCs w:val="20"/>
          <w:color w:val="auto"/>
        </w:rPr>
        <w:t>Notwithstanding any discretion in the Plan or anything to the contrary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paragraph 7 of the Agreement), the grant of Deferred Stock Units does not provide any right for the Employee to receive shares of Common Stock upon the Vesting Date. Deferred Stock Units granted to Employees in Morocco shall be paid in cash in an amount equal to the value of the shares of Common Stock on the Vesting Date.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NETHERLANDS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NEW ZEALAND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WARNING: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The Employee is being offered Deferred Stock Units which allows the Employee to acquire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of Common Stock in accordance with the terms of the Plan and the Agreement. The shares of Common Stock, if issued, give the Employee a stake in the ownership of the Company. The Employee may receive a return if dividends are paid.</w:t>
      </w:r>
    </w:p>
    <w:p>
      <w:pPr>
        <w:spacing w:after="0" w:line="16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20"/>
          <w:szCs w:val="20"/>
          <w:i w:val="1"/>
          <w:iCs w:val="1"/>
          <w:color w:val="auto"/>
        </w:rPr>
        <w:t>If the Company runs into financial difficulties and is wound up, the Employee will be paid only after all creditors and holders of preferred shares have been paid. The Employee may lose some or all of their investment.</w:t>
      </w:r>
    </w:p>
    <w:p>
      <w:pPr>
        <w:spacing w:after="0" w:line="13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6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The usual rules do not apply to this offer because it is made under an employee share purchase scheme. As a result, the Employee may not be given all the information usually required. The Employee will also have fewer other legal protections for this investment.</w:t>
      </w:r>
    </w:p>
    <w:p>
      <w:pPr>
        <w:spacing w:after="0" w:line="15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i w:val="1"/>
          <w:iCs w:val="1"/>
          <w:color w:val="auto"/>
        </w:rPr>
        <w:t>The Employee understands that he or she should ask questions, read all documents carefully, and seek independent financial advice before participating in the Plan.</w:t>
      </w:r>
    </w:p>
    <w:p>
      <w:pPr>
        <w:spacing w:after="0" w:line="138"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i w:val="1"/>
          <w:iCs w:val="1"/>
          <w:color w:val="auto"/>
        </w:rPr>
        <w:t>The shares of Common Stock are quoted and approved for trading on the Nasdaq Global Select Market in the United States of America. This means that, if the Employee acquires shares of Common Stock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37</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13" w:right="359" w:bottom="1440" w:gutter="0" w:footer="0" w:header="0"/>
        </w:sectPr>
      </w:pPr>
    </w:p>
    <w:bookmarkStart w:id="199" w:name="page200"/>
    <w:bookmarkEnd w:id="199"/>
    <w:p>
      <w:pPr>
        <w:spacing w:after="0" w:line="273" w:lineRule="auto"/>
        <w:rPr>
          <w:sz w:val="20"/>
          <w:szCs w:val="20"/>
          <w:color w:val="auto"/>
        </w:rPr>
      </w:pPr>
      <w:r>
        <w:rPr>
          <w:rFonts w:ascii="Times New Roman" w:cs="Times New Roman" w:eastAsia="Times New Roman" w:hAnsi="Times New Roman"/>
          <w:sz w:val="20"/>
          <w:szCs w:val="20"/>
          <w:i w:val="1"/>
          <w:iCs w:val="1"/>
          <w:color w:val="auto"/>
        </w:rPr>
        <w:t>the Plan, the Employee may be able to sell their investment on the Nasdaq if there are interested buyers. The price will depend on the demand for the shares of Common Stock.</w:t>
      </w:r>
    </w:p>
    <w:p>
      <w:pPr>
        <w:spacing w:after="0" w:line="16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For information on risk factors impacting the Company’s business that may affect the value of the shares of Common Stock, the Employee should refer to the risk factors discussion in the Company’s Annual Report on Form 10-K and Quarterly Reports on Form 10-Q, which are filed with the U.S. Securities and Exchange Commission and are available online at www.sec.gov, as well as on the Company’s website at </w:t>
      </w:r>
      <w:r>
        <w:rPr>
          <w:rFonts w:ascii="Times New Roman" w:cs="Times New Roman" w:eastAsia="Times New Roman" w:hAnsi="Times New Roman"/>
          <w:sz w:val="20"/>
          <w:szCs w:val="20"/>
          <w:color w:val="auto"/>
        </w:rPr>
        <w:t>http://ir.mondelezinternational.com/sec.cfm.</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NIGERIA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NORWAY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In general, Norwegian residents should not be subject to any foreign exchange requirements in connection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acquisition or sale of shares of Common Stock under the Plan, except normal reporting requirements to the Norwegian Currency Registry. If the transfer of funds into or out of Norway is made through a Norwegian bank, the bank will make the registration.</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Norwegian residents may be subject to foreign asset reporting as part of their ordinary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(e.g., shares of Common Stock) not pre-completed in the tax return, the Norwegian resident must enter this information in Form RF-1159, which is an appendix to the tax return.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PAKISTAN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Forced Sale of Shares. </w:t>
      </w:r>
      <w:r>
        <w:rPr>
          <w:rFonts w:ascii="Times New Roman" w:cs="Times New Roman" w:eastAsia="Times New Roman" w:hAnsi="Times New Roman"/>
          <w:sz w:val="20"/>
          <w:szCs w:val="20"/>
          <w:color w:val="auto"/>
        </w:rPr>
        <w:t>The Company reserves the right to force the immediate sale of the shares of Common Stock to be issued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vesting and settlement of the Deferred Stock Units. If applicable, the Employee agrees that the Company is authorized to instruct its designated broker, on behalf of the Employee, to assist with the mandatory sale of such shares of Common Stock and the Employee expressly authorizes the Company’s designated broker to complete the sale of such shares of Common Stock. The Employee expressly acknowledges that the Company’s designated broker is under no obligation to arrange for the sale of shares of Common Stock at any particular price. Upon the sale of shares of Common Stock, the Employee shall receive the cash proceeds from the sale of shares of Common Stock, less any brokerage fees or commissions and subject to any obligation to satisfy Tax-Related Items. The Employee also acknowledges that the Employee is unaware of any material non-public information with respect to the Company or any securities of the Company as of the date of the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Employee is required immediately to repatriate to Pakistan the proceeds from the sale of any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acquired from participation in Plan, including the proceeds from the sale of Common Stock acquired upon vesting of the Deferred Stock Units. The proceeds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38</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200" w:name="page201"/>
    <w:bookmarkEnd w:id="200"/>
    <w:p>
      <w:pPr>
        <w:ind w:right="20"/>
        <w:spacing w:after="0" w:line="250" w:lineRule="auto"/>
        <w:rPr>
          <w:sz w:val="20"/>
          <w:szCs w:val="20"/>
          <w:color w:val="auto"/>
        </w:rPr>
      </w:pPr>
      <w:r>
        <w:rPr>
          <w:rFonts w:ascii="Times New Roman" w:cs="Times New Roman" w:eastAsia="Times New Roman" w:hAnsi="Times New Roman"/>
          <w:sz w:val="20"/>
          <w:szCs w:val="20"/>
          <w:color w:val="auto"/>
        </w:rPr>
        <w:t>be converted into local currency and the receipt of proceeds must be reported to the State Bank of Pakistan (the “</w:t>
      </w:r>
      <w:r>
        <w:rPr>
          <w:rFonts w:ascii="Times New Roman" w:cs="Times New Roman" w:eastAsia="Times New Roman" w:hAnsi="Times New Roman"/>
          <w:sz w:val="20"/>
          <w:szCs w:val="20"/>
          <w:u w:val="single" w:color="auto"/>
          <w:color w:val="auto"/>
        </w:rPr>
        <w:t>SBP</w:t>
      </w:r>
      <w:r>
        <w:rPr>
          <w:rFonts w:ascii="Times New Roman" w:cs="Times New Roman" w:eastAsia="Times New Roman" w:hAnsi="Times New Roman"/>
          <w:sz w:val="20"/>
          <w:szCs w:val="20"/>
          <w:color w:val="auto"/>
        </w:rPr>
        <w:t>”) by filing a “Proceeds Realization Certificate” issued by the bank converting the proceeds with the SBP. The repatriated amounts cannot be credited to a foreign currency account. The Employee should consult their personal advisor prior to repatriation of the sale proceeds to ensure compliance with applicable exchange control regulations in Pakistan, as such regulations are subject to frequent change. The Employee is responsible for ensuring compliance with all exchange control laws in Pakistan.</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PANAMA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9"/>
          <w:szCs w:val="19"/>
          <w:b w:val="1"/>
          <w:bCs w:val="1"/>
          <w:color w:val="auto"/>
        </w:rPr>
        <w:t xml:space="preserve">Securities Law Information. </w:t>
      </w:r>
      <w:r>
        <w:rPr>
          <w:rFonts w:ascii="Times New Roman" w:cs="Times New Roman" w:eastAsia="Times New Roman" w:hAnsi="Times New Roman"/>
          <w:sz w:val="19"/>
          <w:szCs w:val="19"/>
          <w:color w:val="auto"/>
        </w:rPr>
        <w:t>Neither the Deferred Stock Units nor any shares of Common Stock that the Employee may acquire at vesting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Deferred Stock Units constitute a public offering of securities, as they are available only to eligible employees of the Mondelēz Group.</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PERU</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Labor Law Acknowledgement. </w:t>
      </w:r>
      <w:r>
        <w:rPr>
          <w:rFonts w:ascii="Times New Roman" w:cs="Times New Roman" w:eastAsia="Times New Roman" w:hAnsi="Times New Roman"/>
          <w:sz w:val="20"/>
          <w:szCs w:val="20"/>
          <w:color w:val="auto"/>
        </w:rPr>
        <w:t>The following provision supplements the acknowledgment contained in paragraph 13 of the Agreement:</w:t>
      </w:r>
    </w:p>
    <w:p>
      <w:pPr>
        <w:spacing w:after="0" w:line="22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 xml:space="preserve">By accepting the Deferred Stock Units, the Employee acknowledges, understands and agrees that the Deferred Stock Units are being granted </w:t>
      </w:r>
      <w:r>
        <w:rPr>
          <w:rFonts w:ascii="Times New Roman" w:cs="Times New Roman" w:eastAsia="Times New Roman" w:hAnsi="Times New Roman"/>
          <w:sz w:val="20"/>
          <w:szCs w:val="20"/>
          <w:i w:val="1"/>
          <w:iCs w:val="1"/>
          <w:color w:val="auto"/>
        </w:rPr>
        <w:t xml:space="preserve">ex gratia </w:t>
      </w:r>
      <w:r>
        <w:rPr>
          <w:rFonts w:ascii="Times New Roman" w:cs="Times New Roman" w:eastAsia="Times New Roman" w:hAnsi="Times New Roman"/>
          <w:sz w:val="20"/>
          <w:szCs w:val="20"/>
          <w:color w:val="auto"/>
        </w:rPr>
        <w:t>to the Employee.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grant of Deferred Stock Units is considered a private offering in Peru; therefore, it is not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registration. For more information concerning this offer, the Employee should refer to the Plan, the Agreement and any other grant documents made available by the Company. For more information regarding the Company, the Employee may refer to the Company’s most recent annual report on Form 10-K and quarterly report on Form 10-Q available at www.sec.gov.</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PHILIPPINES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Deferred Stock Units Payable Only in Cash. </w:t>
      </w:r>
      <w:r>
        <w:rPr>
          <w:rFonts w:ascii="Times New Roman" w:cs="Times New Roman" w:eastAsia="Times New Roman" w:hAnsi="Times New Roman"/>
          <w:sz w:val="20"/>
          <w:szCs w:val="20"/>
          <w:color w:val="auto"/>
        </w:rPr>
        <w:t>Notwithstanding any discretion in the Plan or anything to the contrary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paragraph 7 of the Agreement), the grant of Deferred Stock Units does not provide any right for the Employee to receive shares of Common Stock upon the Vesting Date. Deferred Stock Units granted to Employees in the Philippines shall be paid in cash in an amount equal to the value of the shares of Common Stock on the Vesting Date.</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POLAND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Employee transfers funds in excess of €15,000 (or PLN 15,000 if the transfer of funds is connected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business activity of an entrepreneur) in connection with the sale of shares of Common Stock or the receipt of dividends or dividend equivalents under the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13" w:right="379" w:bottom="1440" w:gutter="0" w:footer="0" w:header="0"/>
        </w:sectPr>
      </w:pPr>
    </w:p>
    <w:bookmarkStart w:id="201" w:name="page202"/>
    <w:bookmarkEnd w:id="201"/>
    <w:p>
      <w:pPr>
        <w:jc w:val="both"/>
        <w:ind w:right="240"/>
        <w:spacing w:after="0" w:line="261" w:lineRule="auto"/>
        <w:rPr>
          <w:sz w:val="20"/>
          <w:szCs w:val="20"/>
          <w:color w:val="auto"/>
        </w:rPr>
      </w:pPr>
      <w:r>
        <w:rPr>
          <w:rFonts w:ascii="Times New Roman" w:cs="Times New Roman" w:eastAsia="Times New Roman" w:hAnsi="Times New Roman"/>
          <w:sz w:val="20"/>
          <w:szCs w:val="20"/>
          <w:color w:val="auto"/>
        </w:rPr>
        <w:t>funds must be transferred via a Polish bank account. The Employee is required to retain the documents connected with a foreign exchange transaction for a period of five (5) years, as measured from the end of the year in which such transaction occurred. Penalties may apply for failure to comply with exchange control requirements.</w:t>
      </w:r>
    </w:p>
    <w:p>
      <w:pPr>
        <w:spacing w:after="0" w:line="16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Polish residents holding foreign securities (e.g., shares of Common Stock)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maintaining accounts abroad must report information to the National Bank of Poland on transactions and balances of the securities and cash deposited in such accounts if the value of such securities and cash (when combined with all other assets possessed abroad) exceeds PLN 7 million. If required, the reports must be filed on a quarterly basis on special forms that are available on the website of the National Bank of Poland. The Employee should consult with their personal legal advisor to determine their personal reporting obligations.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PORTUGAL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Language Consent. </w:t>
      </w:r>
      <w:r>
        <w:rPr>
          <w:rFonts w:ascii="Times New Roman" w:cs="Times New Roman" w:eastAsia="Times New Roman" w:hAnsi="Times New Roman"/>
          <w:sz w:val="20"/>
          <w:szCs w:val="20"/>
          <w:color w:val="auto"/>
        </w:rPr>
        <w:t>The Employee hereby expressly declares that he or she has full knowledge of the English language and has read,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understood and fully accepted and agreed with the terms and conditions established in the Plan and the Agreement.</w:t>
      </w:r>
    </w:p>
    <w:p>
      <w:pPr>
        <w:spacing w:after="0" w:line="13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Conhecimento da Lingua. </w:t>
      </w:r>
      <w:r>
        <w:rPr>
          <w:rFonts w:ascii="Times New Roman" w:cs="Times New Roman" w:eastAsia="Times New Roman" w:hAnsi="Times New Roman"/>
          <w:sz w:val="20"/>
          <w:szCs w:val="20"/>
          <w:i w:val="1"/>
          <w:iCs w:val="1"/>
          <w:color w:val="auto"/>
        </w:rPr>
        <w:t>O Contratado, pelo presente instrumento, declara expressamente que tem pleno conhecimento da língua inglesa 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que leu, compreendeu e livremente aceitou e concordou com os termos e condições estabelecidas no Plano e no Acordo de Atribuição (“Agreement” em inglês)</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If the Employee acquires shares of Common Stock under the Plan and does not hold the shares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with a Portuguese financial intermediary, he or she may need to file a report with the Portuguese Central Bank. If the shares of Common Stock are held by a Portuguese financial intermediary, it will file the report for the Employee.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ROMANIA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Employee deposits proceeds from the sale of Common Stock in a bank account in Romania,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may be required to provide the Romanian bank assisting with the transaction with appropriate documentation explaining the source of the income. The Employee should consult with a personal legal advisor to determine whether the Employee will be required to submit such documentation to the Romanian bank.</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SAUDI ARABIA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b w:val="1"/>
          <w:bCs w:val="1"/>
          <w:color w:val="auto"/>
        </w:rPr>
        <w:t>Deferred Stock Units Payable Only in Cash</w:t>
      </w:r>
      <w:r>
        <w:rPr>
          <w:rFonts w:ascii="Times New Roman" w:cs="Times New Roman" w:eastAsia="Times New Roman" w:hAnsi="Times New Roman"/>
          <w:sz w:val="20"/>
          <w:szCs w:val="20"/>
          <w:color w:val="auto"/>
        </w:rPr>
        <w:t>. Notwithstanding any discretion in the Plan or anything to the contrary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paragraph 7 of the Agreement), the grant of Deferred Stock Units does not provide any right for the Employee to receive shares of Common Stock upon the Vesting Date. Deferred Stock Units granted to Employees in Saudi Arabia shall be paid in cash in an amount equal to the value of the shares of Common Stock on the Vesting Date less any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13" w:right="3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grant of the Deferred Stock Units is not subject to the regulations concerning public offers and private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placements under the Law on Capital Markets.</w:t>
      </w:r>
    </w:p>
    <w:p>
      <w:pPr>
        <w:ind w:right="420"/>
        <w:spacing w:after="0" w:line="246" w:lineRule="auto"/>
        <w:rPr>
          <w:sz w:val="20"/>
          <w:szCs w:val="20"/>
          <w:color w:val="auto"/>
        </w:rPr>
      </w:pPr>
      <w:r>
        <w:rPr>
          <w:rFonts w:ascii="Times New Roman" w:cs="Times New Roman" w:eastAsia="Times New Roman" w:hAnsi="Times New Roman"/>
          <w:sz w:val="20"/>
          <w:szCs w:val="20"/>
          <w:color w:val="auto"/>
        </w:rPr>
        <w:t>The grant of the Deferred Stock Units is not subject to the regulations concerning public offers and private placements under the Law on Capital Markets.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SERBIA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9"/>
          <w:szCs w:val="19"/>
          <w:b w:val="1"/>
          <w:bCs w:val="1"/>
          <w:color w:val="auto"/>
        </w:rPr>
        <w:t xml:space="preserve">Securities Law Information. </w:t>
      </w:r>
      <w:r>
        <w:rPr>
          <w:rFonts w:ascii="Times New Roman" w:cs="Times New Roman" w:eastAsia="Times New Roman" w:hAnsi="Times New Roman"/>
          <w:sz w:val="19"/>
          <w:szCs w:val="19"/>
          <w:color w:val="auto"/>
        </w:rPr>
        <w:t>The grant of the Deferred Stock Units and the issuance of any shares of Common Stock in settlement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Deferred Stock Units is not subject to the regulations governing public offerings and private placements under the Law on Capital Markets.</w:t>
      </w:r>
    </w:p>
    <w:p>
      <w:pPr>
        <w:spacing w:after="0" w:line="11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Pursuant to the Law on Foreign Exchange Transactions, the Employee is permitted to acquire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under the Plan and hold the shares and any proceeds from the sale of shares of Common Stock in a U.S. brokerage account or other foreign brokerage account. However, the Employee needs permission from the National Bank of Serbia to hold any proceeds from the sale of shares of Common Stock in an offshore bank account. An exemption from this reporting obligation may apply on the basis that the shares of Common Stock are acquired for no consideration. Because the exchange control regulations in Serbia may change without notice, the Employee should consult with their personal advisor to ensure compliance with applicable exchange control laws.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Sale Restriction. </w:t>
      </w:r>
      <w:r>
        <w:rPr>
          <w:rFonts w:ascii="Times New Roman" w:cs="Times New Roman" w:eastAsia="Times New Roman" w:hAnsi="Times New Roman"/>
          <w:sz w:val="20"/>
          <w:szCs w:val="20"/>
          <w:color w:val="auto"/>
        </w:rPr>
        <w:t>The Employee agrees that any shares of Common Stock acquired pursuant to the Deferred Stock Units will not be offered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grant of Deferred Stock Units is being made pursuant to the “Qualifying Person” exemption under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273(1)(f) of the SFA and is not made to the Employee with a view to the Deferred Stock Units being subsequently offered for sale to any other party. The Plan has not been lodged or registered as a prospectus with the Monetary Authority of Singapore.</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Director Notification Requirement. </w:t>
      </w:r>
      <w:r>
        <w:rPr>
          <w:rFonts w:ascii="Times New Roman" w:cs="Times New Roman" w:eastAsia="Times New Roman" w:hAnsi="Times New Roman"/>
          <w:sz w:val="20"/>
          <w:szCs w:val="20"/>
          <w:color w:val="auto"/>
        </w:rPr>
        <w:t>The directors, associate directors and shadow directors of a Singapore subsidiary or affiliate are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certain notification requirements under the Singapore Companies Act. The directors, associate directors and shadow directors must notify the Singapore subsidiary or affiliate in writing of an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Deferred Stock Units, shares of Common Stock, etc.) in the Company or any related companies within two business days of (i) its acquisition or disposal, (ii) any change in a previously disclosed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when the shares of Common Stock are sold), or (iii) becoming a director, associate director or shadow director.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SLOVAK REPUBLIC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SLOVENIA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Slovenian residents may be required to report the opening of bank and/or brokerage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accounts to tax authorities within eight (8) days of opening such account. The Employee should consult with their personal tax advisor to determine whether this requirement will be applicable to any accounts opened in connection with the Employee’s participation in the Plan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the Employee’s brokerage account with the Company’s designated broker).</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SOUTH AFRICA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20"/>
          <w:szCs w:val="20"/>
          <w:b w:val="1"/>
          <w:bCs w:val="1"/>
          <w:color w:val="auto"/>
        </w:rPr>
        <w:t>Securities Law Notice</w:t>
      </w:r>
      <w:r>
        <w:rPr>
          <w:rFonts w:ascii="Times New Roman" w:cs="Times New Roman" w:eastAsia="Times New Roman" w:hAnsi="Times New Roman"/>
          <w:sz w:val="20"/>
          <w:szCs w:val="20"/>
          <w:color w:val="auto"/>
        </w:rPr>
        <w:t>. In compliance with South African Securities Law, the documents listed below are available for the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review on the Company’s public site or intranet site, as applicable, as listed below:</w:t>
      </w:r>
    </w:p>
    <w:p>
      <w:pPr>
        <w:spacing w:after="0" w:line="169" w:lineRule="exact"/>
        <w:rPr>
          <w:sz w:val="20"/>
          <w:szCs w:val="20"/>
          <w:color w:val="auto"/>
        </w:rPr>
      </w:pPr>
    </w:p>
    <w:p>
      <w:pPr>
        <w:ind w:left="660" w:right="920" w:hanging="328"/>
        <w:spacing w:after="0" w:line="269" w:lineRule="auto"/>
        <w:tabs>
          <w:tab w:leader="none" w:pos="66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most recent Annual Report (Form 10-K): from the investor relations section of the Company’s website at http://www.mondelezinternational.com/investors.</w:t>
      </w:r>
    </w:p>
    <w:p>
      <w:pPr>
        <w:spacing w:after="0" w:line="159" w:lineRule="exact"/>
        <w:rPr>
          <w:rFonts w:ascii="Times New Roman" w:cs="Times New Roman" w:eastAsia="Times New Roman" w:hAnsi="Times New Roman"/>
          <w:sz w:val="20"/>
          <w:szCs w:val="20"/>
          <w:color w:val="auto"/>
        </w:rPr>
      </w:pPr>
    </w:p>
    <w:p>
      <w:pPr>
        <w:ind w:left="660" w:right="1240" w:hanging="328"/>
        <w:spacing w:after="0" w:line="283" w:lineRule="auto"/>
        <w:tabs>
          <w:tab w:leader="none" w:pos="66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most recent Plan prospectus: a copy of which can be found on the Company’s Intranet site located at: https://intranet.mdlz.com/sites/globalhr/comp/Pages/Legal-Documents.aspx.</w:t>
      </w:r>
    </w:p>
    <w:p>
      <w:pPr>
        <w:spacing w:after="0" w:line="14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The Employee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spacing w:after="0" w:line="16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Exchange Control Obligations. </w:t>
      </w:r>
      <w:r>
        <w:rPr>
          <w:rFonts w:ascii="Times New Roman" w:cs="Times New Roman" w:eastAsia="Times New Roman" w:hAnsi="Times New Roman"/>
          <w:sz w:val="20"/>
          <w:szCs w:val="20"/>
          <w:color w:val="auto"/>
        </w:rPr>
        <w:t>The Employee is solely responsible for complying with applicable South African exchange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regulations. In particular, the Employee may be required to obtain approval from the South African Reserve Bank for payments (including shares of Common Stock received pursuant to the Plan) that the Employee receives into accounts based outside of South Africa (e.g., a U.S. brokerage account). Since the exchange control regulations change frequently and without notice, the Employee should consult their legal advisor prior to the acquisition or sale of the shares of Common Stock under the Plan to ensure compliance with current regulations. As noted, it is the Employee’s responsibility to comply with South African exchange control laws, and neither the Company nor the Employer will be liable for any fines or penalties resulting from failure to comply with applicable laws.</w:t>
      </w:r>
    </w:p>
    <w:p>
      <w:pPr>
        <w:spacing w:after="0" w:line="17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0"/>
          <w:szCs w:val="20"/>
          <w:b w:val="1"/>
          <w:bCs w:val="1"/>
          <w:color w:val="auto"/>
        </w:rPr>
        <w:t>Tax Clearance Certificate for Plan Participation</w:t>
      </w:r>
      <w:r>
        <w:rPr>
          <w:rFonts w:ascii="Times New Roman" w:cs="Times New Roman" w:eastAsia="Times New Roman" w:hAnsi="Times New Roman"/>
          <w:sz w:val="20"/>
          <w:szCs w:val="20"/>
          <w:color w:val="auto"/>
        </w:rPr>
        <w:t>. To participate in the Plan, the Employee may be required to provide to the Company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Employer, a Tax Clearance Certificate (with respect to Foreign Investments) bearing the official stamp and signature of the Exchange Control Department of the South African Revenue Service (“SARS”).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SOUTH KOREA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13" w:right="379" w:bottom="1440" w:gutter="0" w:footer="0" w:header="0"/>
        </w:sectPr>
      </w:pPr>
    </w:p>
    <w:bookmarkStart w:id="204" w:name="page205"/>
    <w:bookmarkEnd w:id="204"/>
    <w:p>
      <w:pPr>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Exchange Control Notification. </w:t>
      </w:r>
      <w:r>
        <w:rPr>
          <w:rFonts w:ascii="Times New Roman" w:cs="Times New Roman" w:eastAsia="Times New Roman" w:hAnsi="Times New Roman"/>
          <w:sz w:val="20"/>
          <w:szCs w:val="20"/>
          <w:color w:val="auto"/>
        </w:rPr>
        <w:t>If a Korean resident sells shares of Common Stock and deposits sale proceeds in excess of a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threshold (currently, US$5,000) into a non-Korean bank account, the Korean resident must file a report with a Korean foreign exchange bank. This reporting is not required if sale proceeds are instead deposited into a non-Korean brokerage account. It is the Employee’s responsibility to comply with any applicable exchange control reporting obligations in Korea and the Employee should consult with a personal legal advisor to determine the Employee’s reporting obligations.</w:t>
      </w:r>
    </w:p>
    <w:p>
      <w:pPr>
        <w:spacing w:after="0" w:line="21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Foreign Asset/Account Reporting Information. </w:t>
      </w:r>
      <w:r>
        <w:rPr>
          <w:rFonts w:ascii="Times New Roman" w:cs="Times New Roman" w:eastAsia="Times New Roman" w:hAnsi="Times New Roman"/>
          <w:sz w:val="20"/>
          <w:szCs w:val="20"/>
          <w:color w:val="auto"/>
        </w:rPr>
        <w:t>South Korean residents must declare all foreign financial accounts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non-South Korean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accounts, brokerage accounts, etc.) to the South Korean tax authority and file a report with respect to such accounts if the value of such accounts exceeds KRW 500 million (or an equivalent amount in foreign currency) on any month-end date during a calendar year. The Employee should consult with their personal tax advisor to determine how to value the Employee’s foreign accounts for purposes of this reporting requirement and whether the Employee is required to file a report with respect to such accounts.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SPAIN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Nature of the Grant. </w:t>
      </w:r>
      <w:r>
        <w:rPr>
          <w:rFonts w:ascii="Times New Roman" w:cs="Times New Roman" w:eastAsia="Times New Roman" w:hAnsi="Times New Roman"/>
          <w:sz w:val="20"/>
          <w:szCs w:val="20"/>
          <w:color w:val="auto"/>
        </w:rPr>
        <w:t>The following provision supplements paragraph 13 of the Agreement:</w:t>
      </w:r>
    </w:p>
    <w:p>
      <w:pPr>
        <w:spacing w:after="0" w:line="220"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By accepting the Deferred Stock Units, the Employee consents to participation in the Plan and acknowledges that he or she has received a copy of the Plan.</w:t>
      </w:r>
    </w:p>
    <w:p>
      <w:pPr>
        <w:spacing w:after="0" w:line="14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9"/>
          <w:szCs w:val="19"/>
          <w:color w:val="auto"/>
        </w:rPr>
        <w:t>The Employee understands and agrees that, as a condition of the grant of the Deferred Stock Units, except as provided for in paragraph 2 of the Agreement, the termination of the Employee’s employment for any reason (including for the reasons listed below) will automatically result in the loss of the Deferred Stock Units that may have been granted to the Employee and that have not vested on the date of termination.</w:t>
      </w:r>
    </w:p>
    <w:p>
      <w:pPr>
        <w:spacing w:after="0" w:line="15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In particular, the Employee understands and agrees that any unvested Deferred Stock Units as of Employee’s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Furthermore, the Employee understands that the Company has unilaterally, gratuitously and discretionally decided to grant the Deferred Stock Units under the Plan to individuals who may be employees of the Mondelēz Group. The decision is a limited decision that is entered into upon the express assumption and condition that:</w:t>
      </w:r>
    </w:p>
    <w:p>
      <w:pPr>
        <w:spacing w:after="0" w:line="195" w:lineRule="exact"/>
        <w:rPr>
          <w:sz w:val="20"/>
          <w:szCs w:val="20"/>
          <w:color w:val="auto"/>
        </w:rPr>
      </w:pPr>
    </w:p>
    <w:p>
      <w:pPr>
        <w:ind w:left="660" w:right="200" w:hanging="328"/>
        <w:spacing w:after="0" w:line="258" w:lineRule="auto"/>
        <w:tabs>
          <w:tab w:leader="none" w:pos="65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Grant will not economically or otherwise bind the Mondelēz Group on an ongoing basis other than to the extent set forth in the Agreement;</w:t>
      </w:r>
    </w:p>
    <w:p>
      <w:pPr>
        <w:ind w:left="660" w:right="640" w:hanging="328"/>
        <w:spacing w:after="0" w:line="249" w:lineRule="auto"/>
        <w:tabs>
          <w:tab w:leader="none" w:pos="65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Deferred Stock Units and the shares of Common Stock issued upon vesting shall not become a part of any employment or contract (with the Mondelēz Group, including the Employer) and shall not be considered a mandatory benefit, salary for any purposes (including severance compensation) or any other right whatsoever;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09"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20"/>
          <w:szCs w:val="20"/>
          <w:color w:val="auto"/>
        </w:rPr>
        <w:t>(iii) the Deferred Stock Units will cease vesting upon termination of the Employee’s employment, as detailed in the paragraph above.</w:t>
      </w:r>
    </w:p>
    <w:p>
      <w:pPr>
        <w:spacing w:after="0" w:line="24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Furthermore, the Employee understands and freely accepts that there is no guarantee that any benefit whatsoever will arise from the Deferred Stock Units, which is gratuitous and discretionary, since the future value of the underlying shares of Common Stock is unknown and unpredictable. In addition, the Employee understands that the grant of the Deferred Stock Units would not be made to the Employee but for the assumptions and conditions referred to above; thus, the Employee acknowledges and freely accepts that should any or all of the assumptions be mistaken or should any of the conditions not be met for any reason, then any grant to the Employee of the Deferred Stock Units shall be null and void.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No “offer of securities to the public,” as defined under Spanish law, has taken place or will take place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Spanish territory. The Agreement (including this Appendix) has not been nor will it be registered with the </w:t>
      </w:r>
      <w:r>
        <w:rPr>
          <w:rFonts w:ascii="Times New Roman" w:cs="Times New Roman" w:eastAsia="Times New Roman" w:hAnsi="Times New Roman"/>
          <w:sz w:val="20"/>
          <w:szCs w:val="20"/>
          <w:i w:val="1"/>
          <w:iCs w:val="1"/>
          <w:color w:val="auto"/>
        </w:rPr>
        <w:t>Comisión Nacional del Mercado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 Valores</w:t>
      </w:r>
      <w:r>
        <w:rPr>
          <w:rFonts w:ascii="Times New Roman" w:cs="Times New Roman" w:eastAsia="Times New Roman" w:hAnsi="Times New Roman"/>
          <w:sz w:val="20"/>
          <w:szCs w:val="20"/>
          <w:color w:val="auto"/>
        </w:rPr>
        <w:t>, and does not constitute a public offering prospectus.</w:t>
      </w:r>
    </w:p>
    <w:p>
      <w:pPr>
        <w:spacing w:after="0" w:line="182"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Employee may be required to declare electronically to the Bank of Spain any foreign accounts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brokerage accounts held abroad), any foreign instruments (including any shares of Common Stock acquired under the Plan) and any transactions with non-Spanish residents (including any payments of shares of Common Stock made to the Employee by the Company) depending on the value of such accounts and instruments and the amount of the transactions during the relevant year as of December 31 of the relevant year.</w:t>
      </w:r>
    </w:p>
    <w:p>
      <w:pPr>
        <w:spacing w:after="0" w:line="17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Foreign Asset/Accounting Reporting Information. </w:t>
      </w:r>
      <w:r>
        <w:rPr>
          <w:rFonts w:ascii="Times New Roman" w:cs="Times New Roman" w:eastAsia="Times New Roman" w:hAnsi="Times New Roman"/>
          <w:sz w:val="19"/>
          <w:szCs w:val="19"/>
          <w:color w:val="auto"/>
        </w:rPr>
        <w:t>If the Employee holds rights or assets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shares of Common Stock or cash held in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bank or brokerage account) outside Spain with a value in excess of a certain threshold (currently, €50,000) per type of right or asset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shares of Common Stock, cash, etc.) as of December 31 each year, the Employee is required to report certain information regarding such rights and assets on tax form 720. After such rights and/or assets are initially reported, the reporting obligation will apply for subsequent</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years only if the value of any previously-reported rights or assets increases by more than a certain threshold (currently, €20,000), or if ownership of the asset is transferred or relinquished during the year. If the value of such rights and/or assets does not exceed a certain threshold (currently, €50,000), a summarized form of declaration may be presented. The Employee should consult their personal tax advisor for details regarding this requirement.</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SWEDEN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Withholding Taxes. </w:t>
      </w:r>
      <w:r>
        <w:rPr>
          <w:rFonts w:ascii="Times New Roman" w:cs="Times New Roman" w:eastAsia="Times New Roman" w:hAnsi="Times New Roman"/>
          <w:sz w:val="20"/>
          <w:szCs w:val="20"/>
          <w:color w:val="auto"/>
        </w:rPr>
        <w:t>The following provision supplements paragraph 5 of the Agreement:</w:t>
      </w:r>
    </w:p>
    <w:p>
      <w:pPr>
        <w:spacing w:after="0" w:line="220"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Without limiting the Company’s and the Employer’s authority to satisfy their withholding obligations for Tax-Related Items as set forth in paragraph 5 of the Agreement, by accepting the Deferred Stock Units, the Employee authorizes the Company and/or the Employer to withhold shares of Common Stock or to sell shares of Common Stock otherwise deliverable to the Employee upon vesting to satisfy Tax-Related Items, regardless of whether the Company and/or the Employer have an obligation to withhold such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180"/>
          </w:cols>
          <w:pgMar w:left="320" w:top="1413" w:right="399" w:bottom="1440" w:gutter="0" w:footer="0" w:header="0"/>
        </w:sectPr>
      </w:pPr>
    </w:p>
    <w:bookmarkStart w:id="206" w:name="page207"/>
    <w:bookmarkEnd w:id="206"/>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SWITZERLAND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The Deferred Stock Units are not intended to be publicly offered in or from Switzerland and is therefore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securities registration in Switzerland. Neither this document nor any other materials relating to the Deferred Stock Units (i) constitutes a prospectus according to articles 35 et seq. of the Swiss Federal Act on Financial Services (“</w:t>
      </w:r>
      <w:r>
        <w:rPr>
          <w:rFonts w:ascii="Times New Roman" w:cs="Times New Roman" w:eastAsia="Times New Roman" w:hAnsi="Times New Roman"/>
          <w:sz w:val="20"/>
          <w:szCs w:val="20"/>
          <w:u w:val="single" w:color="auto"/>
          <w:color w:val="auto"/>
        </w:rPr>
        <w:t>FinSA</w:t>
      </w:r>
      <w:r>
        <w:rPr>
          <w:rFonts w:ascii="Times New Roman" w:cs="Times New Roman" w:eastAsia="Times New Roman" w:hAnsi="Times New Roman"/>
          <w:sz w:val="20"/>
          <w:szCs w:val="20"/>
          <w:color w:val="auto"/>
        </w:rPr>
        <w:t>”)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TAIWAN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Data Privacy Consent. </w:t>
      </w:r>
      <w:r>
        <w:rPr>
          <w:rFonts w:ascii="Times New Roman" w:cs="Times New Roman" w:eastAsia="Times New Roman" w:hAnsi="Times New Roman"/>
          <w:sz w:val="20"/>
          <w:szCs w:val="20"/>
          <w:color w:val="auto"/>
        </w:rPr>
        <w:t>The Employee hereby acknowledges that he or she has read and understood the terms regarding collection,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processing and transfer of Data contained in paragraph 14 of the Agreement and by participating in the Plan, the Employee agrees to such terms. In this regard, upon request of the Company or the Employer, the Employee agrees to provide an executed data privacy consent form to the Employer or the Company (or any other agreements or consents that may be required by the Employer or the Company) that the Company and/or the Employer may deem necessary to obtain under the data privacy laws in the Employee’s country, either now or in the future. The Employee understands he or she will not be able to participate in the Plan if the Employee fails to execute any such consent or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Deferred Stock Units and the shares of Common Stock to be issued pursuant to the Plan are available only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employees of the Mondelēz Group. The grant of Deferred Stock Units does not constitute a public offer of securities.</w:t>
      </w:r>
    </w:p>
    <w:p>
      <w:pPr>
        <w:spacing w:after="0" w:line="16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Employee may acquire and remit foreign currency (including proceeds from the sale of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into Taiwan up to a certain threshold (currently, US$10,000,000) per year. If the transaction amount equals or exceeds a certain threshold (currently, TWD$500,000) in a single transaction, the Employee must submit a foreign exchange transaction form and also provide supporting documentation to the satisfaction of the remitting bank. The Employee should consult his or her personal advisor to ensure compliance with applicable exchange control laws in Taiwan.</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THAILAND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If the Employee receives proceeds from the sale of shares of Common Stock or cash dividends in relation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shares of Common Stock equal to or in excess of a certain threshold (currently, US$1,000,000) in a single transaction, the Employee must immediately repatriate the funds to Thailand (or utilize such funds offshore for permissible purposes) and convert the funds to Thai Baht within 360 days of repatriation or deposit the funds in an authorized foreign exchange account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20"/>
          </w:cols>
          <w:pgMar w:left="320" w:top="1409" w:right="359" w:bottom="1440" w:gutter="0" w:footer="0" w:header="0"/>
        </w:sectPr>
      </w:pPr>
    </w:p>
    <w:bookmarkStart w:id="207" w:name="page208"/>
    <w:bookmarkEnd w:id="207"/>
    <w:p>
      <w:pPr>
        <w:ind w:right="140"/>
        <w:spacing w:after="0" w:line="269" w:lineRule="auto"/>
        <w:rPr>
          <w:sz w:val="20"/>
          <w:szCs w:val="20"/>
          <w:color w:val="auto"/>
        </w:rPr>
      </w:pPr>
      <w:r>
        <w:rPr>
          <w:rFonts w:ascii="Times New Roman" w:cs="Times New Roman" w:eastAsia="Times New Roman" w:hAnsi="Times New Roman"/>
          <w:sz w:val="20"/>
          <w:szCs w:val="20"/>
          <w:color w:val="auto"/>
        </w:rPr>
        <w:t>Thailand. The Employee is also required to provide details of the transaction (i.e., identification information and purpose of the transaction) to the receiving bank.</w:t>
      </w:r>
    </w:p>
    <w:p>
      <w:pPr>
        <w:spacing w:after="0" w:line="17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If the Employee does not repatriate such funds and utilizes them offshore for permissible purposes (i.e., purposes not listed in the negative list prescribed by the Bank of Thailand), the Employee must obtain a waiver of the repatriation requirement from a commercial bank in Thailand by submitting an application and supporting documents evidencing that such funds will be utilized offshore for permissible purposes.</w:t>
      </w:r>
    </w:p>
    <w:p>
      <w:pPr>
        <w:spacing w:after="0" w:line="174"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Employee should consult their personal advisor prior to taking any action with respect to remittance of proceeds from the sale of shares of Common Stock into Thailand. The Employee is responsible for ensuring compliance with all exchange control laws in Thailand.</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TÜRKIYE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Under Turkish law, the Employee is not permitted to sell shares of Common Stock acquired under the Plan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Turkey. The shares of Common Stock are currently traded on the Nasdaq Global Select Market, which is located outside Turkey and the shares of Common Stock may be sold through this exchange.</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Exchange Control Information. </w:t>
      </w:r>
      <w:r>
        <w:rPr>
          <w:rFonts w:ascii="Times New Roman" w:cs="Times New Roman" w:eastAsia="Times New Roman" w:hAnsi="Times New Roman"/>
          <w:sz w:val="20"/>
          <w:szCs w:val="20"/>
          <w:color w:val="auto"/>
        </w:rPr>
        <w:t>The Employee may be required to engage a Turkish financial intermediary to assist with the sale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Common Stock acquired under the Plan. To the extent a Turkish financial intermediary is required in connection with the sale of any shares of Common Stock acquired under the Plan, the Employee is solely responsible for engaging such Turkish financial intermediary. The Employee should consult their personal legal advisor prior to the vesting of the Deferred Stock Units or any sale of shares of Common Stock to ensure compliance with the current requirements.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UKRAINE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Deferred Stock Units Payable Only in Cash. </w:t>
      </w:r>
      <w:r>
        <w:rPr>
          <w:rFonts w:ascii="Times New Roman" w:cs="Times New Roman" w:eastAsia="Times New Roman" w:hAnsi="Times New Roman"/>
          <w:sz w:val="20"/>
          <w:szCs w:val="20"/>
          <w:color w:val="auto"/>
        </w:rPr>
        <w:t>Notwithstanding any discretion in the Plan or anything to the contrary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paragraph 7 of the Agreement), the grant of Deferred Stock Units does not provide any right for the Employee to receive shares of Common Stock upon the Vesting Date. Deferred Stock Units granted to Employees in Ukraine shall be paid in cash in an amount equal to the value of the shares of Common Stock on the Vesting Date.</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UNITED ARAB EMIRATES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Participation in the Plan is being offered only to selected Employees and is in the nature of providing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incentives to Employees in the United Arab Emirates (“</w:t>
      </w:r>
      <w:r>
        <w:rPr>
          <w:rFonts w:ascii="Times New Roman" w:cs="Times New Roman" w:eastAsia="Times New Roman" w:hAnsi="Times New Roman"/>
          <w:sz w:val="21"/>
          <w:szCs w:val="21"/>
          <w:u w:val="single" w:color="auto"/>
          <w:color w:val="auto"/>
        </w:rPr>
        <w:t>UAE</w:t>
      </w:r>
      <w:r>
        <w:rPr>
          <w:rFonts w:ascii="Times New Roman" w:cs="Times New Roman" w:eastAsia="Times New Roman" w:hAnsi="Times New Roman"/>
          <w:sz w:val="20"/>
          <w:szCs w:val="20"/>
          <w:color w:val="auto"/>
        </w:rPr>
        <w:t>”). The Plan and the Agreement are intended for distribution only to such Employees and must not be delivered to, or relied on by, any other person. Prospective purchasers of the securities offered should conduct their own due diligence on the securities.</w:t>
      </w:r>
    </w:p>
    <w:p>
      <w:pPr>
        <w:spacing w:after="0" w:line="202"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If the Employee does not understand the contents of the Plan and the Agreement, the Employee should consult an authorized financial adviser. The Emirates Securities and Commodities Authority has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00"/>
          </w:cols>
          <w:pgMar w:left="320" w:top="1413" w:right="379" w:bottom="1440" w:gutter="0" w:footer="0" w:header="0"/>
        </w:sectPr>
      </w:pPr>
    </w:p>
    <w:bookmarkStart w:id="208" w:name="page209"/>
    <w:bookmarkEnd w:id="208"/>
    <w:p>
      <w:pPr>
        <w:ind w:right="140"/>
        <w:spacing w:after="0" w:line="295" w:lineRule="auto"/>
        <w:rPr>
          <w:sz w:val="20"/>
          <w:szCs w:val="20"/>
          <w:color w:val="auto"/>
        </w:rPr>
      </w:pPr>
      <w:r>
        <w:rPr>
          <w:rFonts w:ascii="Times New Roman" w:cs="Times New Roman" w:eastAsia="Times New Roman" w:hAnsi="Times New Roman"/>
          <w:sz w:val="19"/>
          <w:szCs w:val="19"/>
          <w:color w:val="auto"/>
        </w:rPr>
        <w:t>responsibility for reviewing or verifying any documents in connection with the Plan. No other UAE authority or governmental agency has approved the Plan or the Agreement nor taken steps to verify the information set out therein, and have no responsibility for such documents.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 (“U.K.”)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Withholding Taxes. </w:t>
      </w:r>
      <w:r>
        <w:rPr>
          <w:rFonts w:ascii="Times New Roman" w:cs="Times New Roman" w:eastAsia="Times New Roman" w:hAnsi="Times New Roman"/>
          <w:sz w:val="20"/>
          <w:szCs w:val="20"/>
          <w:color w:val="auto"/>
        </w:rPr>
        <w:t>The following provision supplements paragraph 5 of the Agreement:</w:t>
      </w:r>
    </w:p>
    <w:p>
      <w:pPr>
        <w:spacing w:after="0" w:line="23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Without limitation to paragraph 5 of the Agreement, the Employee hereby agrees that he or she is liable for all Tax-Related Items and hereby covenants to pay all such Tax-Related Items, as and when requested by the Company or the Employer, as applicable, or by HM Revenue &amp; Customs (“</w:t>
      </w:r>
      <w:r>
        <w:rPr>
          <w:rFonts w:ascii="Times New Roman" w:cs="Times New Roman" w:eastAsia="Times New Roman" w:hAnsi="Times New Roman"/>
          <w:sz w:val="20"/>
          <w:szCs w:val="20"/>
          <w:u w:val="single" w:color="auto"/>
          <w:color w:val="auto"/>
        </w:rPr>
        <w:t>HMRC</w:t>
      </w:r>
      <w:r>
        <w:rPr>
          <w:rFonts w:ascii="Times New Roman" w:cs="Times New Roman" w:eastAsia="Times New Roman" w:hAnsi="Times New Roman"/>
          <w:sz w:val="20"/>
          <w:szCs w:val="20"/>
          <w:color w:val="auto"/>
        </w:rPr>
        <w:t>”) (or any other tax authority or any other relevant authority). The Employee also hereby agrees to indemnify and keep indemnified the Company and the Employer, as applicable, against any Tax-Related Items that they are required to pay or withhold or have paid or will pay to HMRC (or any other tax authority or any other relevant authority) on the Employee’s behalf.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Notwithstanding the foregoing, if the Employee is a director or executive officer of the Company (within the meaning of Section 13(k) of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Exchange Act), the Employee understands that he or she may not be able to indemnify the Company for the amount of any Tax-Related Items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collected from or paid by the Employee, in case the indemnification could be considered to be a loan. In this case, the Tax-Related Items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collected or paid may constitute a benefit to the Employee on which additional income tax and National Insurance Contributions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NICs</w:t>
      </w:r>
      <w:r>
        <w:rPr>
          <w:rFonts w:ascii="Times New Roman" w:cs="Times New Roman" w:eastAsia="Times New Roman" w:hAnsi="Times New Roman"/>
          <w:sz w:val="20"/>
          <w:szCs w:val="20"/>
          <w:color w:val="auto"/>
        </w:rPr>
        <w:t>”) may be payable. The Employee understands that he or she will be responsible for reporting and paying any income tax due on this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benefit directly to HMRC under the self-assessment regime and for paying to the Company and/or the Employer (as appropriate)</w:t>
      </w:r>
    </w:p>
    <w:p>
      <w:pPr>
        <w:spacing w:after="0"/>
        <w:rPr>
          <w:sz w:val="20"/>
          <w:szCs w:val="20"/>
          <w:color w:val="auto"/>
        </w:rPr>
      </w:pPr>
      <w:r>
        <w:rPr>
          <w:rFonts w:ascii="Times New Roman" w:cs="Times New Roman" w:eastAsia="Times New Roman" w:hAnsi="Times New Roman"/>
          <w:sz w:val="20"/>
          <w:szCs w:val="20"/>
          <w:color w:val="auto"/>
        </w:rPr>
        <w:t>the amount of any NICs due on this additional benefit, which may also be recovered from the Employee by any of the means referred to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paragraph 5 of the Agreement.</w:t>
      </w:r>
    </w:p>
    <w:p>
      <w:pPr>
        <w:spacing w:after="0" w:line="20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20"/>
          <w:szCs w:val="20"/>
          <w:color w:val="auto"/>
        </w:rPr>
        <w:t>In addition, the Employee agrees that the Company and/or the Employer may calculate the Tax-Related Items to be withheld and accounted for by reference to the maximum applicable rates, without prejudice to any right the Employee may have to recover any overpayment from the relevant tax authorities.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UNITED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ALL STATES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b w:val="1"/>
          <w:bCs w:val="1"/>
          <w:color w:val="auto"/>
        </w:rPr>
        <w:t>Foreign Asset/Accounting Reporting Information</w:t>
      </w:r>
      <w:r>
        <w:rPr>
          <w:rFonts w:ascii="Times New Roman" w:cs="Times New Roman" w:eastAsia="Times New Roman" w:hAnsi="Times New Roman"/>
          <w:sz w:val="20"/>
          <w:szCs w:val="20"/>
          <w:color w:val="auto"/>
        </w:rPr>
        <w:t>. If the Employee holds assets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0"/>
          <w:szCs w:val="20"/>
          <w:color w:val="auto"/>
        </w:rPr>
        <w:t>., Deferred Stock Units or Common Stock)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assets in an account outside the United States and the aggregate amount of said assets is a certain threshold (currently, US$10,000) or more, the Employee is required to submit a report of Foreign Bank and Financial Account with the United States Internal Revenue Service by June 30 of the year following the year in which the assets in the Employee’s account meet the threshold.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CALIFORNIA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47</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If the Employee is a resident of California:</w:t>
      </w:r>
    </w:p>
    <w:p>
      <w:pPr>
        <w:spacing w:after="0" w:line="260" w:lineRule="exact"/>
        <w:rPr>
          <w:sz w:val="20"/>
          <w:szCs w:val="20"/>
          <w:color w:val="auto"/>
        </w:rPr>
      </w:pPr>
    </w:p>
    <w:p>
      <w:pPr>
        <w:ind w:left="660" w:right="60" w:hanging="328"/>
        <w:spacing w:after="0" w:line="285" w:lineRule="auto"/>
        <w:tabs>
          <w:tab w:leader="none" w:pos="66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Paragraph 9(a), which includes post-termination noncompetition, employee nonsolicitation and customer nonsolicitation restrictions, shall not apply. Paragraph 9(a) shall be deleted and the other sub-sections of paragraph 9 shall be renumbered accordingly.</w:t>
      </w:r>
    </w:p>
    <w:p>
      <w:pPr>
        <w:spacing w:after="0" w:line="169"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language shall be added as a new sub-section at the end of paragraph 9:</w:t>
      </w:r>
    </w:p>
    <w:p>
      <w:pPr>
        <w:spacing w:after="0" w:line="243" w:lineRule="exact"/>
        <w:rPr>
          <w:sz w:val="20"/>
          <w:szCs w:val="20"/>
          <w:color w:val="auto"/>
        </w:rPr>
      </w:pPr>
    </w:p>
    <w:p>
      <w:pPr>
        <w:ind w:left="1300" w:right="120"/>
        <w:spacing w:after="0" w:line="253" w:lineRule="auto"/>
        <w:rPr>
          <w:sz w:val="20"/>
          <w:szCs w:val="20"/>
          <w:color w:val="auto"/>
        </w:rPr>
      </w:pPr>
      <w:r>
        <w:rPr>
          <w:rFonts w:ascii="Times New Roman" w:cs="Times New Roman" w:eastAsia="Times New Roman" w:hAnsi="Times New Roman"/>
          <w:sz w:val="20"/>
          <w:szCs w:val="20"/>
          <w:color w:val="auto"/>
        </w:rPr>
        <w:t>Nothing in this Agreement is intended to interfere with the Employee’s rights to discuss the Employee’s wages and working conditions under the California Labor Code or the Employee’s rights under California Code of Civil Procedure § 1670.11 or California Government Code § 12964.5. Moreover, nothing in this Agreement prevents the Employee from discussing or disclosing information about unlawful acts in the workplace, such as harassment or discrimination or any other conduct that the Employee has reason to believe is unlawful.</w:t>
      </w:r>
    </w:p>
    <w:p>
      <w:pPr>
        <w:spacing w:after="0" w:line="219" w:lineRule="exact"/>
        <w:rPr>
          <w:sz w:val="20"/>
          <w:szCs w:val="20"/>
          <w:color w:val="auto"/>
        </w:rPr>
      </w:pPr>
    </w:p>
    <w:p>
      <w:pPr>
        <w:ind w:left="660" w:right="280" w:hanging="328"/>
        <w:spacing w:after="0" w:line="245" w:lineRule="auto"/>
        <w:tabs>
          <w:tab w:leader="none" w:pos="6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during employment, the Employee primarily resided in California, this Agreement shall be governed by California law and any disputes arising under this Agreement shall be heard in a California state or federal court.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 Terms</w:t>
      </w:r>
      <w:r>
        <w:rPr>
          <w:rFonts w:ascii="Times New Roman" w:cs="Times New Roman" w:eastAsia="Times New Roman" w:hAnsi="Times New Roman"/>
          <w:sz w:val="20"/>
          <w:szCs w:val="20"/>
          <w:color w:val="auto"/>
        </w:rPr>
        <w:t>. This provision supplements paragraph 14 of the Agreement:</w:t>
      </w:r>
    </w:p>
    <w:p>
      <w:pPr>
        <w:spacing w:after="0" w:line="24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Pursuant to applicable data protection laws, the Employee is hereby notified that the Company collects, processes, uses and transfers certain personally-identifiable information about the Employee for the exclusive legitimate purpose of administering the Plan and implementing, administering and managing your participation in the Plan. For California residents, the categories of personal,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Company does not sell the Employee’s Personal Data or share it for cross-context behavioral advertising. If the Employee would like a copy of the Company’s privacy policy, please contact a local human resources representative.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COLORADO</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If the Employee is a resident of Colorado:</w:t>
      </w:r>
    </w:p>
    <w:p>
      <w:pPr>
        <w:spacing w:after="0" w:line="260" w:lineRule="exact"/>
        <w:rPr>
          <w:sz w:val="20"/>
          <w:szCs w:val="20"/>
          <w:color w:val="auto"/>
        </w:rPr>
      </w:pPr>
    </w:p>
    <w:p>
      <w:pPr>
        <w:ind w:left="660" w:right="100" w:hanging="328"/>
        <w:spacing w:after="0" w:line="248" w:lineRule="auto"/>
        <w:tabs>
          <w:tab w:leader="none" w:pos="6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post-termination noncompetition restrictions in paragraph 9(a)(1) shall not apply unless the Employee’s annualized cash compensation exceeds the statutory “highly compensated worker” threshold either at the time the Agreement is entered into or at the time of enforcement. The highly compensated worker threshold is US$127,091 for 2025 and is adjusted annually for inflation.</w:t>
      </w:r>
    </w:p>
    <w:p>
      <w:pPr>
        <w:spacing w:after="0" w:line="222" w:lineRule="exact"/>
        <w:rPr>
          <w:sz w:val="20"/>
          <w:szCs w:val="20"/>
          <w:color w:val="auto"/>
        </w:rPr>
      </w:pPr>
    </w:p>
    <w:p>
      <w:pPr>
        <w:ind w:left="660" w:right="60" w:hanging="328"/>
        <w:spacing w:after="0" w:line="248" w:lineRule="auto"/>
        <w:tabs>
          <w:tab w:leader="none" w:pos="6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post-termination customer nonsolicitaton restrictions in paragraph 9(a)(3) shall not apply unless the Employee’s annualized cash compensation exceeds 60% of the statutory “highly compensated worker threshold” (“</w:t>
      </w:r>
      <w:r>
        <w:rPr>
          <w:rFonts w:ascii="Times New Roman" w:cs="Times New Roman" w:eastAsia="Times New Roman" w:hAnsi="Times New Roman"/>
          <w:sz w:val="20"/>
          <w:szCs w:val="20"/>
          <w:u w:val="single" w:color="auto"/>
          <w:color w:val="auto"/>
        </w:rPr>
        <w:t>Nonsolicitation Compensation Threshold</w:t>
      </w:r>
      <w:r>
        <w:rPr>
          <w:rFonts w:ascii="Times New Roman" w:cs="Times New Roman" w:eastAsia="Times New Roman" w:hAnsi="Times New Roman"/>
          <w:sz w:val="20"/>
          <w:szCs w:val="20"/>
          <w:color w:val="auto"/>
        </w:rPr>
        <w:t>”) either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48</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22" w:right="339" w:bottom="1440" w:gutter="0" w:footer="0" w:header="0"/>
        </w:sectPr>
      </w:pPr>
    </w:p>
    <w:bookmarkStart w:id="210" w:name="page211"/>
    <w:bookmarkEnd w:id="210"/>
    <w:p>
      <w:pPr>
        <w:ind w:left="660"/>
        <w:spacing w:after="0"/>
        <w:rPr>
          <w:sz w:val="20"/>
          <w:szCs w:val="20"/>
          <w:color w:val="auto"/>
        </w:rPr>
      </w:pPr>
      <w:r>
        <w:rPr>
          <w:rFonts w:ascii="Times New Roman" w:cs="Times New Roman" w:eastAsia="Times New Roman" w:hAnsi="Times New Roman"/>
          <w:sz w:val="19"/>
          <w:szCs w:val="19"/>
          <w:color w:val="auto"/>
        </w:rPr>
        <w:t>the Agreement is entered into or at the time of enforcement. The Nonsolicitation Compensation Threshold is US$76,254.60 for 2025.</w:t>
      </w:r>
    </w:p>
    <w:p>
      <w:pPr>
        <w:spacing w:after="0" w:line="268" w:lineRule="exact"/>
        <w:rPr>
          <w:sz w:val="20"/>
          <w:szCs w:val="20"/>
          <w:color w:val="auto"/>
        </w:rPr>
      </w:pPr>
    </w:p>
    <w:p>
      <w:pPr>
        <w:ind w:left="660" w:right="60" w:hanging="328"/>
        <w:spacing w:after="0" w:line="259" w:lineRule="auto"/>
        <w:tabs>
          <w:tab w:leader="none" w:pos="6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Employee acknowledges that the post-termination noncompetition and customer nonsolicitation restrictions in paragraph 9(a)(1) and 9(a)(3) of the Agreement are no broader than is reasonably necessary to protect the Employer’s trade secrets.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DISTRICT OF COLOMBIA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b w:val="1"/>
          <w:bCs w:val="1"/>
          <w:color w:val="auto"/>
        </w:rPr>
        <w:t>Restrictions and Covenants</w:t>
      </w:r>
      <w:r>
        <w:rPr>
          <w:rFonts w:ascii="Times New Roman" w:cs="Times New Roman" w:eastAsia="Times New Roman" w:hAnsi="Times New Roman"/>
          <w:sz w:val="19"/>
          <w:szCs w:val="19"/>
          <w:color w:val="auto"/>
        </w:rPr>
        <w:t>. If the Employee is a resident of the District of Colombia, the post-termination noncompetition restrictions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paragraph 9(a)(1) shall not apply unless the Employee’s compensation (including wages, bonus, commissions, vested stock and other payments in connection with employment) is reasonably expected to equal or exceed in a consecutive twelve (12) month period, or does equal or exceed in the consecutive twelve (12) month period preceding the date of the Employee’s termination of employment with the Employer, the statutory threshold for a “highly compensated employee”, which is US$158,363 for 2025 and is adjusted annually for inflation.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ILLINOIS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If the Employee is a resident of Illinois:</w:t>
      </w:r>
    </w:p>
    <w:p>
      <w:pPr>
        <w:spacing w:after="0" w:line="260" w:lineRule="exact"/>
        <w:rPr>
          <w:sz w:val="20"/>
          <w:szCs w:val="20"/>
          <w:color w:val="auto"/>
        </w:rPr>
      </w:pPr>
    </w:p>
    <w:p>
      <w:pPr>
        <w:ind w:left="660" w:right="160" w:hanging="328"/>
        <w:spacing w:after="0" w:line="245" w:lineRule="auto"/>
        <w:tabs>
          <w:tab w:leader="none" w:pos="6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post-termination noncompetition restrictions in paragraph 9(a)(1) shall not apply unless the Employee’s annualized rate of earnings at the time the restrictions are entered into exceeds the statutory minimum, which is US$75,000 until December 31, 2026 and is scheduled to increase to US$80,000 per year on January 1, 2027, US$85,000 per year on January 1, 2032 and US$90,000 per year on January 1, 2037.</w:t>
      </w:r>
    </w:p>
    <w:p>
      <w:pPr>
        <w:spacing w:after="0" w:line="239" w:lineRule="exact"/>
        <w:rPr>
          <w:sz w:val="20"/>
          <w:szCs w:val="20"/>
          <w:color w:val="auto"/>
        </w:rPr>
      </w:pPr>
    </w:p>
    <w:p>
      <w:pPr>
        <w:ind w:left="660" w:right="320" w:hanging="328"/>
        <w:spacing w:after="0" w:line="262" w:lineRule="auto"/>
        <w:tabs>
          <w:tab w:leader="none" w:pos="66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post-termination employee nonsolicitation restrictions in paragraph 9(a)(2) and the post-termination customer nonsolicitaton restrictions in paragraph 9(a)(3) shall not apply unless the Employee’s annualized rate of earnings at the time the restrictions are entered into exceed the statutory minimum, which is US$45,000 per year until December 31, 2026 and is scheduled to increase to US$47,500 per year on January 1, 2027, US$50,000 per year on January 1, 2032 and US$52,500 per year on January 1, 2037.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MINNESOTA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If the Employee is a resident of Minnesota, the post-termination noncompetition restrictions in paragraph 9(a)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shall not apply.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WASHINGTON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Restrictions and Covenants</w:t>
      </w:r>
      <w:r>
        <w:rPr>
          <w:rFonts w:ascii="Times New Roman" w:cs="Times New Roman" w:eastAsia="Times New Roman" w:hAnsi="Times New Roman"/>
          <w:sz w:val="20"/>
          <w:szCs w:val="20"/>
          <w:color w:val="auto"/>
        </w:rPr>
        <w:t>. If the Employee is a resident of Washington: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211" w:name="page212"/>
    <w:bookmarkEnd w:id="211"/>
    <w:p>
      <w:pPr>
        <w:spacing w:after="0" w:line="230" w:lineRule="exact"/>
        <w:rPr>
          <w:sz w:val="20"/>
          <w:szCs w:val="20"/>
          <w:color w:val="auto"/>
        </w:rPr>
      </w:pPr>
    </w:p>
    <w:p>
      <w:pPr>
        <w:ind w:left="660" w:right="60" w:hanging="328"/>
        <w:spacing w:after="0" w:line="267" w:lineRule="auto"/>
        <w:tabs>
          <w:tab w:leader="none" w:pos="66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post-termination noncompetition restrictions in paragraph 9(a)(1) and the post-termination customer nonsolicitation restrictions in paragraph 9(a)(3) shall not apply unless the Employee’s earnings from the Employer exceed the statutory threshold for Box 1 W-2 annual compensation, which is US$126,858.83 for 2026 and is adjusted annually for inflation (“</w:t>
      </w:r>
      <w:r>
        <w:rPr>
          <w:rFonts w:ascii="Times New Roman" w:cs="Times New Roman" w:eastAsia="Times New Roman" w:hAnsi="Times New Roman"/>
          <w:sz w:val="19"/>
          <w:szCs w:val="19"/>
          <w:u w:val="single" w:color="auto"/>
          <w:color w:val="auto"/>
        </w:rPr>
        <w:t>Earnings Threshold</w:t>
      </w:r>
      <w:r>
        <w:rPr>
          <w:rFonts w:ascii="Times New Roman" w:cs="Times New Roman" w:eastAsia="Times New Roman" w:hAnsi="Times New Roman"/>
          <w:sz w:val="19"/>
          <w:szCs w:val="19"/>
          <w:color w:val="auto"/>
        </w:rPr>
        <w:t>”).</w:t>
      </w:r>
    </w:p>
    <w:p>
      <w:pPr>
        <w:spacing w:after="0" w:line="204" w:lineRule="exact"/>
        <w:rPr>
          <w:sz w:val="20"/>
          <w:szCs w:val="20"/>
          <w:color w:val="auto"/>
        </w:rPr>
      </w:pPr>
    </w:p>
    <w:p>
      <w:pPr>
        <w:ind w:left="660" w:right="220" w:hanging="328"/>
        <w:spacing w:after="0" w:line="245" w:lineRule="auto"/>
        <w:tabs>
          <w:tab w:leader="none" w:pos="6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Employee agrees that if, at the time the Employee signs this Agreement, the Employee’s earnings do not exceed the Earnings Threshold, the post-termination noncompetition restrictions in paragraph 9(a)(1) and the post-termination customer nonsolicitation restrictions in paragraph 9(a)(3) will automatically become enforceable against the Employee if and when the Employee’s earnings exceed the Earnings Threshold.</w:t>
      </w:r>
    </w:p>
    <w:p>
      <w:pPr>
        <w:spacing w:after="0" w:line="212" w:lineRule="exact"/>
        <w:rPr>
          <w:sz w:val="20"/>
          <w:szCs w:val="20"/>
          <w:color w:val="auto"/>
        </w:rPr>
      </w:pPr>
    </w:p>
    <w:p>
      <w:pPr>
        <w:ind w:left="660" w:right="20" w:hanging="328"/>
        <w:spacing w:after="0" w:line="249" w:lineRule="auto"/>
        <w:tabs>
          <w:tab w:leader="none" w:pos="651"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post-termination noncompetition restrictions in paragraph 9(a)(1) and the post-termination customer nonsolicitaton restrictions in paragraph 9(a)(3) shall not apply if the Employee is terminated as the result of a layoff unless, during the period of enforcement, the Employer pays the Employee compensation equivalent to the Employee’s final base pay at the time of termination of employment minus the amount of any compensation the Employee earns through employment after the end of the Employee’s employment with the Employer, which the Employee agrees to promptly disclose. For the purposes of this paragraph, “layoff” means termination of the Employee’s employment by the Employer for reasons of the Employer’s insolvency or decline in business, the elimination of the Employee’s position or other purely economic factors, and excludes termination of the Employee’s employment due to the Employee’s performance, misconduct or any other reason, whether with or without cause.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URUGUAY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Data Privacy Consent. </w:t>
      </w:r>
      <w:r>
        <w:rPr>
          <w:rFonts w:ascii="Times New Roman" w:cs="Times New Roman" w:eastAsia="Times New Roman" w:hAnsi="Times New Roman"/>
          <w:sz w:val="20"/>
          <w:szCs w:val="20"/>
          <w:color w:val="auto"/>
        </w:rPr>
        <w:t>The Employee understands that the Data will be collected by the Employer and will be transferred to the Company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905 West Fulton Market, Suite 200, Chicago, Illinois 60607, U.S.A. and/or any financial institutions or brokers involved in the management and administration of the Plan. The Employee further understands that any of these entities may store the Data for purposes of administering the Employee’s participation in the Plan.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VENEZUELA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Investment Representation. </w:t>
      </w:r>
      <w:r>
        <w:rPr>
          <w:rFonts w:ascii="Times New Roman" w:cs="Times New Roman" w:eastAsia="Times New Roman" w:hAnsi="Times New Roman"/>
          <w:sz w:val="20"/>
          <w:szCs w:val="20"/>
          <w:color w:val="auto"/>
        </w:rPr>
        <w:t>As a condition of the grant of the Deferred Stock Units, the Employee acknowledges and agrees that any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Common Stock the Employee may acquire upon the settlement of the Deferred Stock Units are acquired as and intended to be an investment rather than for the resale of the shares of Common Stock and conversion of shares into foreign currency.</w:t>
      </w:r>
    </w:p>
    <w:p>
      <w:pPr>
        <w:spacing w:after="0" w:line="18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Exchange control restrictions may limit the ability to vest in the Deferred Stock Units or remit funds into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Venezuela following the receipt of the cash proceeds from the sale of shares of Common Stock acquired upon settlement of the Deferred Stock Units under the Plan. The Company reserves the right to further restrict the settlement of the Deferred Stock Units, or to amend or cancel the Deferred Stock Units at any time, in order to comply with the applicable exchange control laws in Venezuela. The Employee is responsible for complying with exchange control laws in Venezuela and neither the Company nor the Employer will be liable for any fines or penalties resulting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50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40" w:right="339" w:bottom="1440" w:gutter="0" w:footer="0" w:header="0"/>
        </w:sectPr>
      </w:pPr>
    </w:p>
    <w:bookmarkStart w:id="212" w:name="page213"/>
    <w:bookmarkEnd w:id="212"/>
    <w:p>
      <w:pPr>
        <w:ind w:right="40"/>
        <w:spacing w:after="0" w:line="261" w:lineRule="auto"/>
        <w:rPr>
          <w:sz w:val="20"/>
          <w:szCs w:val="20"/>
          <w:color w:val="auto"/>
        </w:rPr>
      </w:pPr>
      <w:r>
        <w:rPr>
          <w:rFonts w:ascii="Times New Roman" w:cs="Times New Roman" w:eastAsia="Times New Roman" w:hAnsi="Times New Roman"/>
          <w:sz w:val="20"/>
          <w:szCs w:val="20"/>
          <w:color w:val="auto"/>
        </w:rPr>
        <w:t>Employee’s failure to comply with applicable laws. Because exchange control laws and regulations change frequently and without notice, the Employee should consult with their personal legal advisor before accepting the Deferred Stock Units to ensure compliance with current regulations.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Deferred Stock Units granted under the Plan and the shares of Common Stock issued under the Plan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offered as a personal, private, exclusive transaction and are not subject to Venezuelan government securities regulations. The Deferred Stock Units granted under the Plan does not qualify as a public offering under the laws of the Bolivarian Republic of Venezuela and, therefore, it is not required to request the previous authorization of the National Superintendent of Securities.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VIETNAM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Deferred Stock Units Payable Only in Cash. </w:t>
      </w:r>
      <w:r>
        <w:rPr>
          <w:rFonts w:ascii="Times New Roman" w:cs="Times New Roman" w:eastAsia="Times New Roman" w:hAnsi="Times New Roman"/>
          <w:sz w:val="20"/>
          <w:szCs w:val="20"/>
          <w:color w:val="auto"/>
        </w:rPr>
        <w:t>Notwithstanding any discretion in the Plan or anything to the contrary in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paragraph 7 of the Agreement), the grant of Deferred Stock Units does not provide any right for the Employee to receive shares of Common Stock upon the Vesting Date. Deferred Stock Units granted to Employees in Vietnam shall be paid in cash in an amount equal to the value of the shares of Common Stock on the Vesting Date less any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51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11, 2026</w:t>
      </w:r>
    </w:p>
    <w:p>
      <w:pPr>
        <w:sectPr>
          <w:pgSz w:w="11900" w:h="16838" w:orient="portrait"/>
          <w:cols w:equalWidth="0" w:num="1">
            <w:col w:w="11240"/>
          </w:cols>
          <w:pgMar w:left="320" w:top="1413"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52" w:lineRule="exact"/>
        <w:rPr>
          <w:sz w:val="20"/>
          <w:szCs w:val="20"/>
          <w:color w:val="auto"/>
        </w:rPr>
      </w:pPr>
    </w:p>
    <w:p>
      <w:pPr>
        <w:ind w:left="320" w:hanging="312"/>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260" w:hanging="332"/>
        <w:spacing w:after="0" w:line="268" w:lineRule="auto"/>
        <w:tabs>
          <w:tab w:leader="none" w:pos="32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20" w:hanging="320"/>
        <w:spacing w:after="0" w:line="268" w:lineRule="auto"/>
        <w:tabs>
          <w:tab w:leader="none" w:pos="129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right="440" w:hanging="320"/>
        <w:spacing w:after="0" w:line="268" w:lineRule="auto"/>
        <w:tabs>
          <w:tab w:leader="none" w:pos="129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86100" cy="8255"/>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5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 and Chief Executive Officer</w:t>
      </w:r>
    </w:p>
    <w:p>
      <w:pPr>
        <w:sectPr>
          <w:pgSz w:w="11900" w:h="16838" w:orient="portrait"/>
          <w:cols w:equalWidth="0" w:num="1">
            <w:col w:w="11240"/>
          </w:cols>
          <w:pgMar w:left="320" w:top="890"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52" w:lineRule="exact"/>
        <w:rPr>
          <w:sz w:val="20"/>
          <w:szCs w:val="20"/>
          <w:color w:val="auto"/>
        </w:rPr>
      </w:pPr>
    </w:p>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260" w:hanging="332"/>
        <w:spacing w:after="0" w:line="268" w:lineRule="auto"/>
        <w:tabs>
          <w:tab w:leader="none" w:pos="32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20" w:hanging="320"/>
        <w:spacing w:after="0" w:line="268" w:lineRule="auto"/>
        <w:tabs>
          <w:tab w:leader="none" w:pos="129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5"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8"/>
          <w:szCs w:val="18"/>
          <w:color w:val="auto"/>
        </w:rPr>
      </w:pPr>
    </w:p>
    <w:p>
      <w:pPr>
        <w:jc w:val="both"/>
        <w:ind w:left="1300" w:right="440" w:hanging="320"/>
        <w:spacing w:after="0" w:line="268" w:lineRule="auto"/>
        <w:tabs>
          <w:tab w:leader="none" w:pos="129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86100" cy="8890"/>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59">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Luca Zaramella</w:t>
      </w:r>
    </w:p>
    <w:p>
      <w:pPr>
        <w:ind w:left="6400"/>
        <w:spacing w:after="0" w:line="203" w:lineRule="auto"/>
        <w:rPr>
          <w:sz w:val="20"/>
          <w:szCs w:val="20"/>
          <w:color w:val="auto"/>
        </w:rPr>
      </w:pPr>
      <w:r>
        <w:rPr>
          <w:rFonts w:ascii="Arial" w:cs="Arial" w:eastAsia="Arial" w:hAnsi="Arial"/>
          <w:sz w:val="18"/>
          <w:szCs w:val="18"/>
          <w:color w:val="auto"/>
        </w:rPr>
        <w:t>Executive Vice President,</w:t>
      </w:r>
    </w:p>
    <w:p>
      <w:pPr>
        <w:ind w:left="6400"/>
        <w:spacing w:after="0" w:line="219" w:lineRule="auto"/>
        <w:rPr>
          <w:sz w:val="20"/>
          <w:szCs w:val="20"/>
          <w:color w:val="auto"/>
        </w:rPr>
      </w:pPr>
      <w:r>
        <w:rPr>
          <w:rFonts w:ascii="Arial" w:cs="Arial" w:eastAsia="Arial" w:hAnsi="Arial"/>
          <w:sz w:val="18"/>
          <w:szCs w:val="18"/>
          <w:color w:val="auto"/>
        </w:rPr>
        <w:t>Chief Operating Officer and</w:t>
      </w:r>
    </w:p>
    <w:p>
      <w:pPr>
        <w:spacing w:after="0" w:line="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0"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March 31, 2026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77565" cy="8255"/>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6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28, 2026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Luca Zaramella, Executive Vice President, Chief Operating Officer and Chief Financial Officer of Mondelēz International, Inc. (“Mondelēz International”), certify, pursuant to 18 U.S.C. Section 1350, as adopted pursuant to Section 906 of the Sarbanes-Oxley Act of 2002, that Mondelēz International’s Quarterly Report on Form 10-Q for the quarter ended March 31, 2026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77565" cy="8255"/>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Operating Officer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28, 2026</w:t>
      </w:r>
    </w:p>
    <w:p>
      <w:pPr>
        <w:spacing w:after="0" w:line="32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1)"/>
      <w:numFmt w:val="decimal"/>
      <w:start w:val="1"/>
    </w:lvl>
  </w:abstractNum>
  <w:abstractNum w:abstractNumId="3">
    <w:nsid w:val="5FF87E05"/>
    <w:multiLevelType w:val="hybridMultilevel"/>
    <w:lvl w:ilvl="0">
      <w:lvlJc w:val="left"/>
      <w:lvlText w:val="(%1)"/>
      <w:numFmt w:val="decimal"/>
      <w:start w:val="1"/>
    </w:lvl>
  </w:abstractNum>
  <w:abstractNum w:abstractNumId="4">
    <w:nsid w:val="2F305DEF"/>
    <w:multiLevelType w:val="hybridMultilevel"/>
    <w:lvl w:ilvl="0">
      <w:lvlJc w:val="left"/>
      <w:lvlText w:val="(%1)"/>
      <w:numFmt w:val="decimal"/>
      <w:start w:val="1"/>
    </w:lvl>
  </w:abstractNum>
  <w:abstractNum w:abstractNumId="5">
    <w:nsid w:val="25A70BF7"/>
    <w:multiLevelType w:val="hybridMultilevel"/>
    <w:lvl w:ilvl="0">
      <w:lvlJc w:val="left"/>
      <w:lvlText w:val="(%1)"/>
      <w:numFmt w:val="decimal"/>
      <w:start w:val="1"/>
    </w:lvl>
  </w:abstractNum>
  <w:abstractNum w:abstractNumId="6">
    <w:nsid w:val="1DBABF00"/>
    <w:multiLevelType w:val="hybridMultilevel"/>
    <w:lvl w:ilvl="0">
      <w:lvlJc w:val="left"/>
      <w:lvlText w:val="(%1)"/>
      <w:numFmt w:val="decimal"/>
      <w:start w:val="3"/>
    </w:lvl>
  </w:abstractNum>
  <w:abstractNum w:abstractNumId="7">
    <w:nsid w:val="4AD084E9"/>
    <w:multiLevelType w:val="hybridMultilevel"/>
    <w:lvl w:ilvl="0">
      <w:lvlJc w:val="left"/>
      <w:lvlText w:val="(%1)"/>
      <w:numFmt w:val="decimal"/>
      <w:start w:val="1"/>
    </w:lvl>
  </w:abstractNum>
  <w:abstractNum w:abstractNumId="8">
    <w:nsid w:val="1F48EAA1"/>
    <w:multiLevelType w:val="hybridMultilevel"/>
    <w:lvl w:ilvl="0">
      <w:lvlJc w:val="left"/>
      <w:lvlText w:val="(%1)"/>
      <w:numFmt w:val="decimal"/>
      <w:start w:val="1"/>
    </w:lvl>
  </w:abstractNum>
  <w:abstractNum w:abstractNumId="9">
    <w:nsid w:val="1381823A"/>
    <w:multiLevelType w:val="hybridMultilevel"/>
    <w:lvl w:ilvl="0">
      <w:lvlJc w:val="left"/>
      <w:lvlText w:val="(%1)"/>
      <w:numFmt w:val="decimal"/>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1)"/>
      <w:numFmt w:val="decimal"/>
      <w:start w:val="2"/>
    </w:lvl>
  </w:abstractNum>
  <w:abstractNum w:abstractNumId="12">
    <w:nsid w:val="6590700B"/>
    <w:multiLevelType w:val="hybridMultilevel"/>
    <w:lvl w:ilvl="0">
      <w:lvlJc w:val="left"/>
      <w:lvlText w:val="(%1)"/>
      <w:numFmt w:val="decimal"/>
      <w:start w:val="3"/>
    </w:lvl>
  </w:abstractNum>
  <w:abstractNum w:abstractNumId="13">
    <w:nsid w:val="15014ACB"/>
    <w:multiLevelType w:val="hybridMultilevel"/>
    <w:lvl w:ilvl="0">
      <w:lvlJc w:val="left"/>
      <w:lvlText w:val="•"/>
      <w:numFmt w:val="bullet"/>
      <w:start w:val="1"/>
    </w:lvl>
    <w:lvl w:ilvl="1">
      <w:lvlJc w:val="left"/>
      <w:lvlText w:val="•"/>
      <w:numFmt w:val="bullet"/>
      <w:start w:val="1"/>
    </w:lvl>
  </w:abstractNum>
  <w:abstractNum w:abstractNumId="14">
    <w:nsid w:val="5F5E7FD0"/>
    <w:multiLevelType w:val="hybridMultilevel"/>
    <w:lvl w:ilvl="0">
      <w:lvlJc w:val="left"/>
      <w:lvlText w:val="(%1)"/>
      <w:numFmt w:val="decimal"/>
      <w:start w:val="1"/>
    </w:lvl>
  </w:abstractNum>
  <w:abstractNum w:abstractNumId="15">
    <w:nsid w:val="98A3148"/>
    <w:multiLevelType w:val="hybridMultilevel"/>
    <w:lvl w:ilvl="0">
      <w:lvlJc w:val="left"/>
      <w:lvlText w:val="(%1)."/>
      <w:numFmt w:val="decimal"/>
      <w:start w:val="1"/>
    </w:lvl>
  </w:abstractNum>
  <w:abstractNum w:abstractNumId="16">
    <w:nsid w:val="799D0247"/>
    <w:multiLevelType w:val="hybridMultilevel"/>
    <w:lvl w:ilvl="0">
      <w:lvlJc w:val="left"/>
      <w:lvlText w:val="(%1)"/>
      <w:numFmt w:val="decimal"/>
      <w:start w:val="1"/>
    </w:lvl>
  </w:abstractNum>
  <w:abstractNum w:abstractNumId="17">
    <w:nsid w:val="6B94764"/>
    <w:multiLevelType w:val="hybridMultilevel"/>
    <w:lvl w:ilvl="0">
      <w:lvlJc w:val="left"/>
      <w:lvlText w:val="(%1)"/>
      <w:numFmt w:val="decimal"/>
      <w:start w:val="1"/>
    </w:lvl>
    <w:lvl w:ilvl="1">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1)"/>
      <w:numFmt w:val="decimal"/>
      <w:start w:val="422"/>
    </w:lvl>
  </w:abstractNum>
  <w:abstractNum w:abstractNumId="20">
    <w:nsid w:val="1EBA5D23"/>
    <w:multiLevelType w:val="hybridMultilevel"/>
    <w:lvl w:ilvl="0">
      <w:lvlJc w:val="left"/>
      <w:lvlText w:val="(%1)"/>
      <w:numFmt w:val="decimal"/>
      <w:start w:val="604"/>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1)"/>
      <w:numFmt w:val="decimal"/>
      <w:start w:val="1"/>
    </w:lvl>
  </w:abstractNum>
  <w:abstractNum w:abstractNumId="23">
    <w:nsid w:val="540A471C"/>
    <w:multiLevelType w:val="hybridMultilevel"/>
    <w:lvl w:ilvl="0">
      <w:lvlJc w:val="left"/>
      <w:lvlText w:val="%1"/>
      <w:numFmt w:val="decimal"/>
      <w:start w:val="101"/>
    </w:lvl>
  </w:abstractNum>
  <w:abstractNum w:abstractNumId="24">
    <w:nsid w:val="7BD3EE7B"/>
    <w:multiLevelType w:val="hybridMultilevel"/>
    <w:lvl w:ilvl="0">
      <w:lvlJc w:val="left"/>
      <w:lvlText w:val="%1"/>
      <w:numFmt w:val="decimal"/>
      <w:start w:val="104"/>
    </w:lvl>
    <w:lvl w:ilvl="1">
      <w:lvlJc w:val="left"/>
      <w:lvlText w:val="+"/>
      <w:numFmt w:val="bullet"/>
      <w:start w:val="1"/>
    </w:lvl>
  </w:abstractNum>
  <w:abstractNum w:abstractNumId="25">
    <w:nsid w:val="51D9C564"/>
    <w:multiLevelType w:val="hybridMultilevel"/>
    <w:lvl w:ilvl="0">
      <w:lvlJc w:val="left"/>
      <w:lvlText w:val="%1."/>
      <w:numFmt w:val="decimal"/>
      <w:start w:val="1"/>
    </w:lvl>
    <w:lvl w:ilvl="1">
      <w:lvlJc w:val="left"/>
      <w:lvlText w:val="(%2)"/>
      <w:numFmt w:val="lowerLetter"/>
      <w:start w:val="1"/>
    </w:lvl>
  </w:abstractNum>
  <w:abstractNum w:abstractNumId="26">
    <w:nsid w:val="613EFDC5"/>
    <w:multiLevelType w:val="hybridMultilevel"/>
    <w:lvl w:ilvl="0">
      <w:lvlJc w:val="left"/>
      <w:lvlText w:val="(%1)"/>
      <w:numFmt w:val="lowerLetter"/>
      <w:start w:val="1"/>
    </w:lvl>
  </w:abstractNum>
  <w:abstractNum w:abstractNumId="27">
    <w:nsid w:val="BF72B14"/>
    <w:multiLevelType w:val="hybridMultilevel"/>
    <w:lvl w:ilvl="0">
      <w:lvlJc w:val="left"/>
      <w:lvlText w:val="%1."/>
      <w:numFmt w:val="decimal"/>
      <w:start w:val="4"/>
    </w:lvl>
    <w:lvl w:ilvl="1">
      <w:lvlJc w:val="left"/>
      <w:lvlText w:val="(%2)"/>
      <w:numFmt w:val="lowerLetter"/>
      <w:start w:val="1"/>
    </w:lvl>
  </w:abstractNum>
  <w:abstractNum w:abstractNumId="28">
    <w:nsid w:val="11447B73"/>
    <w:multiLevelType w:val="hybridMultilevel"/>
    <w:lvl w:ilvl="0">
      <w:lvlJc w:val="left"/>
      <w:lvlText w:val="%1"/>
      <w:numFmt w:val="lowerLetter"/>
      <w:start w:val="1"/>
    </w:lvl>
    <w:lvl w:ilvl="1">
      <w:lvlJc w:val="left"/>
      <w:lvlText w:val="(%2)"/>
      <w:numFmt w:val="lowerLetter"/>
      <w:start w:val="3"/>
    </w:lvl>
  </w:abstractNum>
  <w:abstractNum w:abstractNumId="29">
    <w:nsid w:val="42963E5A"/>
    <w:multiLevelType w:val="hybridMultilevel"/>
    <w:lvl w:ilvl="0">
      <w:lvlJc w:val="left"/>
      <w:lvlText w:val="(%1)"/>
      <w:numFmt w:val="lowerLetter"/>
      <w:start w:val="4"/>
    </w:lvl>
    <w:lvl w:ilvl="1">
      <w:lvlJc w:val="left"/>
      <w:lvlText w:val="%2"/>
      <w:numFmt w:val="lowerLetter"/>
      <w:start w:val="1"/>
    </w:lvl>
  </w:abstractNum>
  <w:abstractNum w:abstractNumId="30">
    <w:nsid w:val="A0382C5"/>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31">
    <w:nsid w:val="8F2B15E"/>
    <w:multiLevelType w:val="hybridMultilevel"/>
    <w:lvl w:ilvl="0">
      <w:lvlJc w:val="left"/>
      <w:lvlText w:val="(%1)"/>
      <w:numFmt w:val="lowerLetter"/>
      <w:start w:val="2"/>
    </w:lvl>
    <w:lvl w:ilvl="1">
      <w:lvlJc w:val="left"/>
      <w:lvlText w:val="%2."/>
      <w:numFmt w:val="decimal"/>
      <w:start w:val="1"/>
    </w:lvl>
  </w:abstractNum>
  <w:abstractNum w:abstractNumId="32">
    <w:nsid w:val="1A32234B"/>
    <w:multiLevelType w:val="hybridMultilevel"/>
    <w:lvl w:ilvl="0">
      <w:lvlJc w:val="left"/>
      <w:lvlText w:val="%1"/>
      <w:numFmt w:val="decimal"/>
      <w:start w:val="1"/>
    </w:lvl>
    <w:lvl w:ilvl="1">
      <w:lvlJc w:val="left"/>
      <w:lvlText w:val="(%2)"/>
      <w:numFmt w:val="lowerLetter"/>
      <w:start w:val="4"/>
    </w:lvl>
  </w:abstractNum>
  <w:abstractNum w:abstractNumId="33">
    <w:nsid w:val="3B0FD379"/>
    <w:multiLevelType w:val="hybridMultilevel"/>
    <w:lvl w:ilvl="0">
      <w:lvlJc w:val="left"/>
      <w:lvlText w:val="%1."/>
      <w:numFmt w:val="decimal"/>
      <w:start w:val="7"/>
    </w:lvl>
    <w:lvl w:ilvl="1">
      <w:lvlJc w:val="left"/>
      <w:lvlText w:val="%2"/>
      <w:numFmt w:val="lowerLetter"/>
      <w:start w:val="1"/>
    </w:lvl>
  </w:abstractNum>
  <w:abstractNum w:abstractNumId="34">
    <w:nsid w:val="68EB2F63"/>
    <w:multiLevelType w:val="hybridMultilevel"/>
    <w:lvl w:ilvl="0">
      <w:lvlJc w:val="left"/>
      <w:lvlText w:val="%1."/>
      <w:numFmt w:val="decimal"/>
      <w:start w:val="8"/>
    </w:lvl>
  </w:abstractNum>
  <w:abstractNum w:abstractNumId="35">
    <w:nsid w:val="4962813B"/>
    <w:multiLevelType w:val="hybridMultilevel"/>
    <w:lvl w:ilvl="0">
      <w:lvlJc w:val="left"/>
      <w:lvlText w:val="%1."/>
      <w:numFmt w:val="decimal"/>
      <w:start w:val="12"/>
    </w:lvl>
    <w:lvl w:ilvl="1">
      <w:lvlJc w:val="left"/>
      <w:lvlText w:val="(%2)"/>
      <w:numFmt w:val="lowerLetter"/>
      <w:start w:val="1"/>
    </w:lvl>
  </w:abstractNum>
  <w:abstractNum w:abstractNumId="36">
    <w:nsid w:val="60B6DF70"/>
    <w:multiLevelType w:val="hybridMultilevel"/>
    <w:lvl w:ilvl="0">
      <w:lvlJc w:val="left"/>
      <w:lvlText w:val="%1"/>
      <w:numFmt w:val="decimal"/>
      <w:start w:val="1"/>
    </w:lvl>
    <w:lvl w:ilvl="1">
      <w:lvlJc w:val="left"/>
      <w:lvlText w:val="(%2)"/>
      <w:numFmt w:val="lowerLetter"/>
      <w:start w:val="12"/>
    </w:lvl>
  </w:abstractNum>
  <w:abstractNum w:abstractNumId="37">
    <w:nsid w:val="6A5EE64"/>
    <w:multiLevelType w:val="hybridMultilevel"/>
    <w:lvl w:ilvl="0">
      <w:lvlJc w:val="left"/>
      <w:lvlText w:val="%1."/>
      <w:numFmt w:val="decimal"/>
      <w:start w:val="13"/>
    </w:lvl>
    <w:lvl w:ilvl="1">
      <w:lvlJc w:val="left"/>
      <w:lvlText w:val="%2"/>
      <w:numFmt w:val="lowerLetter"/>
      <w:start w:val="1"/>
    </w:lvl>
  </w:abstractNum>
  <w:abstractNum w:abstractNumId="38">
    <w:nsid w:val="14330624"/>
    <w:multiLevelType w:val="hybridMultilevel"/>
    <w:lvl w:ilvl="0">
      <w:lvlJc w:val="left"/>
      <w:lvlText w:val="%1."/>
      <w:numFmt w:val="decimal"/>
      <w:start w:val="14"/>
    </w:lvl>
  </w:abstractNum>
  <w:abstractNum w:abstractNumId="39">
    <w:nsid w:val="7FFFCA11"/>
    <w:multiLevelType w:val="hybridMultilevel"/>
    <w:lvl w:ilvl="0">
      <w:lvlJc w:val="left"/>
      <w:lvlText w:val="%1."/>
      <w:numFmt w:val="decimal"/>
      <w:start w:val="16"/>
    </w:lvl>
  </w:abstractNum>
  <w:abstractNum w:abstractNumId="40">
    <w:nsid w:val="1A27709E"/>
    <w:multiLevelType w:val="hybridMultilevel"/>
    <w:lvl w:ilvl="0">
      <w:lvlJc w:val="left"/>
      <w:lvlText w:val="%1."/>
      <w:numFmt w:val="decimal"/>
      <w:start w:val="22"/>
    </w:lvl>
  </w:abstractNum>
  <w:abstractNum w:abstractNumId="41">
    <w:nsid w:val="71EA1109"/>
    <w:multiLevelType w:val="hybridMultilevel"/>
    <w:lvl w:ilvl="0">
      <w:lvlJc w:val="left"/>
      <w:lvlText w:val="1"/>
      <w:numFmt w:val="bullet"/>
      <w:start w:val="1"/>
    </w:lvl>
  </w:abstractNum>
  <w:abstractNum w:abstractNumId="42">
    <w:nsid w:val="100F59DC"/>
    <w:multiLevelType w:val="hybridMultilevel"/>
    <w:lvl w:ilvl="0">
      <w:lvlJc w:val="left"/>
      <w:lvlText w:val="%1."/>
      <w:numFmt w:val="decimal"/>
      <w:start w:val="1"/>
    </w:lvl>
  </w:abstractNum>
  <w:abstractNum w:abstractNumId="43">
    <w:nsid w:val="7FB7E0AA"/>
    <w:multiLevelType w:val="hybridMultilevel"/>
    <w:lvl w:ilvl="0">
      <w:lvlJc w:val="left"/>
      <w:lvlText w:val="(%1)"/>
      <w:numFmt w:val="lowerRoman"/>
      <w:start w:val="1"/>
    </w:lvl>
  </w:abstractNum>
  <w:abstractNum w:abstractNumId="44">
    <w:nsid w:val="6EB5BD4"/>
    <w:multiLevelType w:val="hybridMultilevel"/>
    <w:lvl w:ilvl="0">
      <w:lvlJc w:val="left"/>
      <w:lvlText w:val="%1."/>
      <w:numFmt w:val="decimal"/>
      <w:start w:val="1"/>
    </w:lvl>
  </w:abstractNum>
  <w:abstractNum w:abstractNumId="45">
    <w:nsid w:val="6F6DD9AC"/>
    <w:multiLevelType w:val="hybridMultilevel"/>
    <w:lvl w:ilvl="0">
      <w:lvlJc w:val="left"/>
      <w:lvlText w:val="2"/>
      <w:numFmt w:val="bullet"/>
      <w:start w:val="1"/>
    </w:lvl>
  </w:abstractNum>
  <w:abstractNum w:abstractNumId="46">
    <w:nsid w:val="94211F2"/>
    <w:multiLevelType w:val="hybridMultilevel"/>
    <w:lvl w:ilvl="0">
      <w:lvlJc w:val="left"/>
      <w:lvlText w:val="3"/>
      <w:numFmt w:val="bullet"/>
      <w:start w:val="1"/>
    </w:lvl>
  </w:abstractNum>
  <w:abstractNum w:abstractNumId="47">
    <w:nsid w:val="885E1B"/>
    <w:multiLevelType w:val="hybridMultilevel"/>
    <w:lvl w:ilvl="0">
      <w:lvlJc w:val="left"/>
      <w:lvlText w:val="1"/>
      <w:numFmt w:val="bullet"/>
      <w:start w:val="1"/>
    </w:lvl>
  </w:abstractNum>
  <w:abstractNum w:abstractNumId="48">
    <w:nsid w:val="76272110"/>
    <w:multiLevelType w:val="hybridMultilevel"/>
    <w:lvl w:ilvl="0">
      <w:lvlJc w:val="left"/>
      <w:lvlText w:val="2"/>
      <w:numFmt w:val="bullet"/>
      <w:start w:val="1"/>
    </w:lvl>
  </w:abstractNum>
  <w:abstractNum w:abstractNumId="49">
    <w:nsid w:val="4C04A8AF"/>
    <w:multiLevelType w:val="hybridMultilevel"/>
    <w:lvl w:ilvl="0">
      <w:lvlJc w:val="left"/>
      <w:lvlText w:val="3"/>
      <w:numFmt w:val="bullet"/>
      <w:start w:val="1"/>
    </w:lvl>
  </w:abstractNum>
  <w:abstractNum w:abstractNumId="50">
    <w:nsid w:val="1716703B"/>
    <w:multiLevelType w:val="hybridMultilevel"/>
    <w:lvl w:ilvl="0">
      <w:lvlJc w:val="left"/>
      <w:lvlText w:val="1"/>
      <w:numFmt w:val="bullet"/>
      <w:start w:val="1"/>
    </w:lvl>
  </w:abstractNum>
  <w:abstractNum w:abstractNumId="51">
    <w:nsid w:val="14E17E33"/>
    <w:multiLevelType w:val="hybridMultilevel"/>
    <w:lvl w:ilvl="0">
      <w:lvlJc w:val="left"/>
      <w:lvlText w:val="2"/>
      <w:numFmt w:val="bullet"/>
      <w:start w:val="1"/>
    </w:lvl>
  </w:abstractNum>
  <w:abstractNum w:abstractNumId="52">
    <w:nsid w:val="3222E7CD"/>
    <w:multiLevelType w:val="hybridMultilevel"/>
    <w:lvl w:ilvl="0">
      <w:lvlJc w:val="left"/>
      <w:lvlText w:val="1"/>
      <w:numFmt w:val="bullet"/>
      <w:start w:val="1"/>
    </w:lvl>
  </w:abstractNum>
  <w:abstractNum w:abstractNumId="53">
    <w:nsid w:val="74DE0EE3"/>
    <w:multiLevelType w:val="hybridMultilevel"/>
    <w:lvl w:ilvl="0">
      <w:lvlJc w:val="left"/>
      <w:lvlText w:val="2"/>
      <w:numFmt w:val="bullet"/>
      <w:start w:val="1"/>
    </w:lvl>
  </w:abstractNum>
  <w:abstractNum w:abstractNumId="54">
    <w:nsid w:val="68EBC550"/>
    <w:multiLevelType w:val="hybridMultilevel"/>
    <w:lvl w:ilvl="0">
      <w:lvlJc w:val="left"/>
      <w:lvlText w:val="3"/>
      <w:numFmt w:val="bullet"/>
      <w:start w:val="1"/>
    </w:lvl>
  </w:abstractNum>
  <w:abstractNum w:abstractNumId="55">
    <w:nsid w:val="2DF6D648"/>
    <w:multiLevelType w:val="hybridMultilevel"/>
    <w:lvl w:ilvl="0">
      <w:lvlJc w:val="left"/>
      <w:lvlText w:val="%1."/>
      <w:numFmt w:val="decimal"/>
      <w:start w:val="1"/>
    </w:lvl>
    <w:lvl w:ilvl="1">
      <w:lvlJc w:val="left"/>
      <w:lvlText w:val="(%2)"/>
      <w:numFmt w:val="lowerLetter"/>
      <w:start w:val="1"/>
    </w:lvl>
  </w:abstractNum>
  <w:abstractNum w:abstractNumId="56">
    <w:nsid w:val="46B7D447"/>
    <w:multiLevelType w:val="hybridMultilevel"/>
    <w:lvl w:ilvl="0">
      <w:lvlJc w:val="left"/>
      <w:lvlText w:val="%1"/>
      <w:numFmt w:val="decimal"/>
      <w:start w:val="1"/>
    </w:lvl>
    <w:lvl w:ilvl="1">
      <w:lvlJc w:val="left"/>
      <w:lvlText w:val="(%2)"/>
      <w:numFmt w:val="lowerLetter"/>
      <w:start w:val="4"/>
    </w:lvl>
  </w:abstractNum>
  <w:abstractNum w:abstractNumId="57">
    <w:nsid w:val="4A2AC315"/>
    <w:multiLevelType w:val="hybridMultilevel"/>
    <w:lvl w:ilvl="0">
      <w:lvlJc w:val="left"/>
      <w:lvlText w:val="%1."/>
      <w:numFmt w:val="decimal"/>
      <w:start w:val="2"/>
    </w:lvl>
    <w:lvl w:ilvl="1">
      <w:lvlJc w:val="left"/>
      <w:lvlText w:val="(%2)"/>
      <w:numFmt w:val="lowerLetter"/>
      <w:start w:val="1"/>
    </w:lvl>
  </w:abstractNum>
  <w:abstractNum w:abstractNumId="58">
    <w:nsid w:val="39EE015C"/>
    <w:multiLevelType w:val="hybridMultilevel"/>
    <w:lvl w:ilvl="0">
      <w:lvlJc w:val="left"/>
      <w:lvlText w:val="(%1)"/>
      <w:numFmt w:val="lowerRoman"/>
      <w:start w:val="1"/>
    </w:lvl>
    <w:lvl w:ilvl="1">
      <w:lvlJc w:val="left"/>
      <w:lvlText w:val="(%2)"/>
      <w:numFmt w:val="upperLetter"/>
      <w:start w:val="1"/>
    </w:lvl>
  </w:abstractNum>
  <w:abstractNum w:abstractNumId="59">
    <w:nsid w:val="57FC4FB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0">
    <w:nsid w:val="CC1016F"/>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Roman"/>
      <w:start w:val="1"/>
    </w:lvl>
  </w:abstractNum>
  <w:abstractNum w:abstractNumId="61">
    <w:nsid w:val="43F18422"/>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62">
    <w:nsid w:val="60EF0119"/>
    <w:multiLevelType w:val="hybridMultilevel"/>
    <w:lvl w:ilvl="0">
      <w:lvlJc w:val="left"/>
      <w:lvlText w:val="%1."/>
      <w:numFmt w:val="decimal"/>
      <w:start w:val="2"/>
    </w:lvl>
  </w:abstractNum>
  <w:abstractNum w:abstractNumId="63">
    <w:nsid w:val="26F324BA"/>
    <w:multiLevelType w:val="hybridMultilevel"/>
    <w:lvl w:ilvl="0">
      <w:lvlJc w:val="left"/>
      <w:lvlText w:val="(%1)"/>
      <w:numFmt w:val="lowerLetter"/>
      <w:start w:val="2"/>
    </w:lvl>
    <w:lvl w:ilvl="1">
      <w:lvlJc w:val="left"/>
      <w:lvlText w:val="%2."/>
      <w:numFmt w:val="decimal"/>
      <w:start w:val="1"/>
    </w:lvl>
  </w:abstractNum>
  <w:abstractNum w:abstractNumId="64">
    <w:nsid w:val="7F01579B"/>
    <w:multiLevelType w:val="hybridMultilevel"/>
    <w:lvl w:ilvl="0">
      <w:lvlJc w:val="left"/>
      <w:lvlText w:val="%1"/>
      <w:numFmt w:val="lowerLetter"/>
      <w:start w:val="1"/>
    </w:lvl>
    <w:lvl w:ilvl="1">
      <w:lvlJc w:val="left"/>
      <w:lvlText w:val="%2."/>
      <w:numFmt w:val="decimal"/>
      <w:start w:val="2"/>
    </w:lvl>
  </w:abstractNum>
  <w:abstractNum w:abstractNumId="65">
    <w:nsid w:val="49DA307D"/>
    <w:multiLevelType w:val="hybridMultilevel"/>
    <w:lvl w:ilvl="0">
      <w:lvlJc w:val="left"/>
      <w:lvlText w:val="(%1)"/>
      <w:numFmt w:val="lowerLetter"/>
      <w:start w:val="4"/>
    </w:lvl>
    <w:lvl w:ilvl="1">
      <w:lvlJc w:val="left"/>
      <w:lvlText w:val="%2"/>
      <w:numFmt w:val="decimal"/>
      <w:start w:val="1"/>
    </w:lvl>
  </w:abstractNum>
  <w:abstractNum w:abstractNumId="66">
    <w:nsid w:val="7055A5F5"/>
    <w:multiLevelType w:val="hybridMultilevel"/>
    <w:lvl w:ilvl="0">
      <w:lvlJc w:val="left"/>
      <w:lvlText w:val="%1"/>
      <w:numFmt w:val="decimal"/>
      <w:start w:val="1"/>
    </w:lvl>
    <w:lvl w:ilvl="1">
      <w:lvlJc w:val="left"/>
      <w:lvlText w:val="(%2)"/>
      <w:numFmt w:val="lowerLetter"/>
      <w:start w:val="6"/>
    </w:lvl>
  </w:abstractNum>
  <w:abstractNum w:abstractNumId="67">
    <w:nsid w:val="5FB8370B"/>
    <w:multiLevelType w:val="hybridMultilevel"/>
    <w:lvl w:ilvl="0">
      <w:lvlJc w:val="left"/>
      <w:lvlText w:val="%1."/>
      <w:numFmt w:val="decimal"/>
      <w:start w:val="7"/>
    </w:lvl>
    <w:lvl w:ilvl="1">
      <w:lvlJc w:val="left"/>
      <w:lvlText w:val="%2"/>
      <w:numFmt w:val="lowerLetter"/>
      <w:start w:val="1"/>
    </w:lvl>
  </w:abstractNum>
  <w:abstractNum w:abstractNumId="68">
    <w:nsid w:val="50801EE1"/>
    <w:multiLevelType w:val="hybridMultilevel"/>
    <w:lvl w:ilvl="0">
      <w:lvlJc w:val="left"/>
      <w:lvlText w:val="%1."/>
      <w:numFmt w:val="decimal"/>
      <w:start w:val="9"/>
    </w:lvl>
    <w:lvl w:ilvl="1">
      <w:lvlJc w:val="left"/>
      <w:lvlText w:val="(%2)"/>
      <w:numFmt w:val="lowerLetter"/>
      <w:start w:val="2"/>
    </w:lvl>
  </w:abstractNum>
  <w:abstractNum w:abstractNumId="69">
    <w:nsid w:val="488AC1A"/>
    <w:multiLevelType w:val="hybridMultilevel"/>
    <w:lvl w:ilvl="0">
      <w:lvlJc w:val="left"/>
      <w:lvlText w:val="(%1)"/>
      <w:numFmt w:val="lowerLetter"/>
      <w:start w:val="2"/>
    </w:lvl>
  </w:abstractNum>
  <w:abstractNum w:abstractNumId="70">
    <w:nsid w:val="5FB8011C"/>
    <w:multiLevelType w:val="hybridMultilevel"/>
    <w:lvl w:ilvl="0">
      <w:lvlJc w:val="left"/>
      <w:lvlText w:val="%1"/>
      <w:numFmt w:val="decimal"/>
      <w:start w:val="1"/>
    </w:lvl>
    <w:lvl w:ilvl="1">
      <w:lvlJc w:val="left"/>
      <w:lvlText w:val="(%2)"/>
      <w:numFmt w:val="lowerLetter"/>
      <w:start w:val="11"/>
    </w:lvl>
  </w:abstractNum>
  <w:abstractNum w:abstractNumId="71">
    <w:nsid w:val="6AA78F7F"/>
    <w:multiLevelType w:val="hybridMultilevel"/>
    <w:lvl w:ilvl="0">
      <w:lvlJc w:val="left"/>
      <w:lvlText w:val="%1."/>
      <w:numFmt w:val="decimal"/>
      <w:start w:val="10"/>
    </w:lvl>
    <w:lvl w:ilvl="1">
      <w:lvlJc w:val="left"/>
      <w:lvlText w:val="%2"/>
      <w:numFmt w:val="lowerLetter"/>
      <w:start w:val="1"/>
    </w:lvl>
  </w:abstractNum>
  <w:abstractNum w:abstractNumId="72">
    <w:nsid w:val="7672BD23"/>
    <w:multiLevelType w:val="hybridMultilevel"/>
    <w:lvl w:ilvl="0">
      <w:lvlJc w:val="left"/>
      <w:lvlText w:val="%1."/>
      <w:numFmt w:val="decimal"/>
      <w:start w:val="11"/>
    </w:lvl>
  </w:abstractNum>
  <w:abstractNum w:abstractNumId="73">
    <w:nsid w:val="6FC75AF8"/>
    <w:multiLevelType w:val="hybridMultilevel"/>
    <w:lvl w:ilvl="0">
      <w:lvlJc w:val="left"/>
      <w:lvlText w:val="%1."/>
      <w:numFmt w:val="decimal"/>
      <w:start w:val="15"/>
    </w:lvl>
  </w:abstractNum>
  <w:abstractNum w:abstractNumId="74">
    <w:nsid w:val="6A5F7029"/>
    <w:multiLevelType w:val="hybridMultilevel"/>
    <w:lvl w:ilvl="0">
      <w:lvlJc w:val="left"/>
      <w:lvlText w:val="%1."/>
      <w:numFmt w:val="decimal"/>
      <w:start w:val="18"/>
    </w:lvl>
  </w:abstractNum>
  <w:abstractNum w:abstractNumId="75">
    <w:nsid w:val="7D5E18F8"/>
    <w:multiLevelType w:val="hybridMultilevel"/>
    <w:lvl w:ilvl="0">
      <w:lvlJc w:val="left"/>
      <w:lvlText w:val="%1."/>
      <w:numFmt w:val="decimal"/>
      <w:start w:val="23"/>
    </w:lvl>
  </w:abstractNum>
  <w:abstractNum w:abstractNumId="76">
    <w:nsid w:val="5F3534A4"/>
    <w:multiLevelType w:val="hybridMultilevel"/>
    <w:lvl w:ilvl="0">
      <w:lvlJc w:val="left"/>
      <w:lvlText w:val="%1."/>
      <w:numFmt w:val="decimal"/>
      <w:start w:val="29"/>
    </w:lvl>
  </w:abstractNum>
  <w:abstractNum w:abstractNumId="77">
    <w:nsid w:val="73A1821B"/>
    <w:multiLevelType w:val="hybridMultilevel"/>
    <w:lvl w:ilvl="0">
      <w:lvlJc w:val="left"/>
      <w:lvlText w:val="(%1)"/>
      <w:numFmt w:val="lowerRoman"/>
      <w:start w:val="1"/>
    </w:lvl>
  </w:abstractNum>
  <w:abstractNum w:abstractNumId="78">
    <w:nsid w:val="7DE67713"/>
    <w:multiLevelType w:val="hybridMultilevel"/>
    <w:lvl w:ilvl="0">
      <w:lvlJc w:val="left"/>
      <w:lvlText w:val="1"/>
      <w:numFmt w:val="bullet"/>
      <w:start w:val="1"/>
    </w:lvl>
  </w:abstractNum>
  <w:abstractNum w:abstractNumId="79">
    <w:nsid w:val="555C55B5"/>
    <w:multiLevelType w:val="hybridMultilevel"/>
    <w:lvl w:ilvl="0">
      <w:lvlJc w:val="left"/>
      <w:lvlText w:val="%1."/>
      <w:numFmt w:val="decimal"/>
      <w:start w:val="1"/>
    </w:lvl>
  </w:abstractNum>
  <w:abstractNum w:abstractNumId="80">
    <w:nsid w:val="3FA62ACA"/>
    <w:multiLevelType w:val="hybridMultilevel"/>
    <w:lvl w:ilvl="0">
      <w:lvlJc w:val="left"/>
      <w:lvlText w:val="(%1)"/>
      <w:numFmt w:val="lowerRoman"/>
      <w:start w:val="1"/>
    </w:lvl>
  </w:abstractNum>
  <w:abstractNum w:abstractNumId="81">
    <w:nsid w:val="14FCE74E"/>
    <w:multiLevelType w:val="hybridMultilevel"/>
    <w:lvl w:ilvl="0">
      <w:lvlJc w:val="left"/>
      <w:lvlText w:val="1"/>
      <w:numFmt w:val="bullet"/>
      <w:start w:val="1"/>
    </w:lvl>
  </w:abstractNum>
  <w:abstractNum w:abstractNumId="82">
    <w:nsid w:val="6A3DD3E8"/>
    <w:multiLevelType w:val="hybridMultilevel"/>
    <w:lvl w:ilvl="0">
      <w:lvlJc w:val="left"/>
      <w:lvlText w:val="2"/>
      <w:numFmt w:val="bullet"/>
      <w:start w:val="1"/>
    </w:lvl>
  </w:abstractNum>
  <w:abstractNum w:abstractNumId="83">
    <w:nsid w:val="71C91298"/>
    <w:multiLevelType w:val="hybridMultilevel"/>
    <w:lvl w:ilvl="0">
      <w:lvlJc w:val="left"/>
      <w:lvlText w:val="3"/>
      <w:numFmt w:val="bullet"/>
      <w:start w:val="1"/>
    </w:lvl>
  </w:abstractNum>
  <w:abstractNum w:abstractNumId="84">
    <w:nsid w:val="9DAF632"/>
    <w:multiLevelType w:val="hybridMultilevel"/>
    <w:lvl w:ilvl="0">
      <w:lvlJc w:val="left"/>
      <w:lvlText w:val="1"/>
      <w:numFmt w:val="bullet"/>
      <w:start w:val="1"/>
    </w:lvl>
  </w:abstractNum>
  <w:abstractNum w:abstractNumId="85">
    <w:nsid w:val="53299938"/>
    <w:multiLevelType w:val="hybridMultilevel"/>
    <w:lvl w:ilvl="0">
      <w:lvlJc w:val="left"/>
      <w:lvlText w:val="2"/>
      <w:numFmt w:val="bullet"/>
      <w:start w:val="1"/>
    </w:lvl>
  </w:abstractNum>
  <w:abstractNum w:abstractNumId="86">
    <w:nsid w:val="1FBFE8E0"/>
    <w:multiLevelType w:val="hybridMultilevel"/>
    <w:lvl w:ilvl="0">
      <w:lvlJc w:val="left"/>
      <w:lvlText w:val="3"/>
      <w:numFmt w:val="bullet"/>
      <w:start w:val="1"/>
    </w:lvl>
  </w:abstractNum>
  <w:abstractNum w:abstractNumId="87">
    <w:nsid w:val="5092CA79"/>
    <w:multiLevelType w:val="hybridMultilevel"/>
    <w:lvl w:ilvl="0">
      <w:lvlJc w:val="left"/>
      <w:lvlText w:val="1"/>
      <w:numFmt w:val="bullet"/>
      <w:start w:val="1"/>
    </w:lvl>
  </w:abstractNum>
  <w:abstractNum w:abstractNumId="88">
    <w:nsid w:val="1D545C4D"/>
    <w:multiLevelType w:val="hybridMultilevel"/>
    <w:lvl w:ilvl="0">
      <w:lvlJc w:val="left"/>
      <w:lvlText w:val="2"/>
      <w:numFmt w:val="bullet"/>
      <w:start w:val="1"/>
    </w:lvl>
  </w:abstractNum>
  <w:abstractNum w:abstractNumId="89">
    <w:nsid w:val="59ADEA3D"/>
    <w:multiLevelType w:val="hybridMultilevel"/>
    <w:lvl w:ilvl="0">
      <w:lvlJc w:val="left"/>
      <w:lvlText w:val="1"/>
      <w:numFmt w:val="bullet"/>
      <w:start w:val="1"/>
    </w:lvl>
  </w:abstractNum>
  <w:abstractNum w:abstractNumId="90">
    <w:nsid w:val="288F1A34"/>
    <w:multiLevelType w:val="hybridMultilevel"/>
    <w:lvl w:ilvl="0">
      <w:lvlJc w:val="left"/>
      <w:lvlText w:val="2"/>
      <w:numFmt w:val="bullet"/>
      <w:start w:val="1"/>
    </w:lvl>
  </w:abstractNum>
  <w:abstractNum w:abstractNumId="91">
    <w:nsid w:val="2A155DBC"/>
    <w:multiLevelType w:val="hybridMultilevel"/>
    <w:lvl w:ilvl="0">
      <w:lvlJc w:val="left"/>
      <w:lvlText w:val="3"/>
      <w:numFmt w:val="bullet"/>
      <w:start w:val="1"/>
    </w:lvl>
  </w:abstractNum>
  <w:abstractNum w:abstractNumId="92">
    <w:nsid w:val="1D9F6E5F"/>
    <w:multiLevelType w:val="hybridMultilevel"/>
    <w:lvl w:ilvl="0">
      <w:lvlJc w:val="left"/>
      <w:lvlText w:val="%1."/>
      <w:numFmt w:val="decimal"/>
      <w:start w:val="1"/>
    </w:lvl>
    <w:lvl w:ilvl="1">
      <w:lvlJc w:val="left"/>
      <w:lvlText w:val="(%2)"/>
      <w:numFmt w:val="lowerLetter"/>
      <w:start w:val="1"/>
    </w:lvl>
  </w:abstractNum>
  <w:abstractNum w:abstractNumId="93">
    <w:nsid w:val="97E1B4E"/>
    <w:multiLevelType w:val="hybridMultilevel"/>
    <w:lvl w:ilvl="0">
      <w:lvlJc w:val="left"/>
      <w:lvlText w:val="(%1)"/>
      <w:numFmt w:val="decimal"/>
      <w:start w:val="1"/>
    </w:lvl>
  </w:abstractNum>
  <w:abstractNum w:abstractNumId="94">
    <w:nsid w:val="51088277"/>
    <w:multiLevelType w:val="hybridMultilevel"/>
    <w:lvl w:ilvl="0">
      <w:lvlJc w:val="left"/>
      <w:lvlText w:val="%1."/>
      <w:numFmt w:val="decimal"/>
      <w:start w:val="3"/>
    </w:lvl>
  </w:abstractNum>
  <w:abstractNum w:abstractNumId="95">
    <w:nsid w:val="1CA0C5FA"/>
    <w:multiLevelType w:val="hybridMultilevel"/>
    <w:lvl w:ilvl="0">
      <w:lvlJc w:val="left"/>
      <w:lvlText w:val="%1."/>
      <w:numFmt w:val="decimal"/>
      <w:start w:val="6"/>
    </w:lvl>
  </w:abstractNum>
  <w:abstractNum w:abstractNumId="96">
    <w:nsid w:val="53584BCB"/>
    <w:multiLevelType w:val="hybridMultilevel"/>
    <w:lvl w:ilvl="0">
      <w:lvlJc w:val="left"/>
      <w:lvlText w:val="(%1)"/>
      <w:numFmt w:val="lowerLetter"/>
      <w:start w:val="1"/>
    </w:lvl>
    <w:lvl w:ilvl="1">
      <w:lvlJc w:val="left"/>
      <w:lvlText w:val="%2."/>
      <w:numFmt w:val="decimal"/>
      <w:start w:val="1"/>
    </w:lvl>
  </w:abstractNum>
  <w:abstractNum w:abstractNumId="97">
    <w:nsid w:val="415E286C"/>
    <w:multiLevelType w:val="hybridMultilevel"/>
    <w:lvl w:ilvl="0">
      <w:lvlJc w:val="left"/>
      <w:lvlText w:val="%1."/>
      <w:numFmt w:val="decimal"/>
      <w:start w:val="2"/>
    </w:lvl>
  </w:abstractNum>
  <w:abstractNum w:abstractNumId="98">
    <w:nsid w:val="7C58FD05"/>
    <w:multiLevelType w:val="hybridMultilevel"/>
    <w:lvl w:ilvl="0">
      <w:lvlJc w:val="left"/>
      <w:lvlText w:val="(%1)"/>
      <w:numFmt w:val="lowerLetter"/>
      <w:start w:val="2"/>
    </w:lvl>
    <w:lvl w:ilvl="1">
      <w:lvlJc w:val="left"/>
      <w:lvlText w:val="%2."/>
      <w:numFmt w:val="decimal"/>
      <w:start w:val="1"/>
    </w:lvl>
  </w:abstractNum>
  <w:abstractNum w:abstractNumId="99">
    <w:nsid w:val="23D86AAC"/>
    <w:multiLevelType w:val="hybridMultilevel"/>
    <w:lvl w:ilvl="0">
      <w:lvlJc w:val="left"/>
      <w:lvlText w:val="%1"/>
      <w:numFmt w:val="lowerLetter"/>
      <w:start w:val="1"/>
    </w:lvl>
    <w:lvl w:ilvl="1">
      <w:lvlJc w:val="left"/>
      <w:lvlText w:val="%2."/>
      <w:numFmt w:val="decimal"/>
      <w:start w:val="3"/>
    </w:lvl>
  </w:abstractNum>
  <w:abstractNum w:abstractNumId="100">
    <w:nsid w:val="45E6D486"/>
    <w:multiLevelType w:val="hybridMultilevel"/>
    <w:lvl w:ilvl="0">
      <w:lvlJc w:val="left"/>
      <w:lvlText w:val="(%1)"/>
      <w:numFmt w:val="lowerLetter"/>
      <w:start w:val="4"/>
    </w:lvl>
    <w:lvl w:ilvl="1">
      <w:lvlJc w:val="left"/>
      <w:lvlText w:val="%2"/>
      <w:numFmt w:val="decimal"/>
      <w:start w:val="1"/>
    </w:lvl>
  </w:abstractNum>
  <w:abstractNum w:abstractNumId="101">
    <w:nsid w:val="5C10FE21"/>
    <w:multiLevelType w:val="hybridMultilevel"/>
    <w:lvl w:ilvl="0">
      <w:lvlJc w:val="left"/>
      <w:lvlText w:val="(%1)"/>
      <w:numFmt w:val="lowerLetter"/>
      <w:start w:val="7"/>
    </w:lvl>
  </w:abstractNum>
  <w:abstractNum w:abstractNumId="102">
    <w:nsid w:val="E7FFA2B"/>
    <w:multiLevelType w:val="hybridMultilevel"/>
    <w:lvl w:ilvl="0">
      <w:lvlJc w:val="left"/>
      <w:lvlText w:val="%1."/>
      <w:numFmt w:val="decimal"/>
      <w:start w:val="10"/>
    </w:lvl>
    <w:lvl w:ilvl="1">
      <w:lvlJc w:val="left"/>
      <w:lvlText w:val="(%2)"/>
      <w:numFmt w:val="lowerLetter"/>
      <w:start w:val="1"/>
    </w:lvl>
  </w:abstractNum>
  <w:abstractNum w:abstractNumId="103">
    <w:nsid w:val="3C5991AA"/>
    <w:multiLevelType w:val="hybridMultilevel"/>
    <w:lvl w:ilvl="0">
      <w:lvlJc w:val="left"/>
      <w:lvlText w:val="(%1)"/>
      <w:numFmt w:val="lowerLetter"/>
      <w:start w:val="3"/>
    </w:lvl>
  </w:abstractNum>
  <w:abstractNum w:abstractNumId="104">
    <w:nsid w:val="4BD8591A"/>
    <w:multiLevelType w:val="hybridMultilevel"/>
    <w:lvl w:ilvl="0">
      <w:lvlJc w:val="left"/>
      <w:lvlText w:val="%1."/>
      <w:numFmt w:val="decimal"/>
      <w:start w:val="14"/>
    </w:lvl>
  </w:abstractNum>
  <w:abstractNum w:abstractNumId="105">
    <w:nsid w:val="78DF6A55"/>
    <w:multiLevelType w:val="hybridMultilevel"/>
    <w:lvl w:ilvl="0">
      <w:lvlJc w:val="left"/>
      <w:lvlText w:val="%1."/>
      <w:numFmt w:val="decimal"/>
      <w:start w:val="15"/>
    </w:lvl>
  </w:abstractNum>
  <w:abstractNum w:abstractNumId="106">
    <w:nsid w:val="39B7AAA2"/>
    <w:multiLevelType w:val="hybridMultilevel"/>
    <w:lvl w:ilvl="0">
      <w:lvlJc w:val="left"/>
      <w:lvlText w:val="%1."/>
      <w:numFmt w:val="decimal"/>
      <w:start w:val="21"/>
    </w:lvl>
  </w:abstractNum>
  <w:abstractNum w:abstractNumId="107">
    <w:nsid w:val="2B0D8DBE"/>
    <w:multiLevelType w:val="hybridMultilevel"/>
    <w:lvl w:ilvl="0">
      <w:lvlJc w:val="left"/>
      <w:lvlText w:val="(%1)"/>
      <w:numFmt w:val="decimal"/>
      <w:start w:val="10"/>
    </w:lvl>
  </w:abstractNum>
  <w:abstractNum w:abstractNumId="108">
    <w:nsid w:val="6C80EC70"/>
    <w:multiLevelType w:val="hybridMultilevel"/>
    <w:lvl w:ilvl="0">
      <w:lvlJc w:val="left"/>
      <w:lvlText w:val="%1."/>
      <w:numFmt w:val="decimal"/>
      <w:start w:val="22"/>
    </w:lvl>
  </w:abstractNum>
  <w:abstractNum w:abstractNumId="109">
    <w:nsid w:val="379E21B5"/>
    <w:multiLevelType w:val="hybridMultilevel"/>
    <w:lvl w:ilvl="0">
      <w:lvlJc w:val="left"/>
      <w:lvlText w:val="%1."/>
      <w:numFmt w:val="decimal"/>
      <w:start w:val="28"/>
    </w:lvl>
  </w:abstractNum>
  <w:abstractNum w:abstractNumId="110">
    <w:nsid w:val="69E373"/>
    <w:multiLevelType w:val="hybridMultilevel"/>
    <w:lvl w:ilvl="0">
      <w:lvlJc w:val="left"/>
      <w:lvlText w:val="(%1)"/>
      <w:numFmt w:val="lowerRoman"/>
      <w:start w:val="1"/>
    </w:lvl>
  </w:abstractNum>
  <w:abstractNum w:abstractNumId="111">
    <w:nsid w:val="2C27173B"/>
    <w:multiLevelType w:val="hybridMultilevel"/>
    <w:lvl w:ilvl="0">
      <w:lvlJc w:val="left"/>
      <w:lvlText w:val="%1."/>
      <w:numFmt w:val="decimal"/>
      <w:start w:val="1"/>
    </w:lvl>
  </w:abstractNum>
  <w:abstractNum w:abstractNumId="112">
    <w:nsid w:val="4C9B0904"/>
    <w:multiLevelType w:val="hybridMultilevel"/>
    <w:lvl w:ilvl="0">
      <w:lvlJc w:val="left"/>
      <w:lvlText w:val="(%1)"/>
      <w:numFmt w:val="lowerRoman"/>
      <w:start w:val="1"/>
    </w:lvl>
  </w:abstractNum>
  <w:abstractNum w:abstractNumId="113">
    <w:nsid w:val="6AA7B75C"/>
    <w:multiLevelType w:val="hybridMultilevel"/>
    <w:lvl w:ilvl="0">
      <w:lvlJc w:val="left"/>
      <w:lvlText w:val="%1."/>
      <w:numFmt w:val="decimal"/>
      <w:start w:val="1"/>
    </w:lvl>
  </w:abstractNum>
  <w:abstractNum w:abstractNumId="114">
    <w:nsid w:val="1DF029D3"/>
    <w:multiLevelType w:val="hybridMultilevel"/>
    <w:lvl w:ilvl="0">
      <w:lvlJc w:val="left"/>
      <w:lvlText w:val="%1."/>
      <w:numFmt w:val="decimal"/>
      <w:start w:val="3"/>
    </w:lvl>
  </w:abstractNum>
  <w:abstractNum w:abstractNumId="115">
    <w:nsid w:val="5675FF36"/>
    <w:multiLevelType w:val="hybridMultilevel"/>
    <w:lvl w:ilvl="0">
      <w:lvlJc w:val="left"/>
      <w:lvlText w:val="1"/>
      <w:numFmt w:val="bullet"/>
      <w:start w:val="1"/>
    </w:lvl>
  </w:abstractNum>
  <w:abstractNum w:abstractNumId="116">
    <w:nsid w:val="3DD15094"/>
    <w:multiLevelType w:val="hybridMultilevel"/>
    <w:lvl w:ilvl="0">
      <w:lvlJc w:val="left"/>
      <w:lvlText w:val="2"/>
      <w:numFmt w:val="bullet"/>
      <w:start w:val="1"/>
    </w:lvl>
  </w:abstractNum>
  <w:abstractNum w:abstractNumId="117">
    <w:nsid w:val="3DB012B3"/>
    <w:multiLevelType w:val="hybridMultilevel"/>
    <w:lvl w:ilvl="0">
      <w:lvlJc w:val="left"/>
      <w:lvlText w:val="3"/>
      <w:numFmt w:val="bullet"/>
      <w:start w:val="1"/>
    </w:lvl>
  </w:abstractNum>
  <w:abstractNum w:abstractNumId="118">
    <w:nsid w:val="2708C9AF"/>
    <w:multiLevelType w:val="hybridMultilevel"/>
    <w:lvl w:ilvl="0">
      <w:lvlJc w:val="left"/>
      <w:lvlText w:val="1"/>
      <w:numFmt w:val="bullet"/>
      <w:start w:val="1"/>
    </w:lvl>
  </w:abstractNum>
  <w:abstractNum w:abstractNumId="119">
    <w:nsid w:val="5B25ACE2"/>
    <w:multiLevelType w:val="hybridMultilevel"/>
    <w:lvl w:ilvl="0">
      <w:lvlJc w:val="left"/>
      <w:lvlText w:val="2"/>
      <w:numFmt w:val="bullet"/>
      <w:start w:val="1"/>
    </w:lvl>
  </w:abstractNum>
  <w:abstractNum w:abstractNumId="120">
    <w:nsid w:val="175DFCF0"/>
    <w:multiLevelType w:val="hybridMultilevel"/>
    <w:lvl w:ilvl="0">
      <w:lvlJc w:val="left"/>
      <w:lvlText w:val="1"/>
      <w:numFmt w:val="bullet"/>
      <w:start w:val="1"/>
    </w:lvl>
  </w:abstractNum>
  <w:abstractNum w:abstractNumId="121">
    <w:nsid w:val="4F97E3E4"/>
    <w:multiLevelType w:val="hybridMultilevel"/>
    <w:lvl w:ilvl="0">
      <w:lvlJc w:val="left"/>
      <w:lvlText w:val="2"/>
      <w:numFmt w:val="bullet"/>
      <w:start w:val="1"/>
    </w:lvl>
  </w:abstractNum>
  <w:abstractNum w:abstractNumId="122">
    <w:nsid w:val="53B0A9E"/>
    <w:multiLevelType w:val="hybridMultilevel"/>
    <w:lvl w:ilvl="0">
      <w:lvlJc w:val="left"/>
      <w:lvlText w:val="3"/>
      <w:numFmt w:val="bullet"/>
      <w:start w:val="1"/>
    </w:lvl>
  </w:abstractNum>
  <w:abstractNum w:abstractNumId="123">
    <w:nsid w:val="34FD6B4F"/>
    <w:multiLevelType w:val="hybridMultilevel"/>
    <w:lvl w:ilvl="0">
      <w:lvlJc w:val="left"/>
      <w:lvlText w:val="%1."/>
      <w:numFmt w:val="decimal"/>
      <w:start w:val="1"/>
    </w:lvl>
    <w:lvl w:ilvl="1">
      <w:lvlJc w:val="left"/>
      <w:lvlText w:val="(%2)"/>
      <w:numFmt w:val="lowerLetter"/>
      <w:start w:val="1"/>
    </w:lvl>
  </w:abstractNum>
  <w:abstractNum w:abstractNumId="124">
    <w:nsid w:val="5915FF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png"/><Relationship Id="rId641" Type="http://schemas.openxmlformats.org/officeDocument/2006/relationships/image" Target="media/image633.png"/><Relationship Id="rId642" Type="http://schemas.openxmlformats.org/officeDocument/2006/relationships/image" Target="media/image634.pn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pn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png"/><Relationship Id="rId661" Type="http://schemas.openxmlformats.org/officeDocument/2006/relationships/image" Target="media/image653.png"/><Relationship Id="rId662" Type="http://schemas.openxmlformats.org/officeDocument/2006/relationships/image" Target="media/image654.png"/><Relationship Id="rId663" Type="http://schemas.openxmlformats.org/officeDocument/2006/relationships/image" Target="media/image655.png"/><Relationship Id="rId664" Type="http://schemas.openxmlformats.org/officeDocument/2006/relationships/image" Target="media/image656.png"/><Relationship Id="rId665" Type="http://schemas.openxmlformats.org/officeDocument/2006/relationships/image" Target="media/image657.png"/><Relationship Id="rId666" Type="http://schemas.openxmlformats.org/officeDocument/2006/relationships/image" Target="media/image658.png"/><Relationship Id="rId667" Type="http://schemas.openxmlformats.org/officeDocument/2006/relationships/image" Target="media/image659.png"/><Relationship Id="rId668" Type="http://schemas.openxmlformats.org/officeDocument/2006/relationships/image" Target="media/image660.png"/><Relationship Id="rId669" Type="http://schemas.openxmlformats.org/officeDocument/2006/relationships/image" Target="media/image661.png"/><Relationship Id="rId670" Type="http://schemas.openxmlformats.org/officeDocument/2006/relationships/image" Target="media/image662.png"/><Relationship Id="rId671" Type="http://schemas.openxmlformats.org/officeDocument/2006/relationships/image" Target="media/image663.png"/><Relationship Id="rId672" Type="http://schemas.openxmlformats.org/officeDocument/2006/relationships/image" Target="media/image664.png"/><Relationship Id="rId673" Type="http://schemas.openxmlformats.org/officeDocument/2006/relationships/image" Target="media/image665.png"/><Relationship Id="rId674" Type="http://schemas.openxmlformats.org/officeDocument/2006/relationships/image" Target="media/image666.png"/><Relationship Id="rId675" Type="http://schemas.openxmlformats.org/officeDocument/2006/relationships/image" Target="media/image667.png"/><Relationship Id="rId676" Type="http://schemas.openxmlformats.org/officeDocument/2006/relationships/image" Target="media/image668.png"/><Relationship Id="rId677" Type="http://schemas.openxmlformats.org/officeDocument/2006/relationships/image" Target="media/image669.png"/><Relationship Id="rId678" Type="http://schemas.openxmlformats.org/officeDocument/2006/relationships/image" Target="media/image670.png"/><Relationship Id="rId679" Type="http://schemas.openxmlformats.org/officeDocument/2006/relationships/image" Target="media/image671.png"/><Relationship Id="rId680" Type="http://schemas.openxmlformats.org/officeDocument/2006/relationships/image" Target="media/image672.png"/><Relationship Id="rId681" Type="http://schemas.openxmlformats.org/officeDocument/2006/relationships/image" Target="media/image673.png"/><Relationship Id="rId682" Type="http://schemas.openxmlformats.org/officeDocument/2006/relationships/image" Target="media/image674.png"/><Relationship Id="rId683" Type="http://schemas.openxmlformats.org/officeDocument/2006/relationships/image" Target="media/image675.png"/><Relationship Id="rId684" Type="http://schemas.openxmlformats.org/officeDocument/2006/relationships/image" Target="media/image676.png"/><Relationship Id="rId685" Type="http://schemas.openxmlformats.org/officeDocument/2006/relationships/image" Target="media/image677.png"/><Relationship Id="rId686" Type="http://schemas.openxmlformats.org/officeDocument/2006/relationships/image" Target="media/image678.png"/><Relationship Id="rId687" Type="http://schemas.openxmlformats.org/officeDocument/2006/relationships/image" Target="media/image679.png"/><Relationship Id="rId688" Type="http://schemas.openxmlformats.org/officeDocument/2006/relationships/image" Target="media/image680.png"/><Relationship Id="rId689" Type="http://schemas.openxmlformats.org/officeDocument/2006/relationships/image" Target="media/image681.png"/><Relationship Id="rId690" Type="http://schemas.openxmlformats.org/officeDocument/2006/relationships/image" Target="media/image682.png"/><Relationship Id="rId691" Type="http://schemas.openxmlformats.org/officeDocument/2006/relationships/image" Target="media/image683.png"/><Relationship Id="rId692" Type="http://schemas.openxmlformats.org/officeDocument/2006/relationships/image" Target="media/image684.png"/><Relationship Id="rId693" Type="http://schemas.openxmlformats.org/officeDocument/2006/relationships/image" Target="media/image685.png"/><Relationship Id="rId694" Type="http://schemas.openxmlformats.org/officeDocument/2006/relationships/image" Target="media/image686.png"/><Relationship Id="rId695" Type="http://schemas.openxmlformats.org/officeDocument/2006/relationships/image" Target="media/image687.png"/><Relationship Id="rId696" Type="http://schemas.openxmlformats.org/officeDocument/2006/relationships/image" Target="media/image688.png"/><Relationship Id="rId697" Type="http://schemas.openxmlformats.org/officeDocument/2006/relationships/image" Target="media/image689.png"/><Relationship Id="rId698" Type="http://schemas.openxmlformats.org/officeDocument/2006/relationships/image" Target="media/image690.png"/><Relationship Id="rId699" Type="http://schemas.openxmlformats.org/officeDocument/2006/relationships/image" Target="media/image691.png"/><Relationship Id="rId700" Type="http://schemas.openxmlformats.org/officeDocument/2006/relationships/image" Target="media/image692.png"/><Relationship Id="rId701" Type="http://schemas.openxmlformats.org/officeDocument/2006/relationships/image" Target="media/image693.png"/><Relationship Id="rId702" Type="http://schemas.openxmlformats.org/officeDocument/2006/relationships/image" Target="media/image694.png"/><Relationship Id="rId703" Type="http://schemas.openxmlformats.org/officeDocument/2006/relationships/image" Target="media/image695.png"/><Relationship Id="rId704" Type="http://schemas.openxmlformats.org/officeDocument/2006/relationships/image" Target="media/image696.png"/><Relationship Id="rId705" Type="http://schemas.openxmlformats.org/officeDocument/2006/relationships/image" Target="media/image697.png"/><Relationship Id="rId706" Type="http://schemas.openxmlformats.org/officeDocument/2006/relationships/image" Target="media/image698.png"/><Relationship Id="rId707" Type="http://schemas.openxmlformats.org/officeDocument/2006/relationships/image" Target="media/image699.png"/><Relationship Id="rId708" Type="http://schemas.openxmlformats.org/officeDocument/2006/relationships/image" Target="media/image700.png"/><Relationship Id="rId709" Type="http://schemas.openxmlformats.org/officeDocument/2006/relationships/image" Target="media/image701.png"/><Relationship Id="rId710" Type="http://schemas.openxmlformats.org/officeDocument/2006/relationships/image" Target="media/image702.png"/><Relationship Id="rId711" Type="http://schemas.openxmlformats.org/officeDocument/2006/relationships/image" Target="media/image703.png"/><Relationship Id="rId712" Type="http://schemas.openxmlformats.org/officeDocument/2006/relationships/image" Target="media/image704.png"/><Relationship Id="rId713" Type="http://schemas.openxmlformats.org/officeDocument/2006/relationships/image" Target="media/image705.png"/><Relationship Id="rId714" Type="http://schemas.openxmlformats.org/officeDocument/2006/relationships/image" Target="media/image706.png"/><Relationship Id="rId715" Type="http://schemas.openxmlformats.org/officeDocument/2006/relationships/image" Target="media/image707.png"/><Relationship Id="rId716" Type="http://schemas.openxmlformats.org/officeDocument/2006/relationships/image" Target="media/image708.png"/><Relationship Id="rId717" Type="http://schemas.openxmlformats.org/officeDocument/2006/relationships/image" Target="media/image709.png"/><Relationship Id="rId718" Type="http://schemas.openxmlformats.org/officeDocument/2006/relationships/image" Target="media/image710.png"/><Relationship Id="rId719" Type="http://schemas.openxmlformats.org/officeDocument/2006/relationships/image" Target="media/image711.png"/><Relationship Id="rId720" Type="http://schemas.openxmlformats.org/officeDocument/2006/relationships/image" Target="media/image712.png"/><Relationship Id="rId721" Type="http://schemas.openxmlformats.org/officeDocument/2006/relationships/image" Target="media/image713.png"/><Relationship Id="rId722" Type="http://schemas.openxmlformats.org/officeDocument/2006/relationships/image" Target="media/image714.png"/><Relationship Id="rId723" Type="http://schemas.openxmlformats.org/officeDocument/2006/relationships/image" Target="media/image715.png"/><Relationship Id="rId724" Type="http://schemas.openxmlformats.org/officeDocument/2006/relationships/image" Target="media/image716.png"/><Relationship Id="rId725" Type="http://schemas.openxmlformats.org/officeDocument/2006/relationships/image" Target="media/image717.png"/><Relationship Id="rId726" Type="http://schemas.openxmlformats.org/officeDocument/2006/relationships/image" Target="media/image718.png"/><Relationship Id="rId727" Type="http://schemas.openxmlformats.org/officeDocument/2006/relationships/image" Target="media/image719.png"/><Relationship Id="rId728" Type="http://schemas.openxmlformats.org/officeDocument/2006/relationships/image" Target="media/image720.png"/><Relationship Id="rId729" Type="http://schemas.openxmlformats.org/officeDocument/2006/relationships/image" Target="media/image721.png"/><Relationship Id="rId730" Type="http://schemas.openxmlformats.org/officeDocument/2006/relationships/image" Target="media/image722.png"/><Relationship Id="rId731" Type="http://schemas.openxmlformats.org/officeDocument/2006/relationships/image" Target="media/image723.png"/><Relationship Id="rId732" Type="http://schemas.openxmlformats.org/officeDocument/2006/relationships/image" Target="media/image724.png"/><Relationship Id="rId733" Type="http://schemas.openxmlformats.org/officeDocument/2006/relationships/image" Target="media/image725.png"/><Relationship Id="rId734" Type="http://schemas.openxmlformats.org/officeDocument/2006/relationships/image" Target="media/image726.png"/><Relationship Id="rId735" Type="http://schemas.openxmlformats.org/officeDocument/2006/relationships/image" Target="media/image727.png"/><Relationship Id="rId736" Type="http://schemas.openxmlformats.org/officeDocument/2006/relationships/image" Target="media/image728.png"/><Relationship Id="rId737" Type="http://schemas.openxmlformats.org/officeDocument/2006/relationships/image" Target="media/image729.png"/><Relationship Id="rId738" Type="http://schemas.openxmlformats.org/officeDocument/2006/relationships/image" Target="media/image730.png"/><Relationship Id="rId739" Type="http://schemas.openxmlformats.org/officeDocument/2006/relationships/image" Target="media/image731.png"/><Relationship Id="rId740" Type="http://schemas.openxmlformats.org/officeDocument/2006/relationships/image" Target="media/image732.png"/><Relationship Id="rId741" Type="http://schemas.openxmlformats.org/officeDocument/2006/relationships/image" Target="media/image733.png"/><Relationship Id="rId742" Type="http://schemas.openxmlformats.org/officeDocument/2006/relationships/image" Target="media/image734.png"/><Relationship Id="rId743" Type="http://schemas.openxmlformats.org/officeDocument/2006/relationships/image" Target="media/image735.png"/><Relationship Id="rId744" Type="http://schemas.openxmlformats.org/officeDocument/2006/relationships/image" Target="media/image736.png"/><Relationship Id="rId745" Type="http://schemas.openxmlformats.org/officeDocument/2006/relationships/image" Target="media/image737.png"/><Relationship Id="rId746" Type="http://schemas.openxmlformats.org/officeDocument/2006/relationships/image" Target="media/image738.png"/><Relationship Id="rId747" Type="http://schemas.openxmlformats.org/officeDocument/2006/relationships/image" Target="media/image739.png"/><Relationship Id="rId748" Type="http://schemas.openxmlformats.org/officeDocument/2006/relationships/image" Target="media/image740.png"/><Relationship Id="rId749" Type="http://schemas.openxmlformats.org/officeDocument/2006/relationships/image" Target="media/image741.png"/><Relationship Id="rId750" Type="http://schemas.openxmlformats.org/officeDocument/2006/relationships/image" Target="media/image742.png"/><Relationship Id="rId751" Type="http://schemas.openxmlformats.org/officeDocument/2006/relationships/image" Target="media/image743.png"/><Relationship Id="rId752" Type="http://schemas.openxmlformats.org/officeDocument/2006/relationships/image" Target="media/image744.png"/><Relationship Id="rId753" Type="http://schemas.openxmlformats.org/officeDocument/2006/relationships/image" Target="media/image745.png"/><Relationship Id="rId754" Type="http://schemas.openxmlformats.org/officeDocument/2006/relationships/image" Target="media/image746.png"/><Relationship Id="rId755" Type="http://schemas.openxmlformats.org/officeDocument/2006/relationships/image" Target="media/image747.png"/><Relationship Id="rId756" Type="http://schemas.openxmlformats.org/officeDocument/2006/relationships/image" Target="media/image748.png"/><Relationship Id="rId757" Type="http://schemas.openxmlformats.org/officeDocument/2006/relationships/image" Target="media/image749.png"/><Relationship Id="rId758" Type="http://schemas.openxmlformats.org/officeDocument/2006/relationships/image" Target="media/image750.png"/><Relationship Id="rId759" Type="http://schemas.openxmlformats.org/officeDocument/2006/relationships/image" Target="media/image751.png"/><Relationship Id="rId760" Type="http://schemas.openxmlformats.org/officeDocument/2006/relationships/image" Target="media/image752.png"/><Relationship Id="rId761" Type="http://schemas.openxmlformats.org/officeDocument/2006/relationships/image" Target="media/image753.png"/><Relationship Id="rId762" Type="http://schemas.openxmlformats.org/officeDocument/2006/relationships/image" Target="media/image754.png"/><Relationship Id="rId763" Type="http://schemas.openxmlformats.org/officeDocument/2006/relationships/image" Target="media/image755.png"/><Relationship Id="rId764" Type="http://schemas.openxmlformats.org/officeDocument/2006/relationships/image" Target="media/image756.png"/><Relationship Id="rId765" Type="http://schemas.openxmlformats.org/officeDocument/2006/relationships/image" Target="media/image757.png"/><Relationship Id="rId766" Type="http://schemas.openxmlformats.org/officeDocument/2006/relationships/image" Target="media/image758.png"/><Relationship Id="rId767" Type="http://schemas.openxmlformats.org/officeDocument/2006/relationships/image" Target="media/image759.png"/><Relationship Id="rId768" Type="http://schemas.openxmlformats.org/officeDocument/2006/relationships/image" Target="media/image760.png"/><Relationship Id="rId769" Type="http://schemas.openxmlformats.org/officeDocument/2006/relationships/image" Target="media/image761.png"/><Relationship Id="rId770" Type="http://schemas.openxmlformats.org/officeDocument/2006/relationships/image" Target="media/image762.png"/><Relationship Id="rId771" Type="http://schemas.openxmlformats.org/officeDocument/2006/relationships/image" Target="media/image763.png"/><Relationship Id="rId772" Type="http://schemas.openxmlformats.org/officeDocument/2006/relationships/image" Target="media/image764.png"/><Relationship Id="rId773" Type="http://schemas.openxmlformats.org/officeDocument/2006/relationships/image" Target="media/image765.png"/><Relationship Id="rId774" Type="http://schemas.openxmlformats.org/officeDocument/2006/relationships/image" Target="media/image766.png"/><Relationship Id="rId775" Type="http://schemas.openxmlformats.org/officeDocument/2006/relationships/image" Target="media/image767.png"/><Relationship Id="rId776" Type="http://schemas.openxmlformats.org/officeDocument/2006/relationships/image" Target="media/image768.png"/><Relationship Id="rId777" Type="http://schemas.openxmlformats.org/officeDocument/2006/relationships/image" Target="media/image769.png"/><Relationship Id="rId778" Type="http://schemas.openxmlformats.org/officeDocument/2006/relationships/image" Target="media/image770.png"/><Relationship Id="rId779" Type="http://schemas.openxmlformats.org/officeDocument/2006/relationships/image" Target="media/image771.png"/><Relationship Id="rId780" Type="http://schemas.openxmlformats.org/officeDocument/2006/relationships/image" Target="media/image772.png"/><Relationship Id="rId781" Type="http://schemas.openxmlformats.org/officeDocument/2006/relationships/image" Target="media/image773.png"/><Relationship Id="rId782" Type="http://schemas.openxmlformats.org/officeDocument/2006/relationships/image" Target="media/image774.png"/><Relationship Id="rId783" Type="http://schemas.openxmlformats.org/officeDocument/2006/relationships/image" Target="media/image775.png"/><Relationship Id="rId784" Type="http://schemas.openxmlformats.org/officeDocument/2006/relationships/image" Target="media/image776.png"/><Relationship Id="rId785" Type="http://schemas.openxmlformats.org/officeDocument/2006/relationships/image" Target="media/image777.png"/><Relationship Id="rId786" Type="http://schemas.openxmlformats.org/officeDocument/2006/relationships/image" Target="media/image778.png"/><Relationship Id="rId787" Type="http://schemas.openxmlformats.org/officeDocument/2006/relationships/image" Target="media/image779.png"/><Relationship Id="rId788" Type="http://schemas.openxmlformats.org/officeDocument/2006/relationships/image" Target="media/image780.png"/><Relationship Id="rId789" Type="http://schemas.openxmlformats.org/officeDocument/2006/relationships/image" Target="media/image781.png"/><Relationship Id="rId790" Type="http://schemas.openxmlformats.org/officeDocument/2006/relationships/image" Target="media/image782.png"/><Relationship Id="rId791" Type="http://schemas.openxmlformats.org/officeDocument/2006/relationships/image" Target="media/image783.png"/><Relationship Id="rId792" Type="http://schemas.openxmlformats.org/officeDocument/2006/relationships/image" Target="media/image784.png"/><Relationship Id="rId793" Type="http://schemas.openxmlformats.org/officeDocument/2006/relationships/image" Target="media/image785.png"/><Relationship Id="rId794" Type="http://schemas.openxmlformats.org/officeDocument/2006/relationships/image" Target="media/image786.png"/><Relationship Id="rId795" Type="http://schemas.openxmlformats.org/officeDocument/2006/relationships/image" Target="media/image787.png"/><Relationship Id="rId796" Type="http://schemas.openxmlformats.org/officeDocument/2006/relationships/image" Target="media/image788.png"/><Relationship Id="rId797" Type="http://schemas.openxmlformats.org/officeDocument/2006/relationships/image" Target="media/image789.png"/><Relationship Id="rId798" Type="http://schemas.openxmlformats.org/officeDocument/2006/relationships/image" Target="media/image790.png"/><Relationship Id="rId799" Type="http://schemas.openxmlformats.org/officeDocument/2006/relationships/image" Target="media/image791.png"/><Relationship Id="rId800" Type="http://schemas.openxmlformats.org/officeDocument/2006/relationships/image" Target="media/image792.png"/><Relationship Id="rId801" Type="http://schemas.openxmlformats.org/officeDocument/2006/relationships/image" Target="media/image793.png"/><Relationship Id="rId802" Type="http://schemas.openxmlformats.org/officeDocument/2006/relationships/image" Target="media/image794.png"/><Relationship Id="rId803" Type="http://schemas.openxmlformats.org/officeDocument/2006/relationships/image" Target="media/image795.png"/><Relationship Id="rId804" Type="http://schemas.openxmlformats.org/officeDocument/2006/relationships/image" Target="media/image796.png"/><Relationship Id="rId805" Type="http://schemas.openxmlformats.org/officeDocument/2006/relationships/image" Target="media/image797.png"/><Relationship Id="rId806" Type="http://schemas.openxmlformats.org/officeDocument/2006/relationships/image" Target="media/image798.png"/><Relationship Id="rId807" Type="http://schemas.openxmlformats.org/officeDocument/2006/relationships/image" Target="media/image799.png"/><Relationship Id="rId808" Type="http://schemas.openxmlformats.org/officeDocument/2006/relationships/image" Target="media/image800.png"/><Relationship Id="rId809" Type="http://schemas.openxmlformats.org/officeDocument/2006/relationships/image" Target="media/image801.png"/><Relationship Id="rId810" Type="http://schemas.openxmlformats.org/officeDocument/2006/relationships/image" Target="media/image802.png"/><Relationship Id="rId811" Type="http://schemas.openxmlformats.org/officeDocument/2006/relationships/image" Target="media/image803.png"/><Relationship Id="rId812" Type="http://schemas.openxmlformats.org/officeDocument/2006/relationships/image" Target="media/image804.png"/><Relationship Id="rId813" Type="http://schemas.openxmlformats.org/officeDocument/2006/relationships/image" Target="media/image805.png"/><Relationship Id="rId814" Type="http://schemas.openxmlformats.org/officeDocument/2006/relationships/image" Target="media/image806.png"/><Relationship Id="rId815" Type="http://schemas.openxmlformats.org/officeDocument/2006/relationships/image" Target="media/image807.png"/><Relationship Id="rId816" Type="http://schemas.openxmlformats.org/officeDocument/2006/relationships/image" Target="media/image808.png"/><Relationship Id="rId817" Type="http://schemas.openxmlformats.org/officeDocument/2006/relationships/image" Target="media/image809.png"/><Relationship Id="rId818" Type="http://schemas.openxmlformats.org/officeDocument/2006/relationships/image" Target="media/image810.png"/><Relationship Id="rId819" Type="http://schemas.openxmlformats.org/officeDocument/2006/relationships/image" Target="media/image811.png"/><Relationship Id="rId820" Type="http://schemas.openxmlformats.org/officeDocument/2006/relationships/image" Target="media/image812.png"/><Relationship Id="rId821" Type="http://schemas.openxmlformats.org/officeDocument/2006/relationships/image" Target="media/image813.png"/><Relationship Id="rId822" Type="http://schemas.openxmlformats.org/officeDocument/2006/relationships/image" Target="media/image814.png"/><Relationship Id="rId823" Type="http://schemas.openxmlformats.org/officeDocument/2006/relationships/image" Target="media/image815.png"/><Relationship Id="rId824" Type="http://schemas.openxmlformats.org/officeDocument/2006/relationships/image" Target="media/image816.png"/><Relationship Id="rId825" Type="http://schemas.openxmlformats.org/officeDocument/2006/relationships/image" Target="media/image817.png"/><Relationship Id="rId826" Type="http://schemas.openxmlformats.org/officeDocument/2006/relationships/image" Target="media/image818.png"/><Relationship Id="rId827" Type="http://schemas.openxmlformats.org/officeDocument/2006/relationships/image" Target="media/image819.png"/><Relationship Id="rId828" Type="http://schemas.openxmlformats.org/officeDocument/2006/relationships/image" Target="media/image820.png"/><Relationship Id="rId829" Type="http://schemas.openxmlformats.org/officeDocument/2006/relationships/image" Target="media/image821.png"/><Relationship Id="rId830" Type="http://schemas.openxmlformats.org/officeDocument/2006/relationships/image" Target="media/image822.png"/><Relationship Id="rId831" Type="http://schemas.openxmlformats.org/officeDocument/2006/relationships/image" Target="media/image823.png"/><Relationship Id="rId832" Type="http://schemas.openxmlformats.org/officeDocument/2006/relationships/image" Target="media/image824.png"/><Relationship Id="rId833" Type="http://schemas.openxmlformats.org/officeDocument/2006/relationships/image" Target="media/image825.png"/><Relationship Id="rId834" Type="http://schemas.openxmlformats.org/officeDocument/2006/relationships/image" Target="media/image826.png"/><Relationship Id="rId835" Type="http://schemas.openxmlformats.org/officeDocument/2006/relationships/image" Target="media/image827.png"/><Relationship Id="rId836" Type="http://schemas.openxmlformats.org/officeDocument/2006/relationships/image" Target="media/image828.png"/><Relationship Id="rId837" Type="http://schemas.openxmlformats.org/officeDocument/2006/relationships/image" Target="media/image829.png"/><Relationship Id="rId838" Type="http://schemas.openxmlformats.org/officeDocument/2006/relationships/image" Target="media/image830.png"/><Relationship Id="rId839" Type="http://schemas.openxmlformats.org/officeDocument/2006/relationships/image" Target="media/image831.png"/><Relationship Id="rId840" Type="http://schemas.openxmlformats.org/officeDocument/2006/relationships/image" Target="media/image832.png"/><Relationship Id="rId841" Type="http://schemas.openxmlformats.org/officeDocument/2006/relationships/image" Target="media/image833.png"/><Relationship Id="rId842" Type="http://schemas.openxmlformats.org/officeDocument/2006/relationships/image" Target="media/image834.png"/><Relationship Id="rId843" Type="http://schemas.openxmlformats.org/officeDocument/2006/relationships/image" Target="media/image835.png"/><Relationship Id="rId844" Type="http://schemas.openxmlformats.org/officeDocument/2006/relationships/image" Target="media/image836.png"/><Relationship Id="rId845" Type="http://schemas.openxmlformats.org/officeDocument/2006/relationships/image" Target="media/image837.png"/><Relationship Id="rId846" Type="http://schemas.openxmlformats.org/officeDocument/2006/relationships/image" Target="media/image838.png"/><Relationship Id="rId847" Type="http://schemas.openxmlformats.org/officeDocument/2006/relationships/image" Target="media/image839.png"/><Relationship Id="rId848" Type="http://schemas.openxmlformats.org/officeDocument/2006/relationships/image" Target="media/image840.png"/><Relationship Id="rId849" Type="http://schemas.openxmlformats.org/officeDocument/2006/relationships/image" Target="media/image841.png"/><Relationship Id="rId850" Type="http://schemas.openxmlformats.org/officeDocument/2006/relationships/image" Target="media/image842.png"/><Relationship Id="rId851" Type="http://schemas.openxmlformats.org/officeDocument/2006/relationships/image" Target="media/image843.png"/><Relationship Id="rId852" Type="http://schemas.openxmlformats.org/officeDocument/2006/relationships/image" Target="media/image844.png"/><Relationship Id="rId853" Type="http://schemas.openxmlformats.org/officeDocument/2006/relationships/image" Target="media/image845.png"/><Relationship Id="rId854" Type="http://schemas.openxmlformats.org/officeDocument/2006/relationships/image" Target="media/image846.png"/><Relationship Id="rId855" Type="http://schemas.openxmlformats.org/officeDocument/2006/relationships/image" Target="media/image847.png"/><Relationship Id="rId856" Type="http://schemas.openxmlformats.org/officeDocument/2006/relationships/image" Target="media/image848.png"/><Relationship Id="rId857" Type="http://schemas.openxmlformats.org/officeDocument/2006/relationships/image" Target="media/image849.png"/><Relationship Id="rId858" Type="http://schemas.openxmlformats.org/officeDocument/2006/relationships/image" Target="media/image850.png"/><Relationship Id="rId859" Type="http://schemas.openxmlformats.org/officeDocument/2006/relationships/image" Target="media/image851.png"/><Relationship Id="rId860" Type="http://schemas.openxmlformats.org/officeDocument/2006/relationships/image" Target="media/image852.png"/><Relationship Id="rId861" Type="http://schemas.openxmlformats.org/officeDocument/2006/relationships/image" Target="media/image853.png"/><Relationship Id="rId862" Type="http://schemas.openxmlformats.org/officeDocument/2006/relationships/image" Target="media/image854.png"/><Relationship Id="rId863" Type="http://schemas.openxmlformats.org/officeDocument/2006/relationships/image" Target="media/image855.png"/><Relationship Id="rId864" Type="http://schemas.openxmlformats.org/officeDocument/2006/relationships/image" Target="media/image856.png"/><Relationship Id="rId865" Type="http://schemas.openxmlformats.org/officeDocument/2006/relationships/image" Target="media/image857.png"/><Relationship Id="rId866" Type="http://schemas.openxmlformats.org/officeDocument/2006/relationships/image" Target="media/image858.png"/><Relationship Id="rId867" Type="http://schemas.openxmlformats.org/officeDocument/2006/relationships/image" Target="media/image859.png"/><Relationship Id="rId868" Type="http://schemas.openxmlformats.org/officeDocument/2006/relationships/image" Target="media/image860.png"/><Relationship Id="rId869" Type="http://schemas.openxmlformats.org/officeDocument/2006/relationships/image" Target="media/image861.png"/><Relationship Id="rId870" Type="http://schemas.openxmlformats.org/officeDocument/2006/relationships/image" Target="media/image862.png"/><Relationship Id="rId871" Type="http://schemas.openxmlformats.org/officeDocument/2006/relationships/image" Target="media/image863.png"/><Relationship Id="rId872" Type="http://schemas.openxmlformats.org/officeDocument/2006/relationships/image" Target="media/image864.png"/><Relationship Id="rId873" Type="http://schemas.openxmlformats.org/officeDocument/2006/relationships/image" Target="media/image865.png"/><Relationship Id="rId874" Type="http://schemas.openxmlformats.org/officeDocument/2006/relationships/image" Target="media/image866.png"/><Relationship Id="rId875" Type="http://schemas.openxmlformats.org/officeDocument/2006/relationships/image" Target="media/image867.png"/><Relationship Id="rId876" Type="http://schemas.openxmlformats.org/officeDocument/2006/relationships/image" Target="media/image868.png"/><Relationship Id="rId877" Type="http://schemas.openxmlformats.org/officeDocument/2006/relationships/image" Target="media/image869.png"/><Relationship Id="rId878" Type="http://schemas.openxmlformats.org/officeDocument/2006/relationships/image" Target="media/image870.png"/><Relationship Id="rId879" Type="http://schemas.openxmlformats.org/officeDocument/2006/relationships/image" Target="media/image871.png"/><Relationship Id="rId880" Type="http://schemas.openxmlformats.org/officeDocument/2006/relationships/image" Target="media/image872.png"/><Relationship Id="rId881" Type="http://schemas.openxmlformats.org/officeDocument/2006/relationships/image" Target="media/image873.png"/><Relationship Id="rId882" Type="http://schemas.openxmlformats.org/officeDocument/2006/relationships/image" Target="media/image874.png"/><Relationship Id="rId883" Type="http://schemas.openxmlformats.org/officeDocument/2006/relationships/image" Target="media/image875.png"/><Relationship Id="rId884" Type="http://schemas.openxmlformats.org/officeDocument/2006/relationships/image" Target="media/image876.png"/><Relationship Id="rId885" Type="http://schemas.openxmlformats.org/officeDocument/2006/relationships/image" Target="media/image877.png"/><Relationship Id="rId886" Type="http://schemas.openxmlformats.org/officeDocument/2006/relationships/image" Target="media/image878.png"/><Relationship Id="rId887" Type="http://schemas.openxmlformats.org/officeDocument/2006/relationships/image" Target="media/image879.png"/><Relationship Id="rId888" Type="http://schemas.openxmlformats.org/officeDocument/2006/relationships/image" Target="media/image880.png"/><Relationship Id="rId889" Type="http://schemas.openxmlformats.org/officeDocument/2006/relationships/image" Target="media/image881.png"/><Relationship Id="rId890" Type="http://schemas.openxmlformats.org/officeDocument/2006/relationships/image" Target="media/image882.png"/><Relationship Id="rId891" Type="http://schemas.openxmlformats.org/officeDocument/2006/relationships/image" Target="media/image883.png"/><Relationship Id="rId892" Type="http://schemas.openxmlformats.org/officeDocument/2006/relationships/image" Target="media/image884.png"/><Relationship Id="rId893" Type="http://schemas.openxmlformats.org/officeDocument/2006/relationships/image" Target="media/image885.png"/><Relationship Id="rId894" Type="http://schemas.openxmlformats.org/officeDocument/2006/relationships/image" Target="media/image886.png"/><Relationship Id="rId895" Type="http://schemas.openxmlformats.org/officeDocument/2006/relationships/image" Target="media/image887.png"/><Relationship Id="rId896" Type="http://schemas.openxmlformats.org/officeDocument/2006/relationships/image" Target="media/image888.png"/><Relationship Id="rId897" Type="http://schemas.openxmlformats.org/officeDocument/2006/relationships/image" Target="media/image889.png"/><Relationship Id="rId898" Type="http://schemas.openxmlformats.org/officeDocument/2006/relationships/image" Target="media/image890.png"/><Relationship Id="rId899" Type="http://schemas.openxmlformats.org/officeDocument/2006/relationships/image" Target="media/image891.png"/><Relationship Id="rId900" Type="http://schemas.openxmlformats.org/officeDocument/2006/relationships/image" Target="media/image892.png"/><Relationship Id="rId901" Type="http://schemas.openxmlformats.org/officeDocument/2006/relationships/image" Target="media/image893.png"/><Relationship Id="rId902" Type="http://schemas.openxmlformats.org/officeDocument/2006/relationships/image" Target="media/image894.png"/><Relationship Id="rId903" Type="http://schemas.openxmlformats.org/officeDocument/2006/relationships/image" Target="media/image895.png"/><Relationship Id="rId904" Type="http://schemas.openxmlformats.org/officeDocument/2006/relationships/image" Target="media/image896.png"/><Relationship Id="rId905" Type="http://schemas.openxmlformats.org/officeDocument/2006/relationships/image" Target="media/image897.png"/><Relationship Id="rId906" Type="http://schemas.openxmlformats.org/officeDocument/2006/relationships/image" Target="media/image898.png"/><Relationship Id="rId907" Type="http://schemas.openxmlformats.org/officeDocument/2006/relationships/image" Target="media/image899.png"/><Relationship Id="rId908" Type="http://schemas.openxmlformats.org/officeDocument/2006/relationships/image" Target="media/image900.png"/><Relationship Id="rId909" Type="http://schemas.openxmlformats.org/officeDocument/2006/relationships/image" Target="media/image901.png"/><Relationship Id="rId910" Type="http://schemas.openxmlformats.org/officeDocument/2006/relationships/image" Target="media/image902.png"/><Relationship Id="rId911" Type="http://schemas.openxmlformats.org/officeDocument/2006/relationships/image" Target="media/image903.png"/><Relationship Id="rId912" Type="http://schemas.openxmlformats.org/officeDocument/2006/relationships/image" Target="media/image904.png"/><Relationship Id="rId913" Type="http://schemas.openxmlformats.org/officeDocument/2006/relationships/image" Target="media/image905.png"/><Relationship Id="rId914" Type="http://schemas.openxmlformats.org/officeDocument/2006/relationships/image" Target="media/image906.png"/><Relationship Id="rId915" Type="http://schemas.openxmlformats.org/officeDocument/2006/relationships/image" Target="media/image907.png"/><Relationship Id="rId916" Type="http://schemas.openxmlformats.org/officeDocument/2006/relationships/image" Target="media/image908.png"/><Relationship Id="rId917" Type="http://schemas.openxmlformats.org/officeDocument/2006/relationships/image" Target="media/image909.png"/><Relationship Id="rId918" Type="http://schemas.openxmlformats.org/officeDocument/2006/relationships/image" Target="media/image910.png"/><Relationship Id="rId919" Type="http://schemas.openxmlformats.org/officeDocument/2006/relationships/image" Target="media/image911.png"/><Relationship Id="rId920" Type="http://schemas.openxmlformats.org/officeDocument/2006/relationships/image" Target="media/image912.png"/><Relationship Id="rId921" Type="http://schemas.openxmlformats.org/officeDocument/2006/relationships/image" Target="media/image913.png"/><Relationship Id="rId922" Type="http://schemas.openxmlformats.org/officeDocument/2006/relationships/image" Target="media/image914.png"/><Relationship Id="rId923" Type="http://schemas.openxmlformats.org/officeDocument/2006/relationships/image" Target="media/image915.png"/><Relationship Id="rId924" Type="http://schemas.openxmlformats.org/officeDocument/2006/relationships/image" Target="media/image916.png"/><Relationship Id="rId925" Type="http://schemas.openxmlformats.org/officeDocument/2006/relationships/image" Target="media/image917.png"/><Relationship Id="rId926" Type="http://schemas.openxmlformats.org/officeDocument/2006/relationships/image" Target="media/image918.png"/><Relationship Id="rId927" Type="http://schemas.openxmlformats.org/officeDocument/2006/relationships/image" Target="media/image919.png"/><Relationship Id="rId928" Type="http://schemas.openxmlformats.org/officeDocument/2006/relationships/image" Target="media/image920.png"/><Relationship Id="rId929" Type="http://schemas.openxmlformats.org/officeDocument/2006/relationships/image" Target="media/image921.png"/><Relationship Id="rId930" Type="http://schemas.openxmlformats.org/officeDocument/2006/relationships/image" Target="media/image922.png"/><Relationship Id="rId931" Type="http://schemas.openxmlformats.org/officeDocument/2006/relationships/image" Target="media/image923.png"/><Relationship Id="rId932" Type="http://schemas.openxmlformats.org/officeDocument/2006/relationships/image" Target="media/image924.png"/><Relationship Id="rId933" Type="http://schemas.openxmlformats.org/officeDocument/2006/relationships/image" Target="media/image925.png"/><Relationship Id="rId934" Type="http://schemas.openxmlformats.org/officeDocument/2006/relationships/image" Target="media/image926.png"/><Relationship Id="rId935" Type="http://schemas.openxmlformats.org/officeDocument/2006/relationships/image" Target="media/image927.png"/><Relationship Id="rId936" Type="http://schemas.openxmlformats.org/officeDocument/2006/relationships/image" Target="media/image928.png"/><Relationship Id="rId937" Type="http://schemas.openxmlformats.org/officeDocument/2006/relationships/image" Target="media/image929.png"/><Relationship Id="rId938" Type="http://schemas.openxmlformats.org/officeDocument/2006/relationships/image" Target="media/image930.png"/><Relationship Id="rId939" Type="http://schemas.openxmlformats.org/officeDocument/2006/relationships/image" Target="media/image931.png"/><Relationship Id="rId940" Type="http://schemas.openxmlformats.org/officeDocument/2006/relationships/image" Target="media/image932.png"/><Relationship Id="rId941" Type="http://schemas.openxmlformats.org/officeDocument/2006/relationships/image" Target="media/image933.png"/><Relationship Id="rId942" Type="http://schemas.openxmlformats.org/officeDocument/2006/relationships/image" Target="media/image934.png"/><Relationship Id="rId943" Type="http://schemas.openxmlformats.org/officeDocument/2006/relationships/image" Target="media/image935.png"/><Relationship Id="rId944" Type="http://schemas.openxmlformats.org/officeDocument/2006/relationships/image" Target="media/image936.png"/><Relationship Id="rId945" Type="http://schemas.openxmlformats.org/officeDocument/2006/relationships/image" Target="media/image937.png"/><Relationship Id="rId946" Type="http://schemas.openxmlformats.org/officeDocument/2006/relationships/image" Target="media/image938.png"/><Relationship Id="rId947" Type="http://schemas.openxmlformats.org/officeDocument/2006/relationships/image" Target="media/image939.png"/><Relationship Id="rId948" Type="http://schemas.openxmlformats.org/officeDocument/2006/relationships/image" Target="media/image940.png"/><Relationship Id="rId949" Type="http://schemas.openxmlformats.org/officeDocument/2006/relationships/image" Target="media/image941.png"/><Relationship Id="rId950" Type="http://schemas.openxmlformats.org/officeDocument/2006/relationships/image" Target="media/image942.png"/><Relationship Id="rId951" Type="http://schemas.openxmlformats.org/officeDocument/2006/relationships/image" Target="media/image943.png"/><Relationship Id="rId952" Type="http://schemas.openxmlformats.org/officeDocument/2006/relationships/image" Target="media/image944.png"/><Relationship Id="rId953" Type="http://schemas.openxmlformats.org/officeDocument/2006/relationships/image" Target="media/image945.png"/><Relationship Id="rId954" Type="http://schemas.openxmlformats.org/officeDocument/2006/relationships/image" Target="media/image946.png"/><Relationship Id="rId955" Type="http://schemas.openxmlformats.org/officeDocument/2006/relationships/image" Target="media/image947.png"/><Relationship Id="rId956" Type="http://schemas.openxmlformats.org/officeDocument/2006/relationships/image" Target="media/image948.png"/><Relationship Id="rId957" Type="http://schemas.openxmlformats.org/officeDocument/2006/relationships/image" Target="media/image949.png"/><Relationship Id="rId958" Type="http://schemas.openxmlformats.org/officeDocument/2006/relationships/image" Target="media/image950.png"/><Relationship Id="rId959" Type="http://schemas.openxmlformats.org/officeDocument/2006/relationships/image" Target="media/image951.png"/><Relationship Id="rId960" Type="http://schemas.openxmlformats.org/officeDocument/2006/relationships/image" Target="media/image952.png"/><Relationship Id="rId961" Type="http://schemas.openxmlformats.org/officeDocument/2006/relationships/image" Target="media/image953.png"/><Relationship Id="rId962" Type="http://schemas.openxmlformats.org/officeDocument/2006/relationships/image" Target="media/image954.png"/><Relationship Id="rId963" Type="http://schemas.openxmlformats.org/officeDocument/2006/relationships/image" Target="media/image955.png"/><Relationship Id="rId964" Type="http://schemas.openxmlformats.org/officeDocument/2006/relationships/image" Target="media/image956.png"/><Relationship Id="rId965" Type="http://schemas.openxmlformats.org/officeDocument/2006/relationships/image" Target="media/image957.png"/><Relationship Id="rId966" Type="http://schemas.openxmlformats.org/officeDocument/2006/relationships/image" Target="media/image958.png"/><Relationship Id="rId967" Type="http://schemas.openxmlformats.org/officeDocument/2006/relationships/image" Target="media/image959.png"/><Relationship Id="rId968" Type="http://schemas.openxmlformats.org/officeDocument/2006/relationships/image" Target="media/image960.png"/><Relationship Id="rId969" Type="http://schemas.openxmlformats.org/officeDocument/2006/relationships/image" Target="media/image961.png"/><Relationship Id="rId970" Type="http://schemas.openxmlformats.org/officeDocument/2006/relationships/image" Target="media/image962.png"/><Relationship Id="rId971" Type="http://schemas.openxmlformats.org/officeDocument/2006/relationships/image" Target="media/image963.png"/><Relationship Id="rId972" Type="http://schemas.openxmlformats.org/officeDocument/2006/relationships/image" Target="media/image964.png"/><Relationship Id="rId973" Type="http://schemas.openxmlformats.org/officeDocument/2006/relationships/image" Target="media/image965.png"/><Relationship Id="rId974" Type="http://schemas.openxmlformats.org/officeDocument/2006/relationships/image" Target="media/image966.png"/><Relationship Id="rId975" Type="http://schemas.openxmlformats.org/officeDocument/2006/relationships/image" Target="media/image967.png"/><Relationship Id="rId976" Type="http://schemas.openxmlformats.org/officeDocument/2006/relationships/image" Target="media/image968.png"/><Relationship Id="rId977" Type="http://schemas.openxmlformats.org/officeDocument/2006/relationships/image" Target="media/image969.png"/><Relationship Id="rId978" Type="http://schemas.openxmlformats.org/officeDocument/2006/relationships/image" Target="media/image970.png"/><Relationship Id="rId979" Type="http://schemas.openxmlformats.org/officeDocument/2006/relationships/image" Target="media/image971.png"/><Relationship Id="rId980" Type="http://schemas.openxmlformats.org/officeDocument/2006/relationships/image" Target="media/image972.png"/><Relationship Id="rId981" Type="http://schemas.openxmlformats.org/officeDocument/2006/relationships/image" Target="media/image973.png"/><Relationship Id="rId982" Type="http://schemas.openxmlformats.org/officeDocument/2006/relationships/image" Target="media/image974.png"/><Relationship Id="rId983" Type="http://schemas.openxmlformats.org/officeDocument/2006/relationships/image" Target="media/image975.png"/><Relationship Id="rId984" Type="http://schemas.openxmlformats.org/officeDocument/2006/relationships/image" Target="media/image976.png"/><Relationship Id="rId985" Type="http://schemas.openxmlformats.org/officeDocument/2006/relationships/image" Target="media/image977.png"/><Relationship Id="rId986" Type="http://schemas.openxmlformats.org/officeDocument/2006/relationships/image" Target="media/image978.png"/><Relationship Id="rId987" Type="http://schemas.openxmlformats.org/officeDocument/2006/relationships/image" Target="media/image979.png"/><Relationship Id="rId988" Type="http://schemas.openxmlformats.org/officeDocument/2006/relationships/image" Target="media/image980.png"/><Relationship Id="rId989" Type="http://schemas.openxmlformats.org/officeDocument/2006/relationships/image" Target="media/image981.png"/><Relationship Id="rId990" Type="http://schemas.openxmlformats.org/officeDocument/2006/relationships/image" Target="media/image982.png"/><Relationship Id="rId991" Type="http://schemas.openxmlformats.org/officeDocument/2006/relationships/image" Target="media/image983.png"/><Relationship Id="rId992" Type="http://schemas.openxmlformats.org/officeDocument/2006/relationships/image" Target="media/image984.png"/><Relationship Id="rId993" Type="http://schemas.openxmlformats.org/officeDocument/2006/relationships/image" Target="media/image985.png"/><Relationship Id="rId994" Type="http://schemas.openxmlformats.org/officeDocument/2006/relationships/image" Target="media/image986.png"/><Relationship Id="rId995" Type="http://schemas.openxmlformats.org/officeDocument/2006/relationships/image" Target="media/image987.png"/><Relationship Id="rId996" Type="http://schemas.openxmlformats.org/officeDocument/2006/relationships/image" Target="media/image988.png"/><Relationship Id="rId997" Type="http://schemas.openxmlformats.org/officeDocument/2006/relationships/image" Target="media/image989.png"/><Relationship Id="rId998" Type="http://schemas.openxmlformats.org/officeDocument/2006/relationships/image" Target="media/image990.png"/><Relationship Id="rId999" Type="http://schemas.openxmlformats.org/officeDocument/2006/relationships/image" Target="media/image991.png"/><Relationship Id="rId1000" Type="http://schemas.openxmlformats.org/officeDocument/2006/relationships/image" Target="media/image992.png"/><Relationship Id="rId1001" Type="http://schemas.openxmlformats.org/officeDocument/2006/relationships/image" Target="media/image993.png"/><Relationship Id="rId1002" Type="http://schemas.openxmlformats.org/officeDocument/2006/relationships/image" Target="media/image994.png"/><Relationship Id="rId1003" Type="http://schemas.openxmlformats.org/officeDocument/2006/relationships/image" Target="media/image995.png"/><Relationship Id="rId1004" Type="http://schemas.openxmlformats.org/officeDocument/2006/relationships/image" Target="media/image996.png"/><Relationship Id="rId1005" Type="http://schemas.openxmlformats.org/officeDocument/2006/relationships/image" Target="media/image997.png"/><Relationship Id="rId1006" Type="http://schemas.openxmlformats.org/officeDocument/2006/relationships/image" Target="media/image998.png"/><Relationship Id="rId1007" Type="http://schemas.openxmlformats.org/officeDocument/2006/relationships/image" Target="media/image999.png"/><Relationship Id="rId1008" Type="http://schemas.openxmlformats.org/officeDocument/2006/relationships/image" Target="media/image1000.png"/><Relationship Id="rId1009" Type="http://schemas.openxmlformats.org/officeDocument/2006/relationships/image" Target="media/image1001.png"/><Relationship Id="rId1010" Type="http://schemas.openxmlformats.org/officeDocument/2006/relationships/image" Target="media/image1002.png"/><Relationship Id="rId1011" Type="http://schemas.openxmlformats.org/officeDocument/2006/relationships/image" Target="media/image1003.png"/><Relationship Id="rId1012" Type="http://schemas.openxmlformats.org/officeDocument/2006/relationships/image" Target="media/image1004.png"/><Relationship Id="rId1013" Type="http://schemas.openxmlformats.org/officeDocument/2006/relationships/image" Target="media/image1005.png"/><Relationship Id="rId1014" Type="http://schemas.openxmlformats.org/officeDocument/2006/relationships/image" Target="media/image1006.png"/><Relationship Id="rId1015" Type="http://schemas.openxmlformats.org/officeDocument/2006/relationships/image" Target="media/image1007.png"/><Relationship Id="rId1016" Type="http://schemas.openxmlformats.org/officeDocument/2006/relationships/image" Target="media/image1008.png"/><Relationship Id="rId1017" Type="http://schemas.openxmlformats.org/officeDocument/2006/relationships/image" Target="media/image1009.png"/><Relationship Id="rId1018" Type="http://schemas.openxmlformats.org/officeDocument/2006/relationships/image" Target="media/image1010.png"/><Relationship Id="rId1019" Type="http://schemas.openxmlformats.org/officeDocument/2006/relationships/image" Target="media/image1011.png"/><Relationship Id="rId1020" Type="http://schemas.openxmlformats.org/officeDocument/2006/relationships/image" Target="media/image1012.png"/><Relationship Id="rId1021" Type="http://schemas.openxmlformats.org/officeDocument/2006/relationships/image" Target="media/image1013.png"/><Relationship Id="rId1022" Type="http://schemas.openxmlformats.org/officeDocument/2006/relationships/image" Target="media/image1014.png"/><Relationship Id="rId1023" Type="http://schemas.openxmlformats.org/officeDocument/2006/relationships/image" Target="media/image1015.png"/><Relationship Id="rId1024" Type="http://schemas.openxmlformats.org/officeDocument/2006/relationships/image" Target="media/image1016.png"/><Relationship Id="rId1025" Type="http://schemas.openxmlformats.org/officeDocument/2006/relationships/image" Target="media/image1017.png"/><Relationship Id="rId1026" Type="http://schemas.openxmlformats.org/officeDocument/2006/relationships/image" Target="media/image1018.png"/><Relationship Id="rId1027" Type="http://schemas.openxmlformats.org/officeDocument/2006/relationships/image" Target="media/image1019.png"/><Relationship Id="rId1028" Type="http://schemas.openxmlformats.org/officeDocument/2006/relationships/image" Target="media/image1020.png"/><Relationship Id="rId1029" Type="http://schemas.openxmlformats.org/officeDocument/2006/relationships/image" Target="media/image1021.png"/><Relationship Id="rId1030" Type="http://schemas.openxmlformats.org/officeDocument/2006/relationships/image" Target="media/image1022.png"/><Relationship Id="rId1031" Type="http://schemas.openxmlformats.org/officeDocument/2006/relationships/image" Target="media/image1023.png"/><Relationship Id="rId1032" Type="http://schemas.openxmlformats.org/officeDocument/2006/relationships/image" Target="media/image1024.png"/><Relationship Id="rId1033" Type="http://schemas.openxmlformats.org/officeDocument/2006/relationships/image" Target="media/image1025.png"/><Relationship Id="rId1034" Type="http://schemas.openxmlformats.org/officeDocument/2006/relationships/image" Target="media/image1026.png"/><Relationship Id="rId1035" Type="http://schemas.openxmlformats.org/officeDocument/2006/relationships/image" Target="media/image1027.png"/><Relationship Id="rId1036" Type="http://schemas.openxmlformats.org/officeDocument/2006/relationships/image" Target="media/image1028.png"/><Relationship Id="rId1037" Type="http://schemas.openxmlformats.org/officeDocument/2006/relationships/image" Target="media/image1029.png"/><Relationship Id="rId1038" Type="http://schemas.openxmlformats.org/officeDocument/2006/relationships/image" Target="media/image1030.png"/><Relationship Id="rId1039" Type="http://schemas.openxmlformats.org/officeDocument/2006/relationships/image" Target="media/image1031.png"/><Relationship Id="rId1040" Type="http://schemas.openxmlformats.org/officeDocument/2006/relationships/image" Target="media/image1032.png"/><Relationship Id="rId1041" Type="http://schemas.openxmlformats.org/officeDocument/2006/relationships/image" Target="media/image1033.png"/><Relationship Id="rId1042" Type="http://schemas.openxmlformats.org/officeDocument/2006/relationships/image" Target="media/image1034.png"/><Relationship Id="rId1043" Type="http://schemas.openxmlformats.org/officeDocument/2006/relationships/image" Target="media/image1035.png"/><Relationship Id="rId1044" Type="http://schemas.openxmlformats.org/officeDocument/2006/relationships/image" Target="media/image1036.png"/><Relationship Id="rId1045" Type="http://schemas.openxmlformats.org/officeDocument/2006/relationships/image" Target="media/image1037.png"/><Relationship Id="rId1046" Type="http://schemas.openxmlformats.org/officeDocument/2006/relationships/image" Target="media/image1038.png"/><Relationship Id="rId1047" Type="http://schemas.openxmlformats.org/officeDocument/2006/relationships/image" Target="media/image1039.png"/><Relationship Id="rId1048" Type="http://schemas.openxmlformats.org/officeDocument/2006/relationships/image" Target="media/image1040.png"/><Relationship Id="rId1049" Type="http://schemas.openxmlformats.org/officeDocument/2006/relationships/image" Target="media/image1041.png"/><Relationship Id="rId1050" Type="http://schemas.openxmlformats.org/officeDocument/2006/relationships/image" Target="media/image1042.png"/><Relationship Id="rId1051" Type="http://schemas.openxmlformats.org/officeDocument/2006/relationships/image" Target="media/image1043.png"/><Relationship Id="rId1052" Type="http://schemas.openxmlformats.org/officeDocument/2006/relationships/image" Target="media/image1044.png"/><Relationship Id="rId1053" Type="http://schemas.openxmlformats.org/officeDocument/2006/relationships/image" Target="media/image1045.png"/><Relationship Id="rId1054" Type="http://schemas.openxmlformats.org/officeDocument/2006/relationships/image" Target="media/image1046.png"/><Relationship Id="rId1055" Type="http://schemas.openxmlformats.org/officeDocument/2006/relationships/image" Target="media/image1047.png"/><Relationship Id="rId1056" Type="http://schemas.openxmlformats.org/officeDocument/2006/relationships/image" Target="media/image1048.png"/><Relationship Id="rId1057" Type="http://schemas.openxmlformats.org/officeDocument/2006/relationships/image" Target="media/image1049.png"/><Relationship Id="rId1058" Type="http://schemas.openxmlformats.org/officeDocument/2006/relationships/image" Target="media/image1050.png"/><Relationship Id="rId1059" Type="http://schemas.openxmlformats.org/officeDocument/2006/relationships/image" Target="media/image1051.png"/><Relationship Id="rId1060" Type="http://schemas.openxmlformats.org/officeDocument/2006/relationships/image" Target="media/image1052.png"/><Relationship Id="rId1061" Type="http://schemas.openxmlformats.org/officeDocument/2006/relationships/image" Target="media/image1053.png"/><Relationship Id="rId1062" Type="http://schemas.openxmlformats.org/officeDocument/2006/relationships/image" Target="media/image1054.png"/><Relationship Id="rId1063" Type="http://schemas.openxmlformats.org/officeDocument/2006/relationships/image" Target="media/image1055.png"/><Relationship Id="rId1064" Type="http://schemas.openxmlformats.org/officeDocument/2006/relationships/image" Target="media/image1056.png"/><Relationship Id="rId1065" Type="http://schemas.openxmlformats.org/officeDocument/2006/relationships/image" Target="media/image1057.png"/><Relationship Id="rId1066" Type="http://schemas.openxmlformats.org/officeDocument/2006/relationships/image" Target="media/image1058.png"/><Relationship Id="rId1067" Type="http://schemas.openxmlformats.org/officeDocument/2006/relationships/image" Target="media/image1059.png"/><Relationship Id="rId1068" Type="http://schemas.openxmlformats.org/officeDocument/2006/relationships/image" Target="media/image1060.png"/><Relationship Id="rId1069" Type="http://schemas.openxmlformats.org/officeDocument/2006/relationships/image" Target="media/image1061.png"/><Relationship Id="rId1070" Type="http://schemas.openxmlformats.org/officeDocument/2006/relationships/image" Target="media/image1062.png"/><Relationship Id="rId1071" Type="http://schemas.openxmlformats.org/officeDocument/2006/relationships/image" Target="media/image1063.png"/><Relationship Id="rId1072" Type="http://schemas.openxmlformats.org/officeDocument/2006/relationships/image" Target="media/image1064.png"/><Relationship Id="rId1073" Type="http://schemas.openxmlformats.org/officeDocument/2006/relationships/image" Target="media/image1065.png"/><Relationship Id="rId1074" Type="http://schemas.openxmlformats.org/officeDocument/2006/relationships/image" Target="media/image1066.png"/><Relationship Id="rId1075" Type="http://schemas.openxmlformats.org/officeDocument/2006/relationships/image" Target="media/image1067.png"/><Relationship Id="rId1076" Type="http://schemas.openxmlformats.org/officeDocument/2006/relationships/image" Target="media/image1068.png"/><Relationship Id="rId1077" Type="http://schemas.openxmlformats.org/officeDocument/2006/relationships/image" Target="media/image1069.png"/><Relationship Id="rId1078" Type="http://schemas.openxmlformats.org/officeDocument/2006/relationships/image" Target="media/image1070.png"/><Relationship Id="rId1079" Type="http://schemas.openxmlformats.org/officeDocument/2006/relationships/image" Target="media/image1071.png"/><Relationship Id="rId1080" Type="http://schemas.openxmlformats.org/officeDocument/2006/relationships/image" Target="media/image1072.png"/><Relationship Id="rId1081" Type="http://schemas.openxmlformats.org/officeDocument/2006/relationships/image" Target="media/image1073.png"/><Relationship Id="rId1082" Type="http://schemas.openxmlformats.org/officeDocument/2006/relationships/image" Target="media/image1074.png"/><Relationship Id="rId1083" Type="http://schemas.openxmlformats.org/officeDocument/2006/relationships/image" Target="media/image1075.png"/><Relationship Id="rId1084" Type="http://schemas.openxmlformats.org/officeDocument/2006/relationships/image" Target="media/image1076.png"/><Relationship Id="rId1085" Type="http://schemas.openxmlformats.org/officeDocument/2006/relationships/image" Target="media/image1077.png"/><Relationship Id="rId1086" Type="http://schemas.openxmlformats.org/officeDocument/2006/relationships/image" Target="media/image1078.png"/><Relationship Id="rId1087" Type="http://schemas.openxmlformats.org/officeDocument/2006/relationships/image" Target="media/image1079.png"/><Relationship Id="rId1088" Type="http://schemas.openxmlformats.org/officeDocument/2006/relationships/image" Target="media/image1080.png"/><Relationship Id="rId1089" Type="http://schemas.openxmlformats.org/officeDocument/2006/relationships/image" Target="media/image1081.png"/><Relationship Id="rId1090" Type="http://schemas.openxmlformats.org/officeDocument/2006/relationships/image" Target="media/image1082.png"/><Relationship Id="rId1091" Type="http://schemas.openxmlformats.org/officeDocument/2006/relationships/image" Target="media/image1083.png"/><Relationship Id="rId1092" Type="http://schemas.openxmlformats.org/officeDocument/2006/relationships/image" Target="media/image1084.png"/><Relationship Id="rId1093" Type="http://schemas.openxmlformats.org/officeDocument/2006/relationships/image" Target="media/image1085.png"/><Relationship Id="rId1094" Type="http://schemas.openxmlformats.org/officeDocument/2006/relationships/image" Target="media/image1086.png"/><Relationship Id="rId1095" Type="http://schemas.openxmlformats.org/officeDocument/2006/relationships/image" Target="media/image1087.png"/><Relationship Id="rId1096" Type="http://schemas.openxmlformats.org/officeDocument/2006/relationships/image" Target="media/image1088.png"/><Relationship Id="rId1097" Type="http://schemas.openxmlformats.org/officeDocument/2006/relationships/image" Target="media/image1089.png"/><Relationship Id="rId1098" Type="http://schemas.openxmlformats.org/officeDocument/2006/relationships/image" Target="media/image1090.png"/><Relationship Id="rId1099" Type="http://schemas.openxmlformats.org/officeDocument/2006/relationships/image" Target="media/image1091.png"/><Relationship Id="rId1100" Type="http://schemas.openxmlformats.org/officeDocument/2006/relationships/image" Target="media/image1092.png"/><Relationship Id="rId1101" Type="http://schemas.openxmlformats.org/officeDocument/2006/relationships/image" Target="media/image1093.png"/><Relationship Id="rId1102" Type="http://schemas.openxmlformats.org/officeDocument/2006/relationships/image" Target="media/image1094.png"/><Relationship Id="rId1103" Type="http://schemas.openxmlformats.org/officeDocument/2006/relationships/image" Target="media/image1095.png"/><Relationship Id="rId1104" Type="http://schemas.openxmlformats.org/officeDocument/2006/relationships/image" Target="media/image1096.png"/><Relationship Id="rId1105" Type="http://schemas.openxmlformats.org/officeDocument/2006/relationships/image" Target="media/image1097.png"/><Relationship Id="rId1106" Type="http://schemas.openxmlformats.org/officeDocument/2006/relationships/image" Target="media/image1098.png"/><Relationship Id="rId1107" Type="http://schemas.openxmlformats.org/officeDocument/2006/relationships/image" Target="media/image1099.png"/><Relationship Id="rId1108" Type="http://schemas.openxmlformats.org/officeDocument/2006/relationships/image" Target="media/image1100.png"/><Relationship Id="rId1109" Type="http://schemas.openxmlformats.org/officeDocument/2006/relationships/image" Target="media/image1101.png"/><Relationship Id="rId1110" Type="http://schemas.openxmlformats.org/officeDocument/2006/relationships/image" Target="media/image1102.png"/><Relationship Id="rId1111" Type="http://schemas.openxmlformats.org/officeDocument/2006/relationships/image" Target="media/image1103.png"/><Relationship Id="rId1112" Type="http://schemas.openxmlformats.org/officeDocument/2006/relationships/image" Target="media/image1104.png"/><Relationship Id="rId1113" Type="http://schemas.openxmlformats.org/officeDocument/2006/relationships/image" Target="media/image1105.png"/><Relationship Id="rId1114" Type="http://schemas.openxmlformats.org/officeDocument/2006/relationships/image" Target="media/image1106.png"/><Relationship Id="rId1115" Type="http://schemas.openxmlformats.org/officeDocument/2006/relationships/image" Target="media/image1107.png"/><Relationship Id="rId1116" Type="http://schemas.openxmlformats.org/officeDocument/2006/relationships/image" Target="media/image1108.png"/><Relationship Id="rId1117" Type="http://schemas.openxmlformats.org/officeDocument/2006/relationships/image" Target="media/image1109.png"/><Relationship Id="rId1118" Type="http://schemas.openxmlformats.org/officeDocument/2006/relationships/image" Target="media/image1110.png"/><Relationship Id="rId1119" Type="http://schemas.openxmlformats.org/officeDocument/2006/relationships/image" Target="media/image1111.png"/><Relationship Id="rId1120" Type="http://schemas.openxmlformats.org/officeDocument/2006/relationships/image" Target="media/image1112.png"/><Relationship Id="rId1121" Type="http://schemas.openxmlformats.org/officeDocument/2006/relationships/image" Target="media/image1113.png"/><Relationship Id="rId1122" Type="http://schemas.openxmlformats.org/officeDocument/2006/relationships/image" Target="media/image1114.png"/><Relationship Id="rId1123" Type="http://schemas.openxmlformats.org/officeDocument/2006/relationships/image" Target="media/image1115.png"/><Relationship Id="rId1124" Type="http://schemas.openxmlformats.org/officeDocument/2006/relationships/image" Target="media/image1116.png"/><Relationship Id="rId1125" Type="http://schemas.openxmlformats.org/officeDocument/2006/relationships/image" Target="media/image1117.png"/><Relationship Id="rId1126" Type="http://schemas.openxmlformats.org/officeDocument/2006/relationships/image" Target="media/image1118.png"/><Relationship Id="rId1127" Type="http://schemas.openxmlformats.org/officeDocument/2006/relationships/image" Target="media/image1119.png"/><Relationship Id="rId1128" Type="http://schemas.openxmlformats.org/officeDocument/2006/relationships/image" Target="media/image1120.png"/><Relationship Id="rId1129" Type="http://schemas.openxmlformats.org/officeDocument/2006/relationships/image" Target="media/image1121.png"/><Relationship Id="rId1130" Type="http://schemas.openxmlformats.org/officeDocument/2006/relationships/image" Target="media/image1122.png"/><Relationship Id="rId1131" Type="http://schemas.openxmlformats.org/officeDocument/2006/relationships/image" Target="media/image1123.png"/><Relationship Id="rId1132" Type="http://schemas.openxmlformats.org/officeDocument/2006/relationships/image" Target="media/image1124.png"/><Relationship Id="rId1133" Type="http://schemas.openxmlformats.org/officeDocument/2006/relationships/image" Target="media/image1125.png"/><Relationship Id="rId1134" Type="http://schemas.openxmlformats.org/officeDocument/2006/relationships/image" Target="media/image1126.png"/><Relationship Id="rId1135" Type="http://schemas.openxmlformats.org/officeDocument/2006/relationships/image" Target="media/image1127.png"/><Relationship Id="rId1136" Type="http://schemas.openxmlformats.org/officeDocument/2006/relationships/image" Target="media/image1128.png"/><Relationship Id="rId1137" Type="http://schemas.openxmlformats.org/officeDocument/2006/relationships/image" Target="media/image1129.png"/><Relationship Id="rId1138" Type="http://schemas.openxmlformats.org/officeDocument/2006/relationships/image" Target="media/image1130.png"/><Relationship Id="rId1139" Type="http://schemas.openxmlformats.org/officeDocument/2006/relationships/image" Target="media/image1131.png"/><Relationship Id="rId1140" Type="http://schemas.openxmlformats.org/officeDocument/2006/relationships/image" Target="media/image1132.png"/><Relationship Id="rId1141" Type="http://schemas.openxmlformats.org/officeDocument/2006/relationships/image" Target="media/image1133.png"/><Relationship Id="rId1142" Type="http://schemas.openxmlformats.org/officeDocument/2006/relationships/image" Target="media/image1134.png"/><Relationship Id="rId1143" Type="http://schemas.openxmlformats.org/officeDocument/2006/relationships/image" Target="media/image1135.png"/><Relationship Id="rId1144" Type="http://schemas.openxmlformats.org/officeDocument/2006/relationships/image" Target="media/image1136.png"/><Relationship Id="rId1145" Type="http://schemas.openxmlformats.org/officeDocument/2006/relationships/image" Target="media/image1137.png"/><Relationship Id="rId1146" Type="http://schemas.openxmlformats.org/officeDocument/2006/relationships/image" Target="media/image1138.png"/><Relationship Id="rId1147" Type="http://schemas.openxmlformats.org/officeDocument/2006/relationships/image" Target="media/image1139.png"/><Relationship Id="rId1148" Type="http://schemas.openxmlformats.org/officeDocument/2006/relationships/image" Target="media/image1140.png"/><Relationship Id="rId1149" Type="http://schemas.openxmlformats.org/officeDocument/2006/relationships/image" Target="media/image1141.png"/><Relationship Id="rId1150" Type="http://schemas.openxmlformats.org/officeDocument/2006/relationships/image" Target="media/image1142.png"/><Relationship Id="rId1151" Type="http://schemas.openxmlformats.org/officeDocument/2006/relationships/image" Target="media/image1143.png"/><Relationship Id="rId1152" Type="http://schemas.openxmlformats.org/officeDocument/2006/relationships/image" Target="media/image1144.png"/><Relationship Id="rId1153" Type="http://schemas.openxmlformats.org/officeDocument/2006/relationships/image" Target="media/image1145.png"/><Relationship Id="rId1154" Type="http://schemas.openxmlformats.org/officeDocument/2006/relationships/image" Target="media/image1146.png"/><Relationship Id="rId1155" Type="http://schemas.openxmlformats.org/officeDocument/2006/relationships/image" Target="media/image1147.png"/><Relationship Id="rId1156" Type="http://schemas.openxmlformats.org/officeDocument/2006/relationships/image" Target="media/image1148.png"/><Relationship Id="rId1157" Type="http://schemas.openxmlformats.org/officeDocument/2006/relationships/image" Target="media/image1149.png"/><Relationship Id="rId1158" Type="http://schemas.openxmlformats.org/officeDocument/2006/relationships/image" Target="media/image1150.png"/><Relationship Id="rId1159" Type="http://schemas.openxmlformats.org/officeDocument/2006/relationships/image" Target="media/image1151.png"/><Relationship Id="rId1160" Type="http://schemas.openxmlformats.org/officeDocument/2006/relationships/image" Target="media/image1152.png"/><Relationship Id="rId1161" Type="http://schemas.openxmlformats.org/officeDocument/2006/relationships/image" Target="media/image1153.png"/><Relationship Id="rId1162" Type="http://schemas.openxmlformats.org/officeDocument/2006/relationships/image" Target="media/image1154.png"/><Relationship Id="rId1163" Type="http://schemas.openxmlformats.org/officeDocument/2006/relationships/image" Target="media/image1155.png"/><Relationship Id="rId1164" Type="http://schemas.openxmlformats.org/officeDocument/2006/relationships/image" Target="media/image1156.png"/><Relationship Id="rId1165" Type="http://schemas.openxmlformats.org/officeDocument/2006/relationships/image" Target="media/image1157.png"/><Relationship Id="rId1166" Type="http://schemas.openxmlformats.org/officeDocument/2006/relationships/image" Target="media/image1158.png"/><Relationship Id="rId1167" Type="http://schemas.openxmlformats.org/officeDocument/2006/relationships/image" Target="media/image1159.png"/><Relationship Id="rId1168" Type="http://schemas.openxmlformats.org/officeDocument/2006/relationships/image" Target="media/image1160.png"/><Relationship Id="rId1169" Type="http://schemas.openxmlformats.org/officeDocument/2006/relationships/image" Target="media/image1161.png"/><Relationship Id="rId1170" Type="http://schemas.openxmlformats.org/officeDocument/2006/relationships/image" Target="media/image1162.png"/><Relationship Id="rId1171" Type="http://schemas.openxmlformats.org/officeDocument/2006/relationships/image" Target="media/image1163.png"/><Relationship Id="rId1172" Type="http://schemas.openxmlformats.org/officeDocument/2006/relationships/image" Target="media/image1164.png"/><Relationship Id="rId1173" Type="http://schemas.openxmlformats.org/officeDocument/2006/relationships/image" Target="media/image1165.png"/><Relationship Id="rId1174" Type="http://schemas.openxmlformats.org/officeDocument/2006/relationships/image" Target="media/image1166.png"/><Relationship Id="rId1175" Type="http://schemas.openxmlformats.org/officeDocument/2006/relationships/image" Target="media/image1167.png"/><Relationship Id="rId1176" Type="http://schemas.openxmlformats.org/officeDocument/2006/relationships/image" Target="media/image1168.png"/><Relationship Id="rId1177" Type="http://schemas.openxmlformats.org/officeDocument/2006/relationships/image" Target="media/image1169.png"/><Relationship Id="rId1178" Type="http://schemas.openxmlformats.org/officeDocument/2006/relationships/image" Target="media/image1170.png"/><Relationship Id="rId1179" Type="http://schemas.openxmlformats.org/officeDocument/2006/relationships/image" Target="media/image1171.png"/><Relationship Id="rId1180" Type="http://schemas.openxmlformats.org/officeDocument/2006/relationships/image" Target="media/image1172.png"/><Relationship Id="rId1181" Type="http://schemas.openxmlformats.org/officeDocument/2006/relationships/image" Target="media/image1173.png"/><Relationship Id="rId1182" Type="http://schemas.openxmlformats.org/officeDocument/2006/relationships/image" Target="media/image1174.png"/><Relationship Id="rId1183" Type="http://schemas.openxmlformats.org/officeDocument/2006/relationships/image" Target="media/image1175.png"/><Relationship Id="rId1184" Type="http://schemas.openxmlformats.org/officeDocument/2006/relationships/image" Target="media/image1176.png"/><Relationship Id="rId1185" Type="http://schemas.openxmlformats.org/officeDocument/2006/relationships/image" Target="media/image1177.png"/><Relationship Id="rId1186" Type="http://schemas.openxmlformats.org/officeDocument/2006/relationships/image" Target="media/image1178.png"/><Relationship Id="rId1187" Type="http://schemas.openxmlformats.org/officeDocument/2006/relationships/image" Target="media/image1179.png"/><Relationship Id="rId1188" Type="http://schemas.openxmlformats.org/officeDocument/2006/relationships/image" Target="media/image1180.png"/><Relationship Id="rId1189" Type="http://schemas.openxmlformats.org/officeDocument/2006/relationships/image" Target="media/image1181.png"/><Relationship Id="rId1190" Type="http://schemas.openxmlformats.org/officeDocument/2006/relationships/image" Target="media/image1182.png"/><Relationship Id="rId1191" Type="http://schemas.openxmlformats.org/officeDocument/2006/relationships/image" Target="media/image1183.png"/><Relationship Id="rId1192" Type="http://schemas.openxmlformats.org/officeDocument/2006/relationships/image" Target="media/image1184.png"/><Relationship Id="rId1193" Type="http://schemas.openxmlformats.org/officeDocument/2006/relationships/image" Target="media/image1185.png"/><Relationship Id="rId1194" Type="http://schemas.openxmlformats.org/officeDocument/2006/relationships/image" Target="media/image1186.png"/><Relationship Id="rId1195" Type="http://schemas.openxmlformats.org/officeDocument/2006/relationships/image" Target="media/image1187.png"/><Relationship Id="rId1196" Type="http://schemas.openxmlformats.org/officeDocument/2006/relationships/image" Target="media/image1188.png"/><Relationship Id="rId1197" Type="http://schemas.openxmlformats.org/officeDocument/2006/relationships/image" Target="media/image1189.png"/><Relationship Id="rId1198" Type="http://schemas.openxmlformats.org/officeDocument/2006/relationships/image" Target="media/image1190.png"/><Relationship Id="rId1199" Type="http://schemas.openxmlformats.org/officeDocument/2006/relationships/image" Target="media/image1191.png"/><Relationship Id="rId1200" Type="http://schemas.openxmlformats.org/officeDocument/2006/relationships/image" Target="media/image1192.png"/><Relationship Id="rId1201" Type="http://schemas.openxmlformats.org/officeDocument/2006/relationships/image" Target="media/image1193.png"/><Relationship Id="rId1202" Type="http://schemas.openxmlformats.org/officeDocument/2006/relationships/image" Target="media/image1194.png"/><Relationship Id="rId1203" Type="http://schemas.openxmlformats.org/officeDocument/2006/relationships/image" Target="media/image1195.png"/><Relationship Id="rId1204" Type="http://schemas.openxmlformats.org/officeDocument/2006/relationships/image" Target="media/image1196.png"/><Relationship Id="rId1205" Type="http://schemas.openxmlformats.org/officeDocument/2006/relationships/image" Target="media/image1197.png"/><Relationship Id="rId1206" Type="http://schemas.openxmlformats.org/officeDocument/2006/relationships/image" Target="media/image1198.png"/><Relationship Id="rId1207" Type="http://schemas.openxmlformats.org/officeDocument/2006/relationships/image" Target="media/image1199.png"/><Relationship Id="rId1208" Type="http://schemas.openxmlformats.org/officeDocument/2006/relationships/image" Target="media/image1200.png"/><Relationship Id="rId1209" Type="http://schemas.openxmlformats.org/officeDocument/2006/relationships/image" Target="media/image1201.png"/><Relationship Id="rId1210" Type="http://schemas.openxmlformats.org/officeDocument/2006/relationships/image" Target="media/image1202.png"/><Relationship Id="rId1211" Type="http://schemas.openxmlformats.org/officeDocument/2006/relationships/image" Target="media/image1203.png"/><Relationship Id="rId1212" Type="http://schemas.openxmlformats.org/officeDocument/2006/relationships/image" Target="media/image1204.png"/><Relationship Id="rId1213" Type="http://schemas.openxmlformats.org/officeDocument/2006/relationships/image" Target="media/image1205.png"/><Relationship Id="rId1214" Type="http://schemas.openxmlformats.org/officeDocument/2006/relationships/image" Target="media/image1206.png"/><Relationship Id="rId1215" Type="http://schemas.openxmlformats.org/officeDocument/2006/relationships/image" Target="media/image1207.png"/><Relationship Id="rId1216" Type="http://schemas.openxmlformats.org/officeDocument/2006/relationships/image" Target="media/image1208.png"/><Relationship Id="rId1217" Type="http://schemas.openxmlformats.org/officeDocument/2006/relationships/image" Target="media/image1209.png"/><Relationship Id="rId1218" Type="http://schemas.openxmlformats.org/officeDocument/2006/relationships/image" Target="media/image1210.png"/><Relationship Id="rId1219" Type="http://schemas.openxmlformats.org/officeDocument/2006/relationships/image" Target="media/image1211.png"/><Relationship Id="rId1220" Type="http://schemas.openxmlformats.org/officeDocument/2006/relationships/image" Target="media/image1212.png"/><Relationship Id="rId1221" Type="http://schemas.openxmlformats.org/officeDocument/2006/relationships/image" Target="media/image1213.png"/><Relationship Id="rId1222" Type="http://schemas.openxmlformats.org/officeDocument/2006/relationships/image" Target="media/image1214.png"/><Relationship Id="rId1223" Type="http://schemas.openxmlformats.org/officeDocument/2006/relationships/image" Target="media/image1215.png"/><Relationship Id="rId1224" Type="http://schemas.openxmlformats.org/officeDocument/2006/relationships/image" Target="media/image1216.png"/><Relationship Id="rId1225" Type="http://schemas.openxmlformats.org/officeDocument/2006/relationships/image" Target="media/image1217.png"/><Relationship Id="rId1226" Type="http://schemas.openxmlformats.org/officeDocument/2006/relationships/image" Target="media/image1218.png"/><Relationship Id="rId1227" Type="http://schemas.openxmlformats.org/officeDocument/2006/relationships/image" Target="media/image1219.png"/><Relationship Id="rId1228" Type="http://schemas.openxmlformats.org/officeDocument/2006/relationships/image" Target="media/image1220.png"/><Relationship Id="rId1229" Type="http://schemas.openxmlformats.org/officeDocument/2006/relationships/image" Target="media/image1221.png"/><Relationship Id="rId1230" Type="http://schemas.openxmlformats.org/officeDocument/2006/relationships/image" Target="media/image1222.png"/><Relationship Id="rId1231" Type="http://schemas.openxmlformats.org/officeDocument/2006/relationships/image" Target="media/image1223.png"/><Relationship Id="rId1232" Type="http://schemas.openxmlformats.org/officeDocument/2006/relationships/image" Target="media/image1224.png"/><Relationship Id="rId1233" Type="http://schemas.openxmlformats.org/officeDocument/2006/relationships/image" Target="media/image1225.png"/><Relationship Id="rId1234" Type="http://schemas.openxmlformats.org/officeDocument/2006/relationships/image" Target="media/image1226.png"/><Relationship Id="rId1235" Type="http://schemas.openxmlformats.org/officeDocument/2006/relationships/image" Target="media/image1227.png"/><Relationship Id="rId1236" Type="http://schemas.openxmlformats.org/officeDocument/2006/relationships/image" Target="media/image1228.png"/><Relationship Id="rId1237" Type="http://schemas.openxmlformats.org/officeDocument/2006/relationships/image" Target="media/image1229.png"/><Relationship Id="rId1238" Type="http://schemas.openxmlformats.org/officeDocument/2006/relationships/image" Target="media/image1230.png"/><Relationship Id="rId1239" Type="http://schemas.openxmlformats.org/officeDocument/2006/relationships/image" Target="media/image1231.png"/><Relationship Id="rId1240" Type="http://schemas.openxmlformats.org/officeDocument/2006/relationships/image" Target="media/image1232.png"/><Relationship Id="rId1241" Type="http://schemas.openxmlformats.org/officeDocument/2006/relationships/image" Target="media/image1233.png"/><Relationship Id="rId1242" Type="http://schemas.openxmlformats.org/officeDocument/2006/relationships/image" Target="media/image1234.png"/><Relationship Id="rId1243" Type="http://schemas.openxmlformats.org/officeDocument/2006/relationships/image" Target="media/image1235.png"/><Relationship Id="rId1244" Type="http://schemas.openxmlformats.org/officeDocument/2006/relationships/image" Target="media/image1236.png"/><Relationship Id="rId1245" Type="http://schemas.openxmlformats.org/officeDocument/2006/relationships/image" Target="media/image1237.png"/><Relationship Id="rId1246" Type="http://schemas.openxmlformats.org/officeDocument/2006/relationships/image" Target="media/image1238.png"/><Relationship Id="rId1247" Type="http://schemas.openxmlformats.org/officeDocument/2006/relationships/image" Target="media/image1239.png"/><Relationship Id="rId1248" Type="http://schemas.openxmlformats.org/officeDocument/2006/relationships/image" Target="media/image1240.png"/><Relationship Id="rId1249" Type="http://schemas.openxmlformats.org/officeDocument/2006/relationships/image" Target="media/image1241.png"/><Relationship Id="rId1250" Type="http://schemas.openxmlformats.org/officeDocument/2006/relationships/image" Target="media/image1242.png"/><Relationship Id="rId1251" Type="http://schemas.openxmlformats.org/officeDocument/2006/relationships/image" Target="media/image1243.png"/><Relationship Id="rId1252" Type="http://schemas.openxmlformats.org/officeDocument/2006/relationships/image" Target="media/image1244.png"/><Relationship Id="rId1253" Type="http://schemas.openxmlformats.org/officeDocument/2006/relationships/image" Target="media/image1245.png"/><Relationship Id="rId1254" Type="http://schemas.openxmlformats.org/officeDocument/2006/relationships/image" Target="media/image1246.png"/><Relationship Id="rId1255" Type="http://schemas.openxmlformats.org/officeDocument/2006/relationships/image" Target="media/image1247.png"/><Relationship Id="rId1256" Type="http://schemas.openxmlformats.org/officeDocument/2006/relationships/image" Target="media/image1248.png"/><Relationship Id="rId1257" Type="http://schemas.openxmlformats.org/officeDocument/2006/relationships/image" Target="media/image1249.png"/><Relationship Id="rId1258" Type="http://schemas.openxmlformats.org/officeDocument/2006/relationships/image" Target="media/image1250.png"/><Relationship Id="rId1259" Type="http://schemas.openxmlformats.org/officeDocument/2006/relationships/image" Target="media/image1251.png"/><Relationship Id="rId1260" Type="http://schemas.openxmlformats.org/officeDocument/2006/relationships/image" Target="media/image1252.png"/><Relationship Id="rId1261" Type="http://schemas.openxmlformats.org/officeDocument/2006/relationships/image" Target="media/image1253.png"/><Relationship Id="rId1262" Type="http://schemas.openxmlformats.org/officeDocument/2006/relationships/image" Target="media/image1254.png"/><Relationship Id="rId1263" Type="http://schemas.openxmlformats.org/officeDocument/2006/relationships/image" Target="media/image1255.png"/><Relationship Id="rId1264" Type="http://schemas.openxmlformats.org/officeDocument/2006/relationships/image" Target="media/image1256.png"/><Relationship Id="rId1265" Type="http://schemas.openxmlformats.org/officeDocument/2006/relationships/image" Target="media/image1257.png"/><Relationship Id="rId1266" Type="http://schemas.openxmlformats.org/officeDocument/2006/relationships/image" Target="media/image1258.png"/><Relationship Id="rId1267" Type="http://schemas.openxmlformats.org/officeDocument/2006/relationships/image" Target="media/image1259.png"/><Relationship Id="rId1268" Type="http://schemas.openxmlformats.org/officeDocument/2006/relationships/image" Target="media/image1260.png"/><Relationship Id="rId1269" Type="http://schemas.openxmlformats.org/officeDocument/2006/relationships/image" Target="media/image1261.png"/><Relationship Id="rId1270" Type="http://schemas.openxmlformats.org/officeDocument/2006/relationships/image" Target="media/image1262.png"/><Relationship Id="rId1271" Type="http://schemas.openxmlformats.org/officeDocument/2006/relationships/image" Target="media/image1263.png"/><Relationship Id="rId1272" Type="http://schemas.openxmlformats.org/officeDocument/2006/relationships/image" Target="media/image1264.png"/><Relationship Id="rId1273" Type="http://schemas.openxmlformats.org/officeDocument/2006/relationships/image" Target="media/image1265.png"/><Relationship Id="rId1274" Type="http://schemas.openxmlformats.org/officeDocument/2006/relationships/image" Target="media/image1266.png"/><Relationship Id="rId1275" Type="http://schemas.openxmlformats.org/officeDocument/2006/relationships/image" Target="media/image1267.png"/><Relationship Id="rId1276" Type="http://schemas.openxmlformats.org/officeDocument/2006/relationships/image" Target="media/image1268.png"/><Relationship Id="rId1277" Type="http://schemas.openxmlformats.org/officeDocument/2006/relationships/image" Target="media/image1269.png"/><Relationship Id="rId1278" Type="http://schemas.openxmlformats.org/officeDocument/2006/relationships/image" Target="media/image1270.png"/><Relationship Id="rId1279" Type="http://schemas.openxmlformats.org/officeDocument/2006/relationships/image" Target="media/image1271.png"/><Relationship Id="rId1280" Type="http://schemas.openxmlformats.org/officeDocument/2006/relationships/image" Target="media/image1272.png"/><Relationship Id="rId1281" Type="http://schemas.openxmlformats.org/officeDocument/2006/relationships/image" Target="media/image1273.png"/><Relationship Id="rId1282" Type="http://schemas.openxmlformats.org/officeDocument/2006/relationships/image" Target="media/image1274.png"/><Relationship Id="rId1283" Type="http://schemas.openxmlformats.org/officeDocument/2006/relationships/image" Target="media/image1275.png"/><Relationship Id="rId1284" Type="http://schemas.openxmlformats.org/officeDocument/2006/relationships/image" Target="media/image1276.png"/><Relationship Id="rId1285" Type="http://schemas.openxmlformats.org/officeDocument/2006/relationships/image" Target="media/image1277.png"/><Relationship Id="rId1286" Type="http://schemas.openxmlformats.org/officeDocument/2006/relationships/image" Target="media/image1278.png"/><Relationship Id="rId1287" Type="http://schemas.openxmlformats.org/officeDocument/2006/relationships/image" Target="media/image1279.png"/><Relationship Id="rId1288" Type="http://schemas.openxmlformats.org/officeDocument/2006/relationships/image" Target="media/image1280.png"/><Relationship Id="rId1289" Type="http://schemas.openxmlformats.org/officeDocument/2006/relationships/image" Target="media/image1281.png"/><Relationship Id="rId1290" Type="http://schemas.openxmlformats.org/officeDocument/2006/relationships/image" Target="media/image1282.png"/><Relationship Id="rId1291" Type="http://schemas.openxmlformats.org/officeDocument/2006/relationships/image" Target="media/image1283.png"/><Relationship Id="rId1292" Type="http://schemas.openxmlformats.org/officeDocument/2006/relationships/image" Target="media/image1284.png"/><Relationship Id="rId1293" Type="http://schemas.openxmlformats.org/officeDocument/2006/relationships/image" Target="media/image1285.png"/><Relationship Id="rId1294" Type="http://schemas.openxmlformats.org/officeDocument/2006/relationships/image" Target="media/image1286.png"/><Relationship Id="rId1295" Type="http://schemas.openxmlformats.org/officeDocument/2006/relationships/image" Target="media/image1287.png"/><Relationship Id="rId1296" Type="http://schemas.openxmlformats.org/officeDocument/2006/relationships/image" Target="media/image1288.png"/><Relationship Id="rId1297" Type="http://schemas.openxmlformats.org/officeDocument/2006/relationships/image" Target="media/image1289.png"/><Relationship Id="rId1298" Type="http://schemas.openxmlformats.org/officeDocument/2006/relationships/image" Target="media/image1290.png"/><Relationship Id="rId1299" Type="http://schemas.openxmlformats.org/officeDocument/2006/relationships/image" Target="media/image1291.png"/><Relationship Id="rId1300" Type="http://schemas.openxmlformats.org/officeDocument/2006/relationships/image" Target="media/image1292.png"/><Relationship Id="rId1301" Type="http://schemas.openxmlformats.org/officeDocument/2006/relationships/image" Target="media/image1293.png"/><Relationship Id="rId1302" Type="http://schemas.openxmlformats.org/officeDocument/2006/relationships/image" Target="media/image1294.png"/><Relationship Id="rId1303" Type="http://schemas.openxmlformats.org/officeDocument/2006/relationships/image" Target="media/image1295.png"/><Relationship Id="rId1304" Type="http://schemas.openxmlformats.org/officeDocument/2006/relationships/image" Target="media/image1296.png"/><Relationship Id="rId1305" Type="http://schemas.openxmlformats.org/officeDocument/2006/relationships/image" Target="media/image1297.png"/><Relationship Id="rId1306" Type="http://schemas.openxmlformats.org/officeDocument/2006/relationships/image" Target="media/image1298.png"/><Relationship Id="rId1307" Type="http://schemas.openxmlformats.org/officeDocument/2006/relationships/image" Target="media/image1299.png"/><Relationship Id="rId1308" Type="http://schemas.openxmlformats.org/officeDocument/2006/relationships/image" Target="media/image1300.png"/><Relationship Id="rId1309" Type="http://schemas.openxmlformats.org/officeDocument/2006/relationships/image" Target="media/image1301.png"/><Relationship Id="rId1310" Type="http://schemas.openxmlformats.org/officeDocument/2006/relationships/image" Target="media/image1302.png"/><Relationship Id="rId1311" Type="http://schemas.openxmlformats.org/officeDocument/2006/relationships/image" Target="media/image1303.png"/><Relationship Id="rId1312" Type="http://schemas.openxmlformats.org/officeDocument/2006/relationships/image" Target="media/image1304.png"/><Relationship Id="rId1313" Type="http://schemas.openxmlformats.org/officeDocument/2006/relationships/image" Target="media/image1305.png"/><Relationship Id="rId1314" Type="http://schemas.openxmlformats.org/officeDocument/2006/relationships/image" Target="media/image1306.png"/><Relationship Id="rId1315" Type="http://schemas.openxmlformats.org/officeDocument/2006/relationships/image" Target="media/image1307.png"/><Relationship Id="rId1316" Type="http://schemas.openxmlformats.org/officeDocument/2006/relationships/image" Target="media/image1308.png"/><Relationship Id="rId1317" Type="http://schemas.openxmlformats.org/officeDocument/2006/relationships/image" Target="media/image1309.png"/><Relationship Id="rId1318" Type="http://schemas.openxmlformats.org/officeDocument/2006/relationships/image" Target="media/image1310.png"/><Relationship Id="rId1319" Type="http://schemas.openxmlformats.org/officeDocument/2006/relationships/image" Target="media/image1311.png"/><Relationship Id="rId1320" Type="http://schemas.openxmlformats.org/officeDocument/2006/relationships/image" Target="media/image1312.png"/><Relationship Id="rId1321" Type="http://schemas.openxmlformats.org/officeDocument/2006/relationships/image" Target="media/image1313.png"/><Relationship Id="rId1322" Type="http://schemas.openxmlformats.org/officeDocument/2006/relationships/image" Target="media/image1314.png"/><Relationship Id="rId1323" Type="http://schemas.openxmlformats.org/officeDocument/2006/relationships/image" Target="media/image1315.png"/><Relationship Id="rId1324" Type="http://schemas.openxmlformats.org/officeDocument/2006/relationships/image" Target="media/image1316.png"/><Relationship Id="rId1325" Type="http://schemas.openxmlformats.org/officeDocument/2006/relationships/image" Target="media/image1317.png"/><Relationship Id="rId1326" Type="http://schemas.openxmlformats.org/officeDocument/2006/relationships/image" Target="media/image1318.png"/><Relationship Id="rId1327" Type="http://schemas.openxmlformats.org/officeDocument/2006/relationships/image" Target="media/image1319.png"/><Relationship Id="rId1328" Type="http://schemas.openxmlformats.org/officeDocument/2006/relationships/image" Target="media/image1320.png"/><Relationship Id="rId1329" Type="http://schemas.openxmlformats.org/officeDocument/2006/relationships/image" Target="media/image1321.png"/><Relationship Id="rId1330" Type="http://schemas.openxmlformats.org/officeDocument/2006/relationships/image" Target="media/image1322.png"/><Relationship Id="rId1331" Type="http://schemas.openxmlformats.org/officeDocument/2006/relationships/image" Target="media/image1323.png"/><Relationship Id="rId1332" Type="http://schemas.openxmlformats.org/officeDocument/2006/relationships/image" Target="media/image1324.png"/><Relationship Id="rId1333" Type="http://schemas.openxmlformats.org/officeDocument/2006/relationships/image" Target="media/image1325.png"/><Relationship Id="rId1334" Type="http://schemas.openxmlformats.org/officeDocument/2006/relationships/image" Target="media/image1326.png"/><Relationship Id="rId1335" Type="http://schemas.openxmlformats.org/officeDocument/2006/relationships/image" Target="media/image1327.png"/><Relationship Id="rId1336" Type="http://schemas.openxmlformats.org/officeDocument/2006/relationships/image" Target="media/image1328.png"/><Relationship Id="rId1337" Type="http://schemas.openxmlformats.org/officeDocument/2006/relationships/image" Target="media/image1329.png"/><Relationship Id="rId1338" Type="http://schemas.openxmlformats.org/officeDocument/2006/relationships/image" Target="media/image1330.png"/><Relationship Id="rId1339" Type="http://schemas.openxmlformats.org/officeDocument/2006/relationships/image" Target="media/image1331.png"/><Relationship Id="rId1340" Type="http://schemas.openxmlformats.org/officeDocument/2006/relationships/image" Target="media/image1332.png"/><Relationship Id="rId1341" Type="http://schemas.openxmlformats.org/officeDocument/2006/relationships/image" Target="media/image1333.png"/><Relationship Id="rId1342" Type="http://schemas.openxmlformats.org/officeDocument/2006/relationships/image" Target="media/image1334.png"/><Relationship Id="rId1343" Type="http://schemas.openxmlformats.org/officeDocument/2006/relationships/image" Target="media/image1335.png"/><Relationship Id="rId1344" Type="http://schemas.openxmlformats.org/officeDocument/2006/relationships/image" Target="media/image1336.png"/><Relationship Id="rId1345" Type="http://schemas.openxmlformats.org/officeDocument/2006/relationships/image" Target="media/image1337.png"/><Relationship Id="rId1346" Type="http://schemas.openxmlformats.org/officeDocument/2006/relationships/image" Target="media/image1338.png"/><Relationship Id="rId1347" Type="http://schemas.openxmlformats.org/officeDocument/2006/relationships/image" Target="media/image1339.png"/><Relationship Id="rId1348" Type="http://schemas.openxmlformats.org/officeDocument/2006/relationships/image" Target="media/image1340.png"/><Relationship Id="rId1349" Type="http://schemas.openxmlformats.org/officeDocument/2006/relationships/image" Target="media/image1341.png"/><Relationship Id="rId1350" Type="http://schemas.openxmlformats.org/officeDocument/2006/relationships/image" Target="media/image1342.png"/><Relationship Id="rId1351" Type="http://schemas.openxmlformats.org/officeDocument/2006/relationships/image" Target="media/image1343.png"/><Relationship Id="rId1352" Type="http://schemas.openxmlformats.org/officeDocument/2006/relationships/image" Target="media/image1344.png"/><Relationship Id="rId1353" Type="http://schemas.openxmlformats.org/officeDocument/2006/relationships/image" Target="media/image1345.png"/><Relationship Id="rId1354" Type="http://schemas.openxmlformats.org/officeDocument/2006/relationships/image" Target="media/image1346.png"/><Relationship Id="rId1355" Type="http://schemas.openxmlformats.org/officeDocument/2006/relationships/image" Target="media/image1347.png"/><Relationship Id="rId1356" Type="http://schemas.openxmlformats.org/officeDocument/2006/relationships/image" Target="media/image1348.png"/><Relationship Id="rId1357" Type="http://schemas.openxmlformats.org/officeDocument/2006/relationships/image" Target="media/image1349.png"/><Relationship Id="rId1358" Type="http://schemas.openxmlformats.org/officeDocument/2006/relationships/image" Target="media/image1350.png"/><Relationship Id="rId1359" Type="http://schemas.openxmlformats.org/officeDocument/2006/relationships/image" Target="media/image1351.png"/><Relationship Id="rId1360" Type="http://schemas.openxmlformats.org/officeDocument/2006/relationships/image" Target="media/image1352.png"/><Relationship Id="rId1361" Type="http://schemas.openxmlformats.org/officeDocument/2006/relationships/image" Target="media/image1353.png"/><Relationship Id="rId1362" Type="http://schemas.openxmlformats.org/officeDocument/2006/relationships/image" Target="media/image1354.png"/><Relationship Id="rId1363" Type="http://schemas.openxmlformats.org/officeDocument/2006/relationships/image" Target="media/image1355.png"/><Relationship Id="rId1364" Type="http://schemas.openxmlformats.org/officeDocument/2006/relationships/image" Target="media/image1356.png"/><Relationship Id="rId1365" Type="http://schemas.openxmlformats.org/officeDocument/2006/relationships/image" Target="media/image1357.png"/><Relationship Id="rId1366" Type="http://schemas.openxmlformats.org/officeDocument/2006/relationships/image" Target="media/image1358.png"/><Relationship Id="rId1367" Type="http://schemas.openxmlformats.org/officeDocument/2006/relationships/image" Target="media/image1359.png"/><Relationship Id="rId1368" Type="http://schemas.openxmlformats.org/officeDocument/2006/relationships/image" Target="media/image1360.png"/><Relationship Id="rId1369" Type="http://schemas.openxmlformats.org/officeDocument/2006/relationships/image" Target="media/image1361.png"/><Relationship Id="rId1370" Type="http://schemas.openxmlformats.org/officeDocument/2006/relationships/image" Target="media/image1362.png"/><Relationship Id="rId1371" Type="http://schemas.openxmlformats.org/officeDocument/2006/relationships/image" Target="media/image1363.png"/><Relationship Id="rId1372" Type="http://schemas.openxmlformats.org/officeDocument/2006/relationships/image" Target="media/image1364.png"/><Relationship Id="rId1373" Type="http://schemas.openxmlformats.org/officeDocument/2006/relationships/image" Target="media/image1365.png"/><Relationship Id="rId1374" Type="http://schemas.openxmlformats.org/officeDocument/2006/relationships/image" Target="media/image1366.png"/><Relationship Id="rId1375" Type="http://schemas.openxmlformats.org/officeDocument/2006/relationships/image" Target="media/image1367.png"/><Relationship Id="rId1376" Type="http://schemas.openxmlformats.org/officeDocument/2006/relationships/image" Target="media/image1368.png"/><Relationship Id="rId1377" Type="http://schemas.openxmlformats.org/officeDocument/2006/relationships/image" Target="media/image1369.png"/><Relationship Id="rId1378" Type="http://schemas.openxmlformats.org/officeDocument/2006/relationships/image" Target="media/image1370.png"/><Relationship Id="rId1379" Type="http://schemas.openxmlformats.org/officeDocument/2006/relationships/image" Target="media/image1371.png"/><Relationship Id="rId1380" Type="http://schemas.openxmlformats.org/officeDocument/2006/relationships/image" Target="media/image1372.png"/><Relationship Id="rId1381" Type="http://schemas.openxmlformats.org/officeDocument/2006/relationships/image" Target="media/image1373.png"/><Relationship Id="rId1382" Type="http://schemas.openxmlformats.org/officeDocument/2006/relationships/image" Target="media/image1374.png"/><Relationship Id="rId1383" Type="http://schemas.openxmlformats.org/officeDocument/2006/relationships/image" Target="media/image1375.png"/><Relationship Id="rId1384" Type="http://schemas.openxmlformats.org/officeDocument/2006/relationships/image" Target="media/image1376.png"/><Relationship Id="rId1385" Type="http://schemas.openxmlformats.org/officeDocument/2006/relationships/image" Target="media/image1377.png"/><Relationship Id="rId1386" Type="http://schemas.openxmlformats.org/officeDocument/2006/relationships/image" Target="media/image1378.png"/><Relationship Id="rId1387" Type="http://schemas.openxmlformats.org/officeDocument/2006/relationships/image" Target="media/image1379.png"/><Relationship Id="rId1388" Type="http://schemas.openxmlformats.org/officeDocument/2006/relationships/image" Target="media/image1380.png"/><Relationship Id="rId1389" Type="http://schemas.openxmlformats.org/officeDocument/2006/relationships/image" Target="media/image1381.png"/><Relationship Id="rId1390" Type="http://schemas.openxmlformats.org/officeDocument/2006/relationships/image" Target="media/image1382.png"/><Relationship Id="rId1391" Type="http://schemas.openxmlformats.org/officeDocument/2006/relationships/image" Target="media/image1383.png"/><Relationship Id="rId1392" Type="http://schemas.openxmlformats.org/officeDocument/2006/relationships/image" Target="media/image1384.png"/><Relationship Id="rId1393" Type="http://schemas.openxmlformats.org/officeDocument/2006/relationships/image" Target="media/image1385.png"/><Relationship Id="rId1394" Type="http://schemas.openxmlformats.org/officeDocument/2006/relationships/image" Target="media/image1386.png"/><Relationship Id="rId1395" Type="http://schemas.openxmlformats.org/officeDocument/2006/relationships/image" Target="media/image1387.png"/><Relationship Id="rId1396" Type="http://schemas.openxmlformats.org/officeDocument/2006/relationships/image" Target="media/image1388.png"/><Relationship Id="rId1397" Type="http://schemas.openxmlformats.org/officeDocument/2006/relationships/image" Target="media/image1389.png"/><Relationship Id="rId1398" Type="http://schemas.openxmlformats.org/officeDocument/2006/relationships/image" Target="media/image1390.png"/><Relationship Id="rId1399" Type="http://schemas.openxmlformats.org/officeDocument/2006/relationships/image" Target="media/image1391.png"/><Relationship Id="rId1400" Type="http://schemas.openxmlformats.org/officeDocument/2006/relationships/image" Target="media/image1392.png"/><Relationship Id="rId1401" Type="http://schemas.openxmlformats.org/officeDocument/2006/relationships/image" Target="media/image1393.png"/><Relationship Id="rId1402" Type="http://schemas.openxmlformats.org/officeDocument/2006/relationships/image" Target="media/image1394.png"/><Relationship Id="rId1403" Type="http://schemas.openxmlformats.org/officeDocument/2006/relationships/image" Target="media/image1395.png"/><Relationship Id="rId1404" Type="http://schemas.openxmlformats.org/officeDocument/2006/relationships/image" Target="media/image1396.png"/><Relationship Id="rId1405" Type="http://schemas.openxmlformats.org/officeDocument/2006/relationships/image" Target="media/image1397.png"/><Relationship Id="rId1406" Type="http://schemas.openxmlformats.org/officeDocument/2006/relationships/image" Target="media/image1398.png"/><Relationship Id="rId1407" Type="http://schemas.openxmlformats.org/officeDocument/2006/relationships/image" Target="media/image1399.png"/><Relationship Id="rId1408" Type="http://schemas.openxmlformats.org/officeDocument/2006/relationships/image" Target="media/image1400.png"/><Relationship Id="rId1409" Type="http://schemas.openxmlformats.org/officeDocument/2006/relationships/image" Target="media/image1401.png"/><Relationship Id="rId1410" Type="http://schemas.openxmlformats.org/officeDocument/2006/relationships/image" Target="media/image1402.png"/><Relationship Id="rId1411" Type="http://schemas.openxmlformats.org/officeDocument/2006/relationships/image" Target="media/image1403.png"/><Relationship Id="rId1412" Type="http://schemas.openxmlformats.org/officeDocument/2006/relationships/image" Target="media/image1404.png"/><Relationship Id="rId1413" Type="http://schemas.openxmlformats.org/officeDocument/2006/relationships/image" Target="media/image1405.png"/><Relationship Id="rId1414" Type="http://schemas.openxmlformats.org/officeDocument/2006/relationships/image" Target="media/image1406.png"/><Relationship Id="rId1415" Type="http://schemas.openxmlformats.org/officeDocument/2006/relationships/image" Target="media/image1407.png"/><Relationship Id="rId1416" Type="http://schemas.openxmlformats.org/officeDocument/2006/relationships/image" Target="media/image1408.png"/><Relationship Id="rId1417" Type="http://schemas.openxmlformats.org/officeDocument/2006/relationships/image" Target="media/image1409.png"/><Relationship Id="rId1418" Type="http://schemas.openxmlformats.org/officeDocument/2006/relationships/image" Target="media/image1410.png"/><Relationship Id="rId1419" Type="http://schemas.openxmlformats.org/officeDocument/2006/relationships/image" Target="media/image1411.png"/><Relationship Id="rId1420" Type="http://schemas.openxmlformats.org/officeDocument/2006/relationships/image" Target="media/image1412.png"/><Relationship Id="rId1421" Type="http://schemas.openxmlformats.org/officeDocument/2006/relationships/image" Target="media/image1413.png"/><Relationship Id="rId1422" Type="http://schemas.openxmlformats.org/officeDocument/2006/relationships/image" Target="media/image1414.png"/><Relationship Id="rId1423" Type="http://schemas.openxmlformats.org/officeDocument/2006/relationships/image" Target="media/image1415.png"/><Relationship Id="rId1424" Type="http://schemas.openxmlformats.org/officeDocument/2006/relationships/image" Target="media/image1416.png"/><Relationship Id="rId1425" Type="http://schemas.openxmlformats.org/officeDocument/2006/relationships/image" Target="media/image1417.png"/><Relationship Id="rId1426" Type="http://schemas.openxmlformats.org/officeDocument/2006/relationships/image" Target="media/image1418.png"/><Relationship Id="rId1427" Type="http://schemas.openxmlformats.org/officeDocument/2006/relationships/image" Target="media/image1419.png"/><Relationship Id="rId1428" Type="http://schemas.openxmlformats.org/officeDocument/2006/relationships/image" Target="media/image1420.png"/><Relationship Id="rId1429" Type="http://schemas.openxmlformats.org/officeDocument/2006/relationships/image" Target="media/image1421.png"/><Relationship Id="rId1430" Type="http://schemas.openxmlformats.org/officeDocument/2006/relationships/image" Target="media/image1422.png"/><Relationship Id="rId1431" Type="http://schemas.openxmlformats.org/officeDocument/2006/relationships/image" Target="media/image1423.png"/><Relationship Id="rId1432" Type="http://schemas.openxmlformats.org/officeDocument/2006/relationships/image" Target="media/image1424.png"/><Relationship Id="rId1433" Type="http://schemas.openxmlformats.org/officeDocument/2006/relationships/image" Target="media/image1425.png"/><Relationship Id="rId1434" Type="http://schemas.openxmlformats.org/officeDocument/2006/relationships/image" Target="media/image1426.png"/><Relationship Id="rId1435" Type="http://schemas.openxmlformats.org/officeDocument/2006/relationships/image" Target="media/image1427.png"/><Relationship Id="rId1436" Type="http://schemas.openxmlformats.org/officeDocument/2006/relationships/image" Target="media/image1428.png"/><Relationship Id="rId1437" Type="http://schemas.openxmlformats.org/officeDocument/2006/relationships/image" Target="media/image1429.png"/><Relationship Id="rId1438" Type="http://schemas.openxmlformats.org/officeDocument/2006/relationships/image" Target="media/image1430.png"/><Relationship Id="rId1439" Type="http://schemas.openxmlformats.org/officeDocument/2006/relationships/image" Target="media/image1431.png"/><Relationship Id="rId1440" Type="http://schemas.openxmlformats.org/officeDocument/2006/relationships/image" Target="media/image1432.png"/><Relationship Id="rId1441" Type="http://schemas.openxmlformats.org/officeDocument/2006/relationships/image" Target="media/image1433.png"/><Relationship Id="rId1442" Type="http://schemas.openxmlformats.org/officeDocument/2006/relationships/image" Target="media/image1434.png"/><Relationship Id="rId1443" Type="http://schemas.openxmlformats.org/officeDocument/2006/relationships/image" Target="media/image1435.png"/><Relationship Id="rId1444" Type="http://schemas.openxmlformats.org/officeDocument/2006/relationships/image" Target="media/image1436.png"/><Relationship Id="rId1445" Type="http://schemas.openxmlformats.org/officeDocument/2006/relationships/image" Target="media/image1437.png"/><Relationship Id="rId1446" Type="http://schemas.openxmlformats.org/officeDocument/2006/relationships/image" Target="media/image1438.png"/><Relationship Id="rId1447" Type="http://schemas.openxmlformats.org/officeDocument/2006/relationships/image" Target="media/image1439.png"/><Relationship Id="rId1448" Type="http://schemas.openxmlformats.org/officeDocument/2006/relationships/image" Target="media/image1440.png"/><Relationship Id="rId1449" Type="http://schemas.openxmlformats.org/officeDocument/2006/relationships/image" Target="media/image1441.png"/><Relationship Id="rId1450" Type="http://schemas.openxmlformats.org/officeDocument/2006/relationships/image" Target="media/image1442.png"/><Relationship Id="rId1451" Type="http://schemas.openxmlformats.org/officeDocument/2006/relationships/image" Target="media/image1443.png"/><Relationship Id="rId1452" Type="http://schemas.openxmlformats.org/officeDocument/2006/relationships/image" Target="media/image1444.png"/><Relationship Id="rId1453" Type="http://schemas.openxmlformats.org/officeDocument/2006/relationships/image" Target="media/image1445.png"/><Relationship Id="rId1454" Type="http://schemas.openxmlformats.org/officeDocument/2006/relationships/image" Target="media/image1446.png"/><Relationship Id="rId1455" Type="http://schemas.openxmlformats.org/officeDocument/2006/relationships/image" Target="media/image1447.png"/><Relationship Id="rId1456" Type="http://schemas.openxmlformats.org/officeDocument/2006/relationships/image" Target="media/image1448.png"/><Relationship Id="rId1457" Type="http://schemas.openxmlformats.org/officeDocument/2006/relationships/image" Target="media/image1449.png"/><Relationship Id="rId1458" Type="http://schemas.openxmlformats.org/officeDocument/2006/relationships/image" Target="media/image1450.png"/><Relationship Id="rId1459" Type="http://schemas.openxmlformats.org/officeDocument/2006/relationships/image" Target="media/image1451.png"/><Relationship Id="rId1460" Type="http://schemas.openxmlformats.org/officeDocument/2006/relationships/image" Target="media/image1452.png"/><Relationship Id="rId1461" Type="http://schemas.openxmlformats.org/officeDocument/2006/relationships/image" Target="media/image1453.png"/><Relationship Id="rId1462" Type="http://schemas.openxmlformats.org/officeDocument/2006/relationships/image" Target="media/image1454.png"/><Relationship Id="rId1463" Type="http://schemas.openxmlformats.org/officeDocument/2006/relationships/image" Target="media/image1455.png"/><Relationship Id="rId1464" Type="http://schemas.openxmlformats.org/officeDocument/2006/relationships/image" Target="media/image1456.png"/><Relationship Id="rId1465" Type="http://schemas.openxmlformats.org/officeDocument/2006/relationships/image" Target="media/image1457.png"/><Relationship Id="rId1466" Type="http://schemas.openxmlformats.org/officeDocument/2006/relationships/image" Target="media/image1458.png"/><Relationship Id="rId1467" Type="http://schemas.openxmlformats.org/officeDocument/2006/relationships/image" Target="media/image1459.png"/><Relationship Id="rId1468" Type="http://schemas.openxmlformats.org/officeDocument/2006/relationships/image" Target="media/image1460.png"/><Relationship Id="rId1469" Type="http://schemas.openxmlformats.org/officeDocument/2006/relationships/image" Target="media/image1461.png"/><Relationship Id="rId1470" Type="http://schemas.openxmlformats.org/officeDocument/2006/relationships/image" Target="media/image1462.png"/><Relationship Id="rId1471" Type="http://schemas.openxmlformats.org/officeDocument/2006/relationships/image" Target="media/image1463.png"/><Relationship Id="rId1472" Type="http://schemas.openxmlformats.org/officeDocument/2006/relationships/image" Target="media/image1464.png"/><Relationship Id="rId1473" Type="http://schemas.openxmlformats.org/officeDocument/2006/relationships/image" Target="media/image1465.png"/><Relationship Id="rId1474" Type="http://schemas.openxmlformats.org/officeDocument/2006/relationships/image" Target="media/image1466.png"/><Relationship Id="rId1475" Type="http://schemas.openxmlformats.org/officeDocument/2006/relationships/image" Target="media/image1467.png"/><Relationship Id="rId1476" Type="http://schemas.openxmlformats.org/officeDocument/2006/relationships/image" Target="media/image1468.png"/><Relationship Id="rId1477" Type="http://schemas.openxmlformats.org/officeDocument/2006/relationships/image" Target="media/image1469.png"/><Relationship Id="rId1478" Type="http://schemas.openxmlformats.org/officeDocument/2006/relationships/image" Target="media/image1470.png"/><Relationship Id="rId1479" Type="http://schemas.openxmlformats.org/officeDocument/2006/relationships/image" Target="media/image1471.png"/><Relationship Id="rId1480" Type="http://schemas.openxmlformats.org/officeDocument/2006/relationships/image" Target="media/image1472.png"/><Relationship Id="rId1481" Type="http://schemas.openxmlformats.org/officeDocument/2006/relationships/image" Target="media/image1473.png"/><Relationship Id="rId1482" Type="http://schemas.openxmlformats.org/officeDocument/2006/relationships/image" Target="media/image1474.png"/><Relationship Id="rId1483" Type="http://schemas.openxmlformats.org/officeDocument/2006/relationships/image" Target="media/image1475.png"/><Relationship Id="rId1484" Type="http://schemas.openxmlformats.org/officeDocument/2006/relationships/image" Target="media/image1476.png"/><Relationship Id="rId1485" Type="http://schemas.openxmlformats.org/officeDocument/2006/relationships/image" Target="media/image1477.png"/><Relationship Id="rId1486" Type="http://schemas.openxmlformats.org/officeDocument/2006/relationships/image" Target="media/image1478.png"/><Relationship Id="rId1487" Type="http://schemas.openxmlformats.org/officeDocument/2006/relationships/image" Target="media/image1479.png"/><Relationship Id="rId1488" Type="http://schemas.openxmlformats.org/officeDocument/2006/relationships/image" Target="media/image1480.png"/><Relationship Id="rId1489" Type="http://schemas.openxmlformats.org/officeDocument/2006/relationships/image" Target="media/image1481.png"/><Relationship Id="rId1490" Type="http://schemas.openxmlformats.org/officeDocument/2006/relationships/image" Target="media/image1482.png"/><Relationship Id="rId1491" Type="http://schemas.openxmlformats.org/officeDocument/2006/relationships/image" Target="media/image1483.png"/><Relationship Id="rId1492" Type="http://schemas.openxmlformats.org/officeDocument/2006/relationships/image" Target="media/image1484.png"/><Relationship Id="rId1493" Type="http://schemas.openxmlformats.org/officeDocument/2006/relationships/image" Target="media/image1485.png"/><Relationship Id="rId1494" Type="http://schemas.openxmlformats.org/officeDocument/2006/relationships/image" Target="media/image1486.png"/><Relationship Id="rId1495" Type="http://schemas.openxmlformats.org/officeDocument/2006/relationships/image" Target="media/image1487.png"/><Relationship Id="rId1496" Type="http://schemas.openxmlformats.org/officeDocument/2006/relationships/image" Target="media/image1488.png"/><Relationship Id="rId1497" Type="http://schemas.openxmlformats.org/officeDocument/2006/relationships/image" Target="media/image1489.png"/><Relationship Id="rId1498" Type="http://schemas.openxmlformats.org/officeDocument/2006/relationships/image" Target="media/image1490.png"/><Relationship Id="rId1499" Type="http://schemas.openxmlformats.org/officeDocument/2006/relationships/image" Target="media/image1491.png"/><Relationship Id="rId1500" Type="http://schemas.openxmlformats.org/officeDocument/2006/relationships/image" Target="media/image1492.png"/><Relationship Id="rId1501" Type="http://schemas.openxmlformats.org/officeDocument/2006/relationships/image" Target="media/image1493.png"/><Relationship Id="rId1502" Type="http://schemas.openxmlformats.org/officeDocument/2006/relationships/image" Target="media/image1494.png"/><Relationship Id="rId1503" Type="http://schemas.openxmlformats.org/officeDocument/2006/relationships/image" Target="media/image1495.png"/><Relationship Id="rId1504" Type="http://schemas.openxmlformats.org/officeDocument/2006/relationships/image" Target="media/image1496.png"/><Relationship Id="rId1505" Type="http://schemas.openxmlformats.org/officeDocument/2006/relationships/image" Target="media/image1497.png"/><Relationship Id="rId1506" Type="http://schemas.openxmlformats.org/officeDocument/2006/relationships/image" Target="media/image1498.png"/><Relationship Id="rId1507" Type="http://schemas.openxmlformats.org/officeDocument/2006/relationships/image" Target="media/image1499.png"/><Relationship Id="rId1508" Type="http://schemas.openxmlformats.org/officeDocument/2006/relationships/image" Target="media/image1500.png"/><Relationship Id="rId1509" Type="http://schemas.openxmlformats.org/officeDocument/2006/relationships/image" Target="media/image1501.png"/><Relationship Id="rId1510" Type="http://schemas.openxmlformats.org/officeDocument/2006/relationships/image" Target="media/image1502.png"/><Relationship Id="rId1511" Type="http://schemas.openxmlformats.org/officeDocument/2006/relationships/image" Target="media/image1503.png"/><Relationship Id="rId1512" Type="http://schemas.openxmlformats.org/officeDocument/2006/relationships/image" Target="media/image1504.png"/><Relationship Id="rId1513" Type="http://schemas.openxmlformats.org/officeDocument/2006/relationships/image" Target="media/image1505.png"/><Relationship Id="rId1514" Type="http://schemas.openxmlformats.org/officeDocument/2006/relationships/image" Target="media/image1506.png"/><Relationship Id="rId1515" Type="http://schemas.openxmlformats.org/officeDocument/2006/relationships/image" Target="media/image1507.png"/><Relationship Id="rId1516" Type="http://schemas.openxmlformats.org/officeDocument/2006/relationships/image" Target="media/image1508.png"/><Relationship Id="rId1517" Type="http://schemas.openxmlformats.org/officeDocument/2006/relationships/image" Target="media/image1509.png"/><Relationship Id="rId1518" Type="http://schemas.openxmlformats.org/officeDocument/2006/relationships/image" Target="media/image1510.png"/><Relationship Id="rId1519" Type="http://schemas.openxmlformats.org/officeDocument/2006/relationships/image" Target="media/image1511.png"/><Relationship Id="rId1520" Type="http://schemas.openxmlformats.org/officeDocument/2006/relationships/image" Target="media/image1512.png"/><Relationship Id="rId1521" Type="http://schemas.openxmlformats.org/officeDocument/2006/relationships/image" Target="media/image1513.png"/><Relationship Id="rId1522" Type="http://schemas.openxmlformats.org/officeDocument/2006/relationships/image" Target="media/image1514.png"/><Relationship Id="rId1523" Type="http://schemas.openxmlformats.org/officeDocument/2006/relationships/image" Target="media/image1515.png"/><Relationship Id="rId1524" Type="http://schemas.openxmlformats.org/officeDocument/2006/relationships/image" Target="media/image1516.png"/><Relationship Id="rId1525" Type="http://schemas.openxmlformats.org/officeDocument/2006/relationships/image" Target="media/image1517.png"/><Relationship Id="rId1526" Type="http://schemas.openxmlformats.org/officeDocument/2006/relationships/image" Target="media/image1518.png"/><Relationship Id="rId1527" Type="http://schemas.openxmlformats.org/officeDocument/2006/relationships/image" Target="media/image1519.png"/><Relationship Id="rId1528" Type="http://schemas.openxmlformats.org/officeDocument/2006/relationships/image" Target="media/image1520.png"/><Relationship Id="rId1529" Type="http://schemas.openxmlformats.org/officeDocument/2006/relationships/image" Target="media/image1521.png"/><Relationship Id="rId1530" Type="http://schemas.openxmlformats.org/officeDocument/2006/relationships/image" Target="media/image1522.png"/><Relationship Id="rId1531" Type="http://schemas.openxmlformats.org/officeDocument/2006/relationships/image" Target="media/image1523.png"/><Relationship Id="rId1532" Type="http://schemas.openxmlformats.org/officeDocument/2006/relationships/image" Target="media/image1524.png"/><Relationship Id="rId1533" Type="http://schemas.openxmlformats.org/officeDocument/2006/relationships/image" Target="media/image1525.png"/><Relationship Id="rId1534" Type="http://schemas.openxmlformats.org/officeDocument/2006/relationships/image" Target="media/image1526.png"/><Relationship Id="rId1535" Type="http://schemas.openxmlformats.org/officeDocument/2006/relationships/image" Target="media/image1527.png"/><Relationship Id="rId1536" Type="http://schemas.openxmlformats.org/officeDocument/2006/relationships/image" Target="media/image1528.png"/><Relationship Id="rId1537" Type="http://schemas.openxmlformats.org/officeDocument/2006/relationships/image" Target="media/image1529.png"/><Relationship Id="rId1538" Type="http://schemas.openxmlformats.org/officeDocument/2006/relationships/image" Target="media/image1530.png"/><Relationship Id="rId1539" Type="http://schemas.openxmlformats.org/officeDocument/2006/relationships/image" Target="media/image1531.png"/><Relationship Id="rId1540" Type="http://schemas.openxmlformats.org/officeDocument/2006/relationships/image" Target="media/image1532.png"/><Relationship Id="rId1541" Type="http://schemas.openxmlformats.org/officeDocument/2006/relationships/image" Target="media/image1533.png"/><Relationship Id="rId1542" Type="http://schemas.openxmlformats.org/officeDocument/2006/relationships/image" Target="media/image1534.png"/><Relationship Id="rId1543" Type="http://schemas.openxmlformats.org/officeDocument/2006/relationships/image" Target="media/image1535.png"/><Relationship Id="rId1544" Type="http://schemas.openxmlformats.org/officeDocument/2006/relationships/image" Target="media/image1536.png"/><Relationship Id="rId1545" Type="http://schemas.openxmlformats.org/officeDocument/2006/relationships/image" Target="media/image1537.png"/><Relationship Id="rId1546" Type="http://schemas.openxmlformats.org/officeDocument/2006/relationships/image" Target="media/image1538.png"/><Relationship Id="rId1547" Type="http://schemas.openxmlformats.org/officeDocument/2006/relationships/image" Target="media/image1539.png"/><Relationship Id="rId1548" Type="http://schemas.openxmlformats.org/officeDocument/2006/relationships/image" Target="media/image1540.png"/><Relationship Id="rId1549" Type="http://schemas.openxmlformats.org/officeDocument/2006/relationships/image" Target="media/image1541.png"/><Relationship Id="rId1550" Type="http://schemas.openxmlformats.org/officeDocument/2006/relationships/image" Target="media/image1542.png"/><Relationship Id="rId1551" Type="http://schemas.openxmlformats.org/officeDocument/2006/relationships/image" Target="media/image1543.png"/><Relationship Id="rId1552" Type="http://schemas.openxmlformats.org/officeDocument/2006/relationships/image" Target="media/image1544.png"/><Relationship Id="rId1553" Type="http://schemas.openxmlformats.org/officeDocument/2006/relationships/image" Target="media/image1545.png"/><Relationship Id="rId1554" Type="http://schemas.openxmlformats.org/officeDocument/2006/relationships/image" Target="media/image1546.png"/><Relationship Id="rId1555" Type="http://schemas.openxmlformats.org/officeDocument/2006/relationships/image" Target="media/image1547.png"/><Relationship Id="rId1556" Type="http://schemas.openxmlformats.org/officeDocument/2006/relationships/image" Target="media/image1548.png"/><Relationship Id="rId1557" Type="http://schemas.openxmlformats.org/officeDocument/2006/relationships/image" Target="media/image1549.png"/><Relationship Id="rId1558" Type="http://schemas.openxmlformats.org/officeDocument/2006/relationships/image" Target="media/image1550.png"/><Relationship Id="rId1559" Type="http://schemas.openxmlformats.org/officeDocument/2006/relationships/image" Target="media/image1551.png"/><Relationship Id="rId1560" Type="http://schemas.openxmlformats.org/officeDocument/2006/relationships/image" Target="media/image1552.png"/><Relationship Id="rId1561" Type="http://schemas.openxmlformats.org/officeDocument/2006/relationships/image" Target="media/image1553.png"/><Relationship Id="rId1562" Type="http://schemas.openxmlformats.org/officeDocument/2006/relationships/image" Target="media/image1554.png"/><Relationship Id="rId1563" Type="http://schemas.openxmlformats.org/officeDocument/2006/relationships/image" Target="media/image1555.png"/><Relationship Id="rId1564" Type="http://schemas.openxmlformats.org/officeDocument/2006/relationships/image" Target="media/image1556.png"/><Relationship Id="rId1565" Type="http://schemas.openxmlformats.org/officeDocument/2006/relationships/image" Target="media/image1557.png"/><Relationship Id="rId1566" Type="http://schemas.openxmlformats.org/officeDocument/2006/relationships/image" Target="media/image1558.png"/><Relationship Id="rId1567" Type="http://schemas.openxmlformats.org/officeDocument/2006/relationships/image" Target="media/image1559.png"/><Relationship Id="rId1568" Type="http://schemas.openxmlformats.org/officeDocument/2006/relationships/image" Target="media/image1560.png"/><Relationship Id="rId1569" Type="http://schemas.openxmlformats.org/officeDocument/2006/relationships/image" Target="media/image1561.png"/><Relationship Id="rId1570" Type="http://schemas.openxmlformats.org/officeDocument/2006/relationships/image" Target="media/image1562.png"/><Relationship Id="rId1571" Type="http://schemas.openxmlformats.org/officeDocument/2006/relationships/image" Target="media/image1563.png"/><Relationship Id="rId1572" Type="http://schemas.openxmlformats.org/officeDocument/2006/relationships/image" Target="media/image1564.png"/><Relationship Id="rId1573" Type="http://schemas.openxmlformats.org/officeDocument/2006/relationships/image" Target="media/image1565.png"/><Relationship Id="rId1574" Type="http://schemas.openxmlformats.org/officeDocument/2006/relationships/image" Target="media/image1566.png"/><Relationship Id="rId1575" Type="http://schemas.openxmlformats.org/officeDocument/2006/relationships/image" Target="media/image1567.png"/><Relationship Id="rId1576" Type="http://schemas.openxmlformats.org/officeDocument/2006/relationships/image" Target="media/image1568.png"/><Relationship Id="rId1577" Type="http://schemas.openxmlformats.org/officeDocument/2006/relationships/image" Target="media/image1569.png"/><Relationship Id="rId1578" Type="http://schemas.openxmlformats.org/officeDocument/2006/relationships/image" Target="media/image1570.png"/><Relationship Id="rId1579" Type="http://schemas.openxmlformats.org/officeDocument/2006/relationships/image" Target="media/image1571.png"/><Relationship Id="rId1580" Type="http://schemas.openxmlformats.org/officeDocument/2006/relationships/image" Target="media/image1572.png"/><Relationship Id="rId1581" Type="http://schemas.openxmlformats.org/officeDocument/2006/relationships/image" Target="media/image1573.png"/><Relationship Id="rId1582" Type="http://schemas.openxmlformats.org/officeDocument/2006/relationships/image" Target="media/image1574.png"/><Relationship Id="rId1583" Type="http://schemas.openxmlformats.org/officeDocument/2006/relationships/image" Target="media/image1575.png"/><Relationship Id="rId1584" Type="http://schemas.openxmlformats.org/officeDocument/2006/relationships/image" Target="media/image1576.png"/><Relationship Id="rId1585" Type="http://schemas.openxmlformats.org/officeDocument/2006/relationships/image" Target="media/image1577.png"/><Relationship Id="rId1586" Type="http://schemas.openxmlformats.org/officeDocument/2006/relationships/image" Target="media/image1578.png"/><Relationship Id="rId1587" Type="http://schemas.openxmlformats.org/officeDocument/2006/relationships/image" Target="media/image1579.png"/><Relationship Id="rId1588" Type="http://schemas.openxmlformats.org/officeDocument/2006/relationships/image" Target="media/image1580.png"/><Relationship Id="rId1589" Type="http://schemas.openxmlformats.org/officeDocument/2006/relationships/image" Target="media/image1581.png"/><Relationship Id="rId1590" Type="http://schemas.openxmlformats.org/officeDocument/2006/relationships/image" Target="media/image1582.png"/><Relationship Id="rId1591" Type="http://schemas.openxmlformats.org/officeDocument/2006/relationships/image" Target="media/image1583.png"/><Relationship Id="rId1592" Type="http://schemas.openxmlformats.org/officeDocument/2006/relationships/image" Target="media/image1584.png"/><Relationship Id="rId1593" Type="http://schemas.openxmlformats.org/officeDocument/2006/relationships/image" Target="media/image1585.png"/><Relationship Id="rId1594" Type="http://schemas.openxmlformats.org/officeDocument/2006/relationships/image" Target="media/image1586.png"/><Relationship Id="rId1595" Type="http://schemas.openxmlformats.org/officeDocument/2006/relationships/image" Target="media/image1587.png"/><Relationship Id="rId1596" Type="http://schemas.openxmlformats.org/officeDocument/2006/relationships/image" Target="media/image1588.png"/><Relationship Id="rId1597" Type="http://schemas.openxmlformats.org/officeDocument/2006/relationships/image" Target="media/image1589.png"/><Relationship Id="rId1598" Type="http://schemas.openxmlformats.org/officeDocument/2006/relationships/image" Target="media/image1590.png"/><Relationship Id="rId1599" Type="http://schemas.openxmlformats.org/officeDocument/2006/relationships/image" Target="media/image1591.png"/><Relationship Id="rId1600" Type="http://schemas.openxmlformats.org/officeDocument/2006/relationships/image" Target="media/image1592.png"/><Relationship Id="rId1601" Type="http://schemas.openxmlformats.org/officeDocument/2006/relationships/image" Target="media/image1593.png"/><Relationship Id="rId1602" Type="http://schemas.openxmlformats.org/officeDocument/2006/relationships/image" Target="media/image1594.png"/><Relationship Id="rId1603" Type="http://schemas.openxmlformats.org/officeDocument/2006/relationships/image" Target="media/image1595.png"/><Relationship Id="rId1604" Type="http://schemas.openxmlformats.org/officeDocument/2006/relationships/image" Target="media/image1596.png"/><Relationship Id="rId1605" Type="http://schemas.openxmlformats.org/officeDocument/2006/relationships/image" Target="media/image1597.png"/><Relationship Id="rId1606" Type="http://schemas.openxmlformats.org/officeDocument/2006/relationships/image" Target="media/image1598.png"/><Relationship Id="rId1607" Type="http://schemas.openxmlformats.org/officeDocument/2006/relationships/image" Target="media/image1599.png"/><Relationship Id="rId1608" Type="http://schemas.openxmlformats.org/officeDocument/2006/relationships/image" Target="media/image1600.png"/><Relationship Id="rId1609" Type="http://schemas.openxmlformats.org/officeDocument/2006/relationships/image" Target="media/image1601.png"/><Relationship Id="rId1610" Type="http://schemas.openxmlformats.org/officeDocument/2006/relationships/image" Target="media/image1602.png"/><Relationship Id="rId1611" Type="http://schemas.openxmlformats.org/officeDocument/2006/relationships/image" Target="media/image1603.png"/><Relationship Id="rId1612" Type="http://schemas.openxmlformats.org/officeDocument/2006/relationships/image" Target="media/image1604.png"/><Relationship Id="rId1613" Type="http://schemas.openxmlformats.org/officeDocument/2006/relationships/image" Target="media/image1605.png"/><Relationship Id="rId1614" Type="http://schemas.openxmlformats.org/officeDocument/2006/relationships/image" Target="media/image1606.png"/><Relationship Id="rId1615" Type="http://schemas.openxmlformats.org/officeDocument/2006/relationships/image" Target="media/image1607.png"/><Relationship Id="rId1616" Type="http://schemas.openxmlformats.org/officeDocument/2006/relationships/image" Target="media/image1608.png"/><Relationship Id="rId1617" Type="http://schemas.openxmlformats.org/officeDocument/2006/relationships/image" Target="media/image1609.png"/><Relationship Id="rId1618" Type="http://schemas.openxmlformats.org/officeDocument/2006/relationships/image" Target="media/image1610.png"/><Relationship Id="rId1619" Type="http://schemas.openxmlformats.org/officeDocument/2006/relationships/image" Target="media/image1611.png"/><Relationship Id="rId1620" Type="http://schemas.openxmlformats.org/officeDocument/2006/relationships/image" Target="media/image1612.png"/><Relationship Id="rId1621" Type="http://schemas.openxmlformats.org/officeDocument/2006/relationships/image" Target="media/image1613.png"/><Relationship Id="rId1622" Type="http://schemas.openxmlformats.org/officeDocument/2006/relationships/image" Target="media/image1614.png"/><Relationship Id="rId1623" Type="http://schemas.openxmlformats.org/officeDocument/2006/relationships/image" Target="media/image1615.png"/><Relationship Id="rId1624" Type="http://schemas.openxmlformats.org/officeDocument/2006/relationships/image" Target="media/image1616.png"/><Relationship Id="rId1625" Type="http://schemas.openxmlformats.org/officeDocument/2006/relationships/image" Target="media/image1617.png"/><Relationship Id="rId1626" Type="http://schemas.openxmlformats.org/officeDocument/2006/relationships/image" Target="media/image1618.png"/><Relationship Id="rId1627" Type="http://schemas.openxmlformats.org/officeDocument/2006/relationships/image" Target="media/image1619.png"/><Relationship Id="rId1628" Type="http://schemas.openxmlformats.org/officeDocument/2006/relationships/image" Target="media/image1620.png"/><Relationship Id="rId1629" Type="http://schemas.openxmlformats.org/officeDocument/2006/relationships/image" Target="media/image1621.png"/><Relationship Id="rId1630" Type="http://schemas.openxmlformats.org/officeDocument/2006/relationships/image" Target="media/image1622.png"/><Relationship Id="rId1631" Type="http://schemas.openxmlformats.org/officeDocument/2006/relationships/image" Target="media/image1623.png"/><Relationship Id="rId1632" Type="http://schemas.openxmlformats.org/officeDocument/2006/relationships/image" Target="media/image1624.png"/><Relationship Id="rId1633" Type="http://schemas.openxmlformats.org/officeDocument/2006/relationships/image" Target="media/image1625.png"/><Relationship Id="rId1634" Type="http://schemas.openxmlformats.org/officeDocument/2006/relationships/image" Target="media/image1626.png"/><Relationship Id="rId1635" Type="http://schemas.openxmlformats.org/officeDocument/2006/relationships/image" Target="media/image1627.png"/><Relationship Id="rId1636" Type="http://schemas.openxmlformats.org/officeDocument/2006/relationships/image" Target="media/image1628.png"/><Relationship Id="rId1637" Type="http://schemas.openxmlformats.org/officeDocument/2006/relationships/image" Target="media/image1629.png"/><Relationship Id="rId1638" Type="http://schemas.openxmlformats.org/officeDocument/2006/relationships/image" Target="media/image1630.png"/><Relationship Id="rId1639" Type="http://schemas.openxmlformats.org/officeDocument/2006/relationships/image" Target="media/image1631.png"/><Relationship Id="rId1640" Type="http://schemas.openxmlformats.org/officeDocument/2006/relationships/image" Target="media/image1632.png"/><Relationship Id="rId1641" Type="http://schemas.openxmlformats.org/officeDocument/2006/relationships/image" Target="media/image1633.png"/><Relationship Id="rId1642" Type="http://schemas.openxmlformats.org/officeDocument/2006/relationships/image" Target="media/image1634.png"/><Relationship Id="rId1643" Type="http://schemas.openxmlformats.org/officeDocument/2006/relationships/image" Target="media/image1635.png"/><Relationship Id="rId1644" Type="http://schemas.openxmlformats.org/officeDocument/2006/relationships/image" Target="media/image1636.png"/><Relationship Id="rId1645" Type="http://schemas.openxmlformats.org/officeDocument/2006/relationships/image" Target="media/image1637.png"/><Relationship Id="rId1646" Type="http://schemas.openxmlformats.org/officeDocument/2006/relationships/image" Target="media/image1638.png"/><Relationship Id="rId1647" Type="http://schemas.openxmlformats.org/officeDocument/2006/relationships/image" Target="media/image1639.png"/><Relationship Id="rId1648" Type="http://schemas.openxmlformats.org/officeDocument/2006/relationships/image" Target="media/image1640.png"/><Relationship Id="rId1649" Type="http://schemas.openxmlformats.org/officeDocument/2006/relationships/image" Target="media/image1641.png"/><Relationship Id="rId1650" Type="http://schemas.openxmlformats.org/officeDocument/2006/relationships/image" Target="media/image1642.png"/><Relationship Id="rId1651" Type="http://schemas.openxmlformats.org/officeDocument/2006/relationships/image" Target="media/image1643.png"/><Relationship Id="rId1652" Type="http://schemas.openxmlformats.org/officeDocument/2006/relationships/image" Target="media/image1644.png"/><Relationship Id="rId1653" Type="http://schemas.openxmlformats.org/officeDocument/2006/relationships/image" Target="media/image1645.png"/><Relationship Id="rId1654" Type="http://schemas.openxmlformats.org/officeDocument/2006/relationships/image" Target="media/image1646.png"/><Relationship Id="rId1655" Type="http://schemas.openxmlformats.org/officeDocument/2006/relationships/image" Target="media/image1647.png"/><Relationship Id="rId1656" Type="http://schemas.openxmlformats.org/officeDocument/2006/relationships/image" Target="media/image1648.png"/><Relationship Id="rId1657" Type="http://schemas.openxmlformats.org/officeDocument/2006/relationships/image" Target="media/image1649.png"/><Relationship Id="rId1658" Type="http://schemas.openxmlformats.org/officeDocument/2006/relationships/image" Target="media/image1650.png"/><Relationship Id="rId1659" Type="http://schemas.openxmlformats.org/officeDocument/2006/relationships/image" Target="media/image1651.png"/><Relationship Id="rId1660" Type="http://schemas.openxmlformats.org/officeDocument/2006/relationships/image" Target="media/image1652.png"/><Relationship Id="rId1661" Type="http://schemas.openxmlformats.org/officeDocument/2006/relationships/image" Target="media/image1653.png"/><Relationship Id="rId1662" Type="http://schemas.openxmlformats.org/officeDocument/2006/relationships/image" Target="media/image1654.png"/><Relationship Id="rId1663" Type="http://schemas.openxmlformats.org/officeDocument/2006/relationships/image" Target="media/image1655.png"/><Relationship Id="rId1664" Type="http://schemas.openxmlformats.org/officeDocument/2006/relationships/image" Target="media/image1656.png"/><Relationship Id="rId1665" Type="http://schemas.openxmlformats.org/officeDocument/2006/relationships/image" Target="media/image1657.png"/><Relationship Id="rId1666" Type="http://schemas.openxmlformats.org/officeDocument/2006/relationships/image" Target="media/image1658.png"/><Relationship Id="rId1667" Type="http://schemas.openxmlformats.org/officeDocument/2006/relationships/image" Target="media/image1659.png"/><Relationship Id="rId1668" Type="http://schemas.openxmlformats.org/officeDocument/2006/relationships/image" Target="media/image1660.png"/><Relationship Id="rId1669" Type="http://schemas.openxmlformats.org/officeDocument/2006/relationships/image" Target="media/image1661.png"/><Relationship Id="rId1670" Type="http://schemas.openxmlformats.org/officeDocument/2006/relationships/image" Target="media/image1662.png"/><Relationship Id="rId1671" Type="http://schemas.openxmlformats.org/officeDocument/2006/relationships/image" Target="media/image1663.png"/><Relationship Id="rId1672" Type="http://schemas.openxmlformats.org/officeDocument/2006/relationships/image" Target="media/image1664.png"/><Relationship Id="rId1673" Type="http://schemas.openxmlformats.org/officeDocument/2006/relationships/image" Target="media/image1665.png"/><Relationship Id="rId1674" Type="http://schemas.openxmlformats.org/officeDocument/2006/relationships/image" Target="media/image1666.png"/><Relationship Id="rId1675" Type="http://schemas.openxmlformats.org/officeDocument/2006/relationships/image" Target="media/image1667.png"/><Relationship Id="rId1676" Type="http://schemas.openxmlformats.org/officeDocument/2006/relationships/image" Target="media/image1668.png"/><Relationship Id="rId1677" Type="http://schemas.openxmlformats.org/officeDocument/2006/relationships/image" Target="media/image1669.png"/><Relationship Id="rId1678" Type="http://schemas.openxmlformats.org/officeDocument/2006/relationships/image" Target="media/image1670.png"/><Relationship Id="rId1679" Type="http://schemas.openxmlformats.org/officeDocument/2006/relationships/image" Target="media/image1671.png"/><Relationship Id="rId1680" Type="http://schemas.openxmlformats.org/officeDocument/2006/relationships/image" Target="media/image1672.png"/><Relationship Id="rId1681" Type="http://schemas.openxmlformats.org/officeDocument/2006/relationships/image" Target="media/image1673.png"/><Relationship Id="rId1682" Type="http://schemas.openxmlformats.org/officeDocument/2006/relationships/image" Target="media/image1674.png"/><Relationship Id="rId1683" Type="http://schemas.openxmlformats.org/officeDocument/2006/relationships/image" Target="media/image1675.png"/><Relationship Id="rId1684" Type="http://schemas.openxmlformats.org/officeDocument/2006/relationships/image" Target="media/image1676.png"/><Relationship Id="rId1685" Type="http://schemas.openxmlformats.org/officeDocument/2006/relationships/image" Target="media/image1677.png"/><Relationship Id="rId1686" Type="http://schemas.openxmlformats.org/officeDocument/2006/relationships/image" Target="media/image1678.png"/><Relationship Id="rId1687" Type="http://schemas.openxmlformats.org/officeDocument/2006/relationships/image" Target="media/image1679.png"/><Relationship Id="rId1688" Type="http://schemas.openxmlformats.org/officeDocument/2006/relationships/image" Target="media/image1680.png"/><Relationship Id="rId1689" Type="http://schemas.openxmlformats.org/officeDocument/2006/relationships/image" Target="media/image1681.png"/><Relationship Id="rId1690" Type="http://schemas.openxmlformats.org/officeDocument/2006/relationships/image" Target="media/image1682.png"/><Relationship Id="rId1691" Type="http://schemas.openxmlformats.org/officeDocument/2006/relationships/image" Target="media/image1683.png"/><Relationship Id="rId1692" Type="http://schemas.openxmlformats.org/officeDocument/2006/relationships/image" Target="media/image1684.png"/><Relationship Id="rId1693" Type="http://schemas.openxmlformats.org/officeDocument/2006/relationships/image" Target="media/image1685.png"/><Relationship Id="rId1694" Type="http://schemas.openxmlformats.org/officeDocument/2006/relationships/image" Target="media/image1686.png"/><Relationship Id="rId1695" Type="http://schemas.openxmlformats.org/officeDocument/2006/relationships/image" Target="media/image1687.png"/><Relationship Id="rId1696" Type="http://schemas.openxmlformats.org/officeDocument/2006/relationships/image" Target="media/image1688.png"/><Relationship Id="rId1697" Type="http://schemas.openxmlformats.org/officeDocument/2006/relationships/image" Target="media/image1689.png"/><Relationship Id="rId1698" Type="http://schemas.openxmlformats.org/officeDocument/2006/relationships/image" Target="media/image1690.png"/><Relationship Id="rId1699" Type="http://schemas.openxmlformats.org/officeDocument/2006/relationships/image" Target="media/image1691.png"/><Relationship Id="rId1700" Type="http://schemas.openxmlformats.org/officeDocument/2006/relationships/image" Target="media/image1692.png"/><Relationship Id="rId1701" Type="http://schemas.openxmlformats.org/officeDocument/2006/relationships/image" Target="media/image1693.png"/><Relationship Id="rId1702" Type="http://schemas.openxmlformats.org/officeDocument/2006/relationships/image" Target="media/image1694.png"/><Relationship Id="rId1703" Type="http://schemas.openxmlformats.org/officeDocument/2006/relationships/image" Target="media/image1695.png"/><Relationship Id="rId1704" Type="http://schemas.openxmlformats.org/officeDocument/2006/relationships/image" Target="media/image1696.png"/><Relationship Id="rId1705" Type="http://schemas.openxmlformats.org/officeDocument/2006/relationships/image" Target="media/image1697.png"/><Relationship Id="rId1706" Type="http://schemas.openxmlformats.org/officeDocument/2006/relationships/image" Target="media/image1698.png"/><Relationship Id="rId1707" Type="http://schemas.openxmlformats.org/officeDocument/2006/relationships/image" Target="media/image1699.png"/><Relationship Id="rId1708" Type="http://schemas.openxmlformats.org/officeDocument/2006/relationships/image" Target="media/image1700.png"/><Relationship Id="rId1709" Type="http://schemas.openxmlformats.org/officeDocument/2006/relationships/image" Target="media/image1701.png"/><Relationship Id="rId1710" Type="http://schemas.openxmlformats.org/officeDocument/2006/relationships/image" Target="media/image1702.png"/><Relationship Id="rId1711" Type="http://schemas.openxmlformats.org/officeDocument/2006/relationships/image" Target="media/image1703.png"/><Relationship Id="rId1712" Type="http://schemas.openxmlformats.org/officeDocument/2006/relationships/image" Target="media/image1704.png"/><Relationship Id="rId1713" Type="http://schemas.openxmlformats.org/officeDocument/2006/relationships/image" Target="media/image1705.png"/><Relationship Id="rId1714" Type="http://schemas.openxmlformats.org/officeDocument/2006/relationships/image" Target="media/image1706.png"/><Relationship Id="rId1715" Type="http://schemas.openxmlformats.org/officeDocument/2006/relationships/image" Target="media/image1707.png"/><Relationship Id="rId1716" Type="http://schemas.openxmlformats.org/officeDocument/2006/relationships/image" Target="media/image1708.png"/><Relationship Id="rId1717" Type="http://schemas.openxmlformats.org/officeDocument/2006/relationships/image" Target="media/image1709.png"/><Relationship Id="rId1718" Type="http://schemas.openxmlformats.org/officeDocument/2006/relationships/image" Target="media/image1710.png"/><Relationship Id="rId1719" Type="http://schemas.openxmlformats.org/officeDocument/2006/relationships/image" Target="media/image1711.png"/><Relationship Id="rId1720" Type="http://schemas.openxmlformats.org/officeDocument/2006/relationships/image" Target="media/image1712.png"/><Relationship Id="rId1721" Type="http://schemas.openxmlformats.org/officeDocument/2006/relationships/image" Target="media/image1713.png"/><Relationship Id="rId1722" Type="http://schemas.openxmlformats.org/officeDocument/2006/relationships/image" Target="media/image1714.png"/><Relationship Id="rId1723" Type="http://schemas.openxmlformats.org/officeDocument/2006/relationships/image" Target="media/image1715.png"/><Relationship Id="rId1724" Type="http://schemas.openxmlformats.org/officeDocument/2006/relationships/image" Target="media/image1716.png"/><Relationship Id="rId1725" Type="http://schemas.openxmlformats.org/officeDocument/2006/relationships/image" Target="media/image1717.png"/><Relationship Id="rId1726" Type="http://schemas.openxmlformats.org/officeDocument/2006/relationships/image" Target="media/image1718.png"/><Relationship Id="rId1727" Type="http://schemas.openxmlformats.org/officeDocument/2006/relationships/image" Target="media/image1719.png"/><Relationship Id="rId1728" Type="http://schemas.openxmlformats.org/officeDocument/2006/relationships/image" Target="media/image1720.png"/><Relationship Id="rId1729" Type="http://schemas.openxmlformats.org/officeDocument/2006/relationships/image" Target="media/image1721.png"/><Relationship Id="rId1730" Type="http://schemas.openxmlformats.org/officeDocument/2006/relationships/image" Target="media/image1722.png"/><Relationship Id="rId1731" Type="http://schemas.openxmlformats.org/officeDocument/2006/relationships/image" Target="media/image1723.png"/><Relationship Id="rId1732" Type="http://schemas.openxmlformats.org/officeDocument/2006/relationships/image" Target="media/image1724.png"/><Relationship Id="rId1733" Type="http://schemas.openxmlformats.org/officeDocument/2006/relationships/image" Target="media/image1725.png"/><Relationship Id="rId1734" Type="http://schemas.openxmlformats.org/officeDocument/2006/relationships/image" Target="media/image1726.png"/><Relationship Id="rId1735" Type="http://schemas.openxmlformats.org/officeDocument/2006/relationships/image" Target="media/image1727.png"/><Relationship Id="rId1736" Type="http://schemas.openxmlformats.org/officeDocument/2006/relationships/image" Target="media/image1728.png"/><Relationship Id="rId1737" Type="http://schemas.openxmlformats.org/officeDocument/2006/relationships/image" Target="media/image1729.png"/><Relationship Id="rId1738" Type="http://schemas.openxmlformats.org/officeDocument/2006/relationships/image" Target="media/image1730.png"/><Relationship Id="rId1739" Type="http://schemas.openxmlformats.org/officeDocument/2006/relationships/image" Target="media/image1731.png"/><Relationship Id="rId1740" Type="http://schemas.openxmlformats.org/officeDocument/2006/relationships/image" Target="media/image1732.png"/><Relationship Id="rId1741" Type="http://schemas.openxmlformats.org/officeDocument/2006/relationships/image" Target="media/image1733.png"/><Relationship Id="rId1742" Type="http://schemas.openxmlformats.org/officeDocument/2006/relationships/image" Target="media/image1734.png"/><Relationship Id="rId1743" Type="http://schemas.openxmlformats.org/officeDocument/2006/relationships/image" Target="media/image1735.png"/><Relationship Id="rId1744" Type="http://schemas.openxmlformats.org/officeDocument/2006/relationships/image" Target="media/image1736.png"/><Relationship Id="rId1745" Type="http://schemas.openxmlformats.org/officeDocument/2006/relationships/image" Target="media/image1737.png"/><Relationship Id="rId1746" Type="http://schemas.openxmlformats.org/officeDocument/2006/relationships/image" Target="media/image1738.png"/><Relationship Id="rId1747" Type="http://schemas.openxmlformats.org/officeDocument/2006/relationships/image" Target="media/image1739.png"/><Relationship Id="rId1748" Type="http://schemas.openxmlformats.org/officeDocument/2006/relationships/image" Target="media/image1740.png"/><Relationship Id="rId1749" Type="http://schemas.openxmlformats.org/officeDocument/2006/relationships/image" Target="media/image1741.png"/><Relationship Id="rId1750" Type="http://schemas.openxmlformats.org/officeDocument/2006/relationships/image" Target="media/image1742.png"/><Relationship Id="rId1751" Type="http://schemas.openxmlformats.org/officeDocument/2006/relationships/image" Target="media/image1743.png"/><Relationship Id="rId1752" Type="http://schemas.openxmlformats.org/officeDocument/2006/relationships/image" Target="media/image1744.png"/><Relationship Id="rId1753" Type="http://schemas.openxmlformats.org/officeDocument/2006/relationships/image" Target="media/image1745.png"/><Relationship Id="rId1754" Type="http://schemas.openxmlformats.org/officeDocument/2006/relationships/image" Target="media/image1746.png"/><Relationship Id="rId1755" Type="http://schemas.openxmlformats.org/officeDocument/2006/relationships/image" Target="media/image1747.png"/><Relationship Id="rId1756" Type="http://schemas.openxmlformats.org/officeDocument/2006/relationships/image" Target="media/image1748.png"/><Relationship Id="rId1757" Type="http://schemas.openxmlformats.org/officeDocument/2006/relationships/image" Target="media/image1749.png"/><Relationship Id="rId1758" Type="http://schemas.openxmlformats.org/officeDocument/2006/relationships/image" Target="media/image1750.png"/><Relationship Id="rId1759" Type="http://schemas.openxmlformats.org/officeDocument/2006/relationships/image" Target="media/image1751.png"/><Relationship Id="rId1760" Type="http://schemas.openxmlformats.org/officeDocument/2006/relationships/image" Target="media/image1752.png"/><Relationship Id="rId1761" Type="http://schemas.openxmlformats.org/officeDocument/2006/relationships/image" Target="media/image1753.png"/><Relationship Id="rId1762" Type="http://schemas.openxmlformats.org/officeDocument/2006/relationships/image" Target="media/image1754.png"/><Relationship Id="rId1763" Type="http://schemas.openxmlformats.org/officeDocument/2006/relationships/image" Target="media/image1755.png"/><Relationship Id="rId1764" Type="http://schemas.openxmlformats.org/officeDocument/2006/relationships/image" Target="media/image1756.png"/><Relationship Id="rId1765" Type="http://schemas.openxmlformats.org/officeDocument/2006/relationships/image" Target="media/image1757.png"/><Relationship Id="rId1766" Type="http://schemas.openxmlformats.org/officeDocument/2006/relationships/image" Target="media/image1758.png"/><Relationship Id="rId1767" Type="http://schemas.openxmlformats.org/officeDocument/2006/relationships/image" Target="media/image1759.png"/><Relationship Id="rId1768" Type="http://schemas.openxmlformats.org/officeDocument/2006/relationships/image" Target="media/image1760.png"/><Relationship Id="rId1769" Type="http://schemas.openxmlformats.org/officeDocument/2006/relationships/image" Target="media/image1761.png"/><Relationship Id="rId1770" Type="http://schemas.openxmlformats.org/officeDocument/2006/relationships/image" Target="media/image1762.png"/><Relationship Id="rId1771" Type="http://schemas.openxmlformats.org/officeDocument/2006/relationships/image" Target="media/image1763.png"/><Relationship Id="rId1772" Type="http://schemas.openxmlformats.org/officeDocument/2006/relationships/image" Target="media/image1764.png"/><Relationship Id="rId1773" Type="http://schemas.openxmlformats.org/officeDocument/2006/relationships/image" Target="media/image1765.png"/><Relationship Id="rId1774" Type="http://schemas.openxmlformats.org/officeDocument/2006/relationships/image" Target="media/image1766.png"/><Relationship Id="rId1775" Type="http://schemas.openxmlformats.org/officeDocument/2006/relationships/image" Target="media/image1767.png"/><Relationship Id="rId1776" Type="http://schemas.openxmlformats.org/officeDocument/2006/relationships/image" Target="media/image1768.png"/><Relationship Id="rId1777" Type="http://schemas.openxmlformats.org/officeDocument/2006/relationships/image" Target="media/image1769.png"/><Relationship Id="rId1778" Type="http://schemas.openxmlformats.org/officeDocument/2006/relationships/image" Target="media/image1770.png"/><Relationship Id="rId1779" Type="http://schemas.openxmlformats.org/officeDocument/2006/relationships/image" Target="media/image1771.png"/><Relationship Id="rId1780" Type="http://schemas.openxmlformats.org/officeDocument/2006/relationships/image" Target="media/image1772.png"/><Relationship Id="rId1781" Type="http://schemas.openxmlformats.org/officeDocument/2006/relationships/image" Target="media/image1773.png"/><Relationship Id="rId1782" Type="http://schemas.openxmlformats.org/officeDocument/2006/relationships/image" Target="media/image1774.png"/><Relationship Id="rId1783" Type="http://schemas.openxmlformats.org/officeDocument/2006/relationships/image" Target="media/image1775.png"/><Relationship Id="rId1784" Type="http://schemas.openxmlformats.org/officeDocument/2006/relationships/image" Target="media/image1776.png"/><Relationship Id="rId1785" Type="http://schemas.openxmlformats.org/officeDocument/2006/relationships/image" Target="media/image1777.png"/><Relationship Id="rId1786" Type="http://schemas.openxmlformats.org/officeDocument/2006/relationships/image" Target="media/image1778.png"/><Relationship Id="rId1787" Type="http://schemas.openxmlformats.org/officeDocument/2006/relationships/image" Target="media/image1779.png"/><Relationship Id="rId1788" Type="http://schemas.openxmlformats.org/officeDocument/2006/relationships/image" Target="media/image1780.png"/><Relationship Id="rId1789" Type="http://schemas.openxmlformats.org/officeDocument/2006/relationships/image" Target="media/image1781.png"/><Relationship Id="rId1790" Type="http://schemas.openxmlformats.org/officeDocument/2006/relationships/image" Target="media/image1782.png"/><Relationship Id="rId1791" Type="http://schemas.openxmlformats.org/officeDocument/2006/relationships/image" Target="media/image1783.png"/><Relationship Id="rId1792" Type="http://schemas.openxmlformats.org/officeDocument/2006/relationships/image" Target="media/image1784.png"/><Relationship Id="rId1793" Type="http://schemas.openxmlformats.org/officeDocument/2006/relationships/image" Target="media/image1785.png"/><Relationship Id="rId1794" Type="http://schemas.openxmlformats.org/officeDocument/2006/relationships/image" Target="media/image1786.png"/><Relationship Id="rId1795" Type="http://schemas.openxmlformats.org/officeDocument/2006/relationships/image" Target="media/image1787.png"/><Relationship Id="rId1796" Type="http://schemas.openxmlformats.org/officeDocument/2006/relationships/image" Target="media/image1788.png"/><Relationship Id="rId1797" Type="http://schemas.openxmlformats.org/officeDocument/2006/relationships/image" Target="media/image1789.png"/><Relationship Id="rId1798" Type="http://schemas.openxmlformats.org/officeDocument/2006/relationships/image" Target="media/image1790.png"/><Relationship Id="rId1799" Type="http://schemas.openxmlformats.org/officeDocument/2006/relationships/image" Target="media/image1791.png"/><Relationship Id="rId1800" Type="http://schemas.openxmlformats.org/officeDocument/2006/relationships/image" Target="media/image1792.png"/><Relationship Id="rId1801" Type="http://schemas.openxmlformats.org/officeDocument/2006/relationships/image" Target="media/image1793.png"/><Relationship Id="rId1802" Type="http://schemas.openxmlformats.org/officeDocument/2006/relationships/image" Target="media/image1794.png"/><Relationship Id="rId1803" Type="http://schemas.openxmlformats.org/officeDocument/2006/relationships/image" Target="media/image1795.png"/><Relationship Id="rId1804" Type="http://schemas.openxmlformats.org/officeDocument/2006/relationships/image" Target="media/image1796.png"/><Relationship Id="rId1805" Type="http://schemas.openxmlformats.org/officeDocument/2006/relationships/image" Target="media/image1797.png"/><Relationship Id="rId1806" Type="http://schemas.openxmlformats.org/officeDocument/2006/relationships/image" Target="media/image1798.png"/><Relationship Id="rId1807" Type="http://schemas.openxmlformats.org/officeDocument/2006/relationships/image" Target="media/image1799.png"/><Relationship Id="rId1808" Type="http://schemas.openxmlformats.org/officeDocument/2006/relationships/image" Target="media/image1800.png"/><Relationship Id="rId1809" Type="http://schemas.openxmlformats.org/officeDocument/2006/relationships/image" Target="media/image1801.png"/><Relationship Id="rId1810" Type="http://schemas.openxmlformats.org/officeDocument/2006/relationships/image" Target="media/image1802.png"/><Relationship Id="rId1811" Type="http://schemas.openxmlformats.org/officeDocument/2006/relationships/image" Target="media/image1803.png"/><Relationship Id="rId1812" Type="http://schemas.openxmlformats.org/officeDocument/2006/relationships/image" Target="media/image1804.png"/><Relationship Id="rId1813" Type="http://schemas.openxmlformats.org/officeDocument/2006/relationships/image" Target="media/image1805.png"/><Relationship Id="rId1814" Type="http://schemas.openxmlformats.org/officeDocument/2006/relationships/image" Target="media/image1806.png"/><Relationship Id="rId1815" Type="http://schemas.openxmlformats.org/officeDocument/2006/relationships/image" Target="media/image1807.png"/><Relationship Id="rId1816" Type="http://schemas.openxmlformats.org/officeDocument/2006/relationships/image" Target="media/image1808.png"/><Relationship Id="rId1817" Type="http://schemas.openxmlformats.org/officeDocument/2006/relationships/image" Target="media/image1809.png"/><Relationship Id="rId1818" Type="http://schemas.openxmlformats.org/officeDocument/2006/relationships/image" Target="media/image1810.png"/><Relationship Id="rId1819" Type="http://schemas.openxmlformats.org/officeDocument/2006/relationships/image" Target="media/image1811.png"/><Relationship Id="rId1820" Type="http://schemas.openxmlformats.org/officeDocument/2006/relationships/image" Target="media/image1812.png"/><Relationship Id="rId1821" Type="http://schemas.openxmlformats.org/officeDocument/2006/relationships/image" Target="media/image1813.png"/><Relationship Id="rId1822" Type="http://schemas.openxmlformats.org/officeDocument/2006/relationships/image" Target="media/image1814.png"/><Relationship Id="rId1823" Type="http://schemas.openxmlformats.org/officeDocument/2006/relationships/image" Target="media/image1815.png"/><Relationship Id="rId1824" Type="http://schemas.openxmlformats.org/officeDocument/2006/relationships/image" Target="media/image1816.png"/><Relationship Id="rId1825" Type="http://schemas.openxmlformats.org/officeDocument/2006/relationships/image" Target="media/image1817.png"/><Relationship Id="rId1826" Type="http://schemas.openxmlformats.org/officeDocument/2006/relationships/image" Target="media/image1818.png"/><Relationship Id="rId1827" Type="http://schemas.openxmlformats.org/officeDocument/2006/relationships/image" Target="media/image1819.png"/><Relationship Id="rId1828" Type="http://schemas.openxmlformats.org/officeDocument/2006/relationships/image" Target="media/image1820.png"/><Relationship Id="rId1829" Type="http://schemas.openxmlformats.org/officeDocument/2006/relationships/image" Target="media/image1821.png"/><Relationship Id="rId1830" Type="http://schemas.openxmlformats.org/officeDocument/2006/relationships/image" Target="media/image1822.png"/><Relationship Id="rId1831" Type="http://schemas.openxmlformats.org/officeDocument/2006/relationships/image" Target="media/image1823.png"/><Relationship Id="rId1832" Type="http://schemas.openxmlformats.org/officeDocument/2006/relationships/image" Target="media/image1824.png"/><Relationship Id="rId1833" Type="http://schemas.openxmlformats.org/officeDocument/2006/relationships/image" Target="media/image1825.png"/><Relationship Id="rId1834" Type="http://schemas.openxmlformats.org/officeDocument/2006/relationships/image" Target="media/image1826.png"/><Relationship Id="rId1835" Type="http://schemas.openxmlformats.org/officeDocument/2006/relationships/image" Target="media/image1827.png"/><Relationship Id="rId1836" Type="http://schemas.openxmlformats.org/officeDocument/2006/relationships/image" Target="media/image1828.png"/><Relationship Id="rId1837" Type="http://schemas.openxmlformats.org/officeDocument/2006/relationships/image" Target="media/image1829.png"/><Relationship Id="rId1838" Type="http://schemas.openxmlformats.org/officeDocument/2006/relationships/image" Target="media/image1830.png"/><Relationship Id="rId1839" Type="http://schemas.openxmlformats.org/officeDocument/2006/relationships/image" Target="media/image1831.png"/><Relationship Id="rId1840" Type="http://schemas.openxmlformats.org/officeDocument/2006/relationships/image" Target="media/image1832.png"/><Relationship Id="rId1841" Type="http://schemas.openxmlformats.org/officeDocument/2006/relationships/image" Target="media/image1833.png"/><Relationship Id="rId1842" Type="http://schemas.openxmlformats.org/officeDocument/2006/relationships/image" Target="media/image1834.png"/><Relationship Id="rId1843" Type="http://schemas.openxmlformats.org/officeDocument/2006/relationships/image" Target="media/image1835.png"/><Relationship Id="rId1844" Type="http://schemas.openxmlformats.org/officeDocument/2006/relationships/image" Target="media/image1836.png"/><Relationship Id="rId1845" Type="http://schemas.openxmlformats.org/officeDocument/2006/relationships/image" Target="media/image1837.png"/><Relationship Id="rId1846" Type="http://schemas.openxmlformats.org/officeDocument/2006/relationships/image" Target="media/image1838.png"/><Relationship Id="rId1847" Type="http://schemas.openxmlformats.org/officeDocument/2006/relationships/image" Target="media/image1839.png"/><Relationship Id="rId1848" Type="http://schemas.openxmlformats.org/officeDocument/2006/relationships/image" Target="media/image1840.png"/><Relationship Id="rId1849" Type="http://schemas.openxmlformats.org/officeDocument/2006/relationships/image" Target="media/image1841.png"/><Relationship Id="rId1850" Type="http://schemas.openxmlformats.org/officeDocument/2006/relationships/image" Target="media/image1842.png"/><Relationship Id="rId1851" Type="http://schemas.openxmlformats.org/officeDocument/2006/relationships/image" Target="media/image1843.png"/><Relationship Id="rId1852" Type="http://schemas.openxmlformats.org/officeDocument/2006/relationships/image" Target="media/image1844.png"/><Relationship Id="rId1853" Type="http://schemas.openxmlformats.org/officeDocument/2006/relationships/image" Target="media/image1845.png"/><Relationship Id="rId1854" Type="http://schemas.openxmlformats.org/officeDocument/2006/relationships/image" Target="media/image1846.png"/><Relationship Id="rId1855" Type="http://schemas.openxmlformats.org/officeDocument/2006/relationships/image" Target="media/image1847.png"/><Relationship Id="rId1856" Type="http://schemas.openxmlformats.org/officeDocument/2006/relationships/image" Target="media/image1848.png"/><Relationship Id="rId1857" Type="http://schemas.openxmlformats.org/officeDocument/2006/relationships/image" Target="media/image1849.png"/><Relationship Id="rId1858" Type="http://schemas.openxmlformats.org/officeDocument/2006/relationships/image" Target="media/image1850.png"/><Relationship Id="rId1859" Type="http://schemas.openxmlformats.org/officeDocument/2006/relationships/image" Target="media/image1851.png"/><Relationship Id="rId1860" Type="http://schemas.openxmlformats.org/officeDocument/2006/relationships/image" Target="media/image1852.png"/><Relationship Id="rId1861" Type="http://schemas.openxmlformats.org/officeDocument/2006/relationships/image" Target="media/image1853.png"/><Relationship Id="rId1862" Type="http://schemas.openxmlformats.org/officeDocument/2006/relationships/image" Target="media/image1854.png"/><Relationship Id="rId1863" Type="http://schemas.openxmlformats.org/officeDocument/2006/relationships/image" Target="media/image1855.png"/><Relationship Id="rId1864" Type="http://schemas.openxmlformats.org/officeDocument/2006/relationships/image" Target="media/image1856.png"/><Relationship Id="rId1865" Type="http://schemas.openxmlformats.org/officeDocument/2006/relationships/image" Target="media/image1857.png"/><Relationship Id="rId1866" Type="http://schemas.openxmlformats.org/officeDocument/2006/relationships/image" Target="media/image1858.png"/><Relationship Id="rId1867" Type="http://schemas.openxmlformats.org/officeDocument/2006/relationships/image" Target="media/image1859.png"/><Relationship Id="rId1868" Type="http://schemas.openxmlformats.org/officeDocument/2006/relationships/image" Target="media/image1860.png"/><Relationship Id="rId1869" Type="http://schemas.openxmlformats.org/officeDocument/2006/relationships/image" Target="media/image1861.png"/><Relationship Id="rId1870" Type="http://schemas.openxmlformats.org/officeDocument/2006/relationships/image" Target="media/image1862.png"/><Relationship Id="rId1871" Type="http://schemas.openxmlformats.org/officeDocument/2006/relationships/image" Target="media/image1863.png"/><Relationship Id="rId1872" Type="http://schemas.openxmlformats.org/officeDocument/2006/relationships/image" Target="media/image1864.png"/><Relationship Id="rId1873" Type="http://schemas.openxmlformats.org/officeDocument/2006/relationships/image" Target="media/image1865.png"/><Relationship Id="rId1874" Type="http://schemas.openxmlformats.org/officeDocument/2006/relationships/image" Target="media/image1866.png"/><Relationship Id="rId1875" Type="http://schemas.openxmlformats.org/officeDocument/2006/relationships/image" Target="media/image1867.png"/><Relationship Id="rId1876" Type="http://schemas.openxmlformats.org/officeDocument/2006/relationships/image" Target="media/image1868.png"/><Relationship Id="rId1877" Type="http://schemas.openxmlformats.org/officeDocument/2006/relationships/image" Target="media/image1869.png"/><Relationship Id="rId1878" Type="http://schemas.openxmlformats.org/officeDocument/2006/relationships/image" Target="media/image1870.png"/><Relationship Id="rId1879" Type="http://schemas.openxmlformats.org/officeDocument/2006/relationships/image" Target="media/image1871.png"/><Relationship Id="rId1880" Type="http://schemas.openxmlformats.org/officeDocument/2006/relationships/image" Target="media/image1872.png"/><Relationship Id="rId1881" Type="http://schemas.openxmlformats.org/officeDocument/2006/relationships/image" Target="media/image1873.png"/><Relationship Id="rId1882" Type="http://schemas.openxmlformats.org/officeDocument/2006/relationships/image" Target="media/image1874.png"/><Relationship Id="rId1883" Type="http://schemas.openxmlformats.org/officeDocument/2006/relationships/image" Target="media/image1875.png"/><Relationship Id="rId1884" Type="http://schemas.openxmlformats.org/officeDocument/2006/relationships/image" Target="media/image1876.png"/><Relationship Id="rId1885" Type="http://schemas.openxmlformats.org/officeDocument/2006/relationships/image" Target="media/image1877.png"/><Relationship Id="rId1886" Type="http://schemas.openxmlformats.org/officeDocument/2006/relationships/image" Target="media/image1878.png"/><Relationship Id="rId1887" Type="http://schemas.openxmlformats.org/officeDocument/2006/relationships/image" Target="media/image1879.png"/><Relationship Id="rId1888" Type="http://schemas.openxmlformats.org/officeDocument/2006/relationships/image" Target="media/image1880.png"/><Relationship Id="rId1889" Type="http://schemas.openxmlformats.org/officeDocument/2006/relationships/image" Target="media/image1881.png"/><Relationship Id="rId1890" Type="http://schemas.openxmlformats.org/officeDocument/2006/relationships/image" Target="media/image1882.png"/><Relationship Id="rId1891" Type="http://schemas.openxmlformats.org/officeDocument/2006/relationships/image" Target="media/image1883.png"/><Relationship Id="rId1892" Type="http://schemas.openxmlformats.org/officeDocument/2006/relationships/image" Target="media/image1884.png"/><Relationship Id="rId1893" Type="http://schemas.openxmlformats.org/officeDocument/2006/relationships/image" Target="media/image1885.png"/><Relationship Id="rId1894" Type="http://schemas.openxmlformats.org/officeDocument/2006/relationships/image" Target="media/image1886.png"/><Relationship Id="rId1895" Type="http://schemas.openxmlformats.org/officeDocument/2006/relationships/image" Target="media/image1887.png"/><Relationship Id="rId1896" Type="http://schemas.openxmlformats.org/officeDocument/2006/relationships/image" Target="media/image1888.png"/><Relationship Id="rId1897" Type="http://schemas.openxmlformats.org/officeDocument/2006/relationships/image" Target="media/image1889.png"/><Relationship Id="rId1898" Type="http://schemas.openxmlformats.org/officeDocument/2006/relationships/image" Target="media/image1890.png"/><Relationship Id="rId1899" Type="http://schemas.openxmlformats.org/officeDocument/2006/relationships/image" Target="media/image1891.png"/><Relationship Id="rId1900" Type="http://schemas.openxmlformats.org/officeDocument/2006/relationships/image" Target="media/image1892.png"/><Relationship Id="rId1901" Type="http://schemas.openxmlformats.org/officeDocument/2006/relationships/image" Target="media/image1893.png"/><Relationship Id="rId1902" Type="http://schemas.openxmlformats.org/officeDocument/2006/relationships/image" Target="media/image1894.png"/><Relationship Id="rId1903" Type="http://schemas.openxmlformats.org/officeDocument/2006/relationships/image" Target="media/image1895.png"/><Relationship Id="rId1904" Type="http://schemas.openxmlformats.org/officeDocument/2006/relationships/image" Target="media/image1896.png"/><Relationship Id="rId1905" Type="http://schemas.openxmlformats.org/officeDocument/2006/relationships/image" Target="media/image1897.png"/><Relationship Id="rId1906" Type="http://schemas.openxmlformats.org/officeDocument/2006/relationships/image" Target="media/image1898.png"/><Relationship Id="rId1907" Type="http://schemas.openxmlformats.org/officeDocument/2006/relationships/image" Target="media/image1899.png"/><Relationship Id="rId1908" Type="http://schemas.openxmlformats.org/officeDocument/2006/relationships/image" Target="media/image1900.png"/><Relationship Id="rId1909" Type="http://schemas.openxmlformats.org/officeDocument/2006/relationships/image" Target="media/image1901.png"/><Relationship Id="rId1910" Type="http://schemas.openxmlformats.org/officeDocument/2006/relationships/image" Target="media/image1902.png"/><Relationship Id="rId1911" Type="http://schemas.openxmlformats.org/officeDocument/2006/relationships/image" Target="media/image1903.png"/><Relationship Id="rId1912" Type="http://schemas.openxmlformats.org/officeDocument/2006/relationships/image" Target="media/image1904.png"/><Relationship Id="rId1913" Type="http://schemas.openxmlformats.org/officeDocument/2006/relationships/image" Target="media/image1905.png"/><Relationship Id="rId1914" Type="http://schemas.openxmlformats.org/officeDocument/2006/relationships/image" Target="media/image1906.png"/><Relationship Id="rId1915" Type="http://schemas.openxmlformats.org/officeDocument/2006/relationships/image" Target="media/image1907.png"/><Relationship Id="rId1916" Type="http://schemas.openxmlformats.org/officeDocument/2006/relationships/image" Target="media/image1908.png"/><Relationship Id="rId1917" Type="http://schemas.openxmlformats.org/officeDocument/2006/relationships/image" Target="media/image1909.png"/><Relationship Id="rId1918" Type="http://schemas.openxmlformats.org/officeDocument/2006/relationships/image" Target="media/image1910.png"/><Relationship Id="rId1919" Type="http://schemas.openxmlformats.org/officeDocument/2006/relationships/image" Target="media/image1911.png"/><Relationship Id="rId1920" Type="http://schemas.openxmlformats.org/officeDocument/2006/relationships/image" Target="media/image1912.png"/><Relationship Id="rId1921" Type="http://schemas.openxmlformats.org/officeDocument/2006/relationships/image" Target="media/image1913.png"/><Relationship Id="rId1922" Type="http://schemas.openxmlformats.org/officeDocument/2006/relationships/image" Target="media/image1914.png"/><Relationship Id="rId1923" Type="http://schemas.openxmlformats.org/officeDocument/2006/relationships/image" Target="media/image1915.png"/><Relationship Id="rId1924" Type="http://schemas.openxmlformats.org/officeDocument/2006/relationships/image" Target="media/image1916.png"/><Relationship Id="rId1925" Type="http://schemas.openxmlformats.org/officeDocument/2006/relationships/image" Target="media/image1917.png"/><Relationship Id="rId1926" Type="http://schemas.openxmlformats.org/officeDocument/2006/relationships/image" Target="media/image1918.png"/><Relationship Id="rId1927" Type="http://schemas.openxmlformats.org/officeDocument/2006/relationships/image" Target="media/image1919.png"/><Relationship Id="rId1928" Type="http://schemas.openxmlformats.org/officeDocument/2006/relationships/image" Target="media/image1920.png"/><Relationship Id="rId1929" Type="http://schemas.openxmlformats.org/officeDocument/2006/relationships/image" Target="media/image1921.png"/><Relationship Id="rId1930" Type="http://schemas.openxmlformats.org/officeDocument/2006/relationships/image" Target="media/image1922.png"/><Relationship Id="rId1931" Type="http://schemas.openxmlformats.org/officeDocument/2006/relationships/image" Target="media/image1923.png"/><Relationship Id="rId1932" Type="http://schemas.openxmlformats.org/officeDocument/2006/relationships/image" Target="media/image1924.png"/><Relationship Id="rId1933" Type="http://schemas.openxmlformats.org/officeDocument/2006/relationships/image" Target="media/image1925.png"/><Relationship Id="rId1934" Type="http://schemas.openxmlformats.org/officeDocument/2006/relationships/image" Target="media/image1926.png"/><Relationship Id="rId1935" Type="http://schemas.openxmlformats.org/officeDocument/2006/relationships/image" Target="media/image1927.png"/><Relationship Id="rId1936" Type="http://schemas.openxmlformats.org/officeDocument/2006/relationships/image" Target="media/image1928.png"/><Relationship Id="rId1937" Type="http://schemas.openxmlformats.org/officeDocument/2006/relationships/image" Target="media/image1929.png"/><Relationship Id="rId1938" Type="http://schemas.openxmlformats.org/officeDocument/2006/relationships/image" Target="media/image1930.png"/><Relationship Id="rId1939" Type="http://schemas.openxmlformats.org/officeDocument/2006/relationships/image" Target="media/image1931.png"/><Relationship Id="rId1940" Type="http://schemas.openxmlformats.org/officeDocument/2006/relationships/image" Target="media/image1932.png"/><Relationship Id="rId1941" Type="http://schemas.openxmlformats.org/officeDocument/2006/relationships/image" Target="media/image1933.png"/><Relationship Id="rId1942" Type="http://schemas.openxmlformats.org/officeDocument/2006/relationships/image" Target="media/image1934.png"/><Relationship Id="rId1943" Type="http://schemas.openxmlformats.org/officeDocument/2006/relationships/image" Target="media/image1935.png"/><Relationship Id="rId1944" Type="http://schemas.openxmlformats.org/officeDocument/2006/relationships/image" Target="media/image1936.png"/><Relationship Id="rId1945" Type="http://schemas.openxmlformats.org/officeDocument/2006/relationships/image" Target="media/image1937.png"/><Relationship Id="rId1946" Type="http://schemas.openxmlformats.org/officeDocument/2006/relationships/image" Target="media/image1938.png"/><Relationship Id="rId1947" Type="http://schemas.openxmlformats.org/officeDocument/2006/relationships/image" Target="media/image1939.png"/><Relationship Id="rId1948" Type="http://schemas.openxmlformats.org/officeDocument/2006/relationships/image" Target="media/image1940.png"/><Relationship Id="rId1949" Type="http://schemas.openxmlformats.org/officeDocument/2006/relationships/image" Target="media/image1941.png"/><Relationship Id="rId1950" Type="http://schemas.openxmlformats.org/officeDocument/2006/relationships/image" Target="media/image1942.png"/><Relationship Id="rId1951" Type="http://schemas.openxmlformats.org/officeDocument/2006/relationships/image" Target="media/image1943.png"/><Relationship Id="rId1952" Type="http://schemas.openxmlformats.org/officeDocument/2006/relationships/image" Target="media/image1944.png"/><Relationship Id="rId1953" Type="http://schemas.openxmlformats.org/officeDocument/2006/relationships/image" Target="media/image1945.png"/><Relationship Id="rId1954" Type="http://schemas.openxmlformats.org/officeDocument/2006/relationships/image" Target="media/image1946.png"/><Relationship Id="rId1955" Type="http://schemas.openxmlformats.org/officeDocument/2006/relationships/image" Target="media/image1947.png"/><Relationship Id="rId1956" Type="http://schemas.openxmlformats.org/officeDocument/2006/relationships/image" Target="media/image1948.png"/><Relationship Id="rId1957" Type="http://schemas.openxmlformats.org/officeDocument/2006/relationships/image" Target="media/image1949.png"/><Relationship Id="rId1958" Type="http://schemas.openxmlformats.org/officeDocument/2006/relationships/image" Target="media/image1950.png"/><Relationship Id="rId1959" Type="http://schemas.openxmlformats.org/officeDocument/2006/relationships/image" Target="media/image1951.png"/><Relationship Id="rId1960" Type="http://schemas.openxmlformats.org/officeDocument/2006/relationships/image" Target="media/image1952.png"/><Relationship Id="rId1961" Type="http://schemas.openxmlformats.org/officeDocument/2006/relationships/image" Target="media/image1953.png"/><Relationship Id="rId1962" Type="http://schemas.openxmlformats.org/officeDocument/2006/relationships/image" Target="media/image1954.png"/><Relationship Id="rId1963" Type="http://schemas.openxmlformats.org/officeDocument/2006/relationships/image" Target="media/image1955.png"/><Relationship Id="rId1964" Type="http://schemas.openxmlformats.org/officeDocument/2006/relationships/image" Target="media/image1956.png"/><Relationship Id="rId1965" Type="http://schemas.openxmlformats.org/officeDocument/2006/relationships/image" Target="media/image1957.png"/><Relationship Id="rId1966" Type="http://schemas.openxmlformats.org/officeDocument/2006/relationships/image" Target="media/image1958.png"/><Relationship Id="rId1967" Type="http://schemas.openxmlformats.org/officeDocument/2006/relationships/image" Target="media/image1959.png"/><Relationship Id="rId1968" Type="http://schemas.openxmlformats.org/officeDocument/2006/relationships/image" Target="media/image1960.png"/><Relationship Id="rId1969" Type="http://schemas.openxmlformats.org/officeDocument/2006/relationships/image" Target="media/image1961.png"/><Relationship Id="rId1970" Type="http://schemas.openxmlformats.org/officeDocument/2006/relationships/image" Target="media/image1962.png"/><Relationship Id="rId1971" Type="http://schemas.openxmlformats.org/officeDocument/2006/relationships/image" Target="media/image1963.png"/><Relationship Id="rId1972" Type="http://schemas.openxmlformats.org/officeDocument/2006/relationships/image" Target="media/image1964.png"/><Relationship Id="rId1973" Type="http://schemas.openxmlformats.org/officeDocument/2006/relationships/image" Target="media/image1965.png"/><Relationship Id="rId1974" Type="http://schemas.openxmlformats.org/officeDocument/2006/relationships/image" Target="media/image1966.png"/><Relationship Id="rId1975" Type="http://schemas.openxmlformats.org/officeDocument/2006/relationships/image" Target="media/image1967.png"/><Relationship Id="rId1976" Type="http://schemas.openxmlformats.org/officeDocument/2006/relationships/image" Target="media/image1968.png"/><Relationship Id="rId1977" Type="http://schemas.openxmlformats.org/officeDocument/2006/relationships/image" Target="media/image1969.png"/><Relationship Id="rId1978" Type="http://schemas.openxmlformats.org/officeDocument/2006/relationships/image" Target="media/image1970.png"/><Relationship Id="rId1979" Type="http://schemas.openxmlformats.org/officeDocument/2006/relationships/image" Target="media/image1971.png"/><Relationship Id="rId1980" Type="http://schemas.openxmlformats.org/officeDocument/2006/relationships/image" Target="media/image1972.png"/><Relationship Id="rId1981" Type="http://schemas.openxmlformats.org/officeDocument/2006/relationships/image" Target="media/image1973.png"/><Relationship Id="rId1982" Type="http://schemas.openxmlformats.org/officeDocument/2006/relationships/image" Target="media/image1974.png"/><Relationship Id="rId1983" Type="http://schemas.openxmlformats.org/officeDocument/2006/relationships/image" Target="media/image1975.png"/><Relationship Id="rId1984" Type="http://schemas.openxmlformats.org/officeDocument/2006/relationships/image" Target="media/image1976.png"/><Relationship Id="rId1985" Type="http://schemas.openxmlformats.org/officeDocument/2006/relationships/image" Target="media/image1977.png"/><Relationship Id="rId1986" Type="http://schemas.openxmlformats.org/officeDocument/2006/relationships/image" Target="media/image1978.png"/><Relationship Id="rId1987" Type="http://schemas.openxmlformats.org/officeDocument/2006/relationships/image" Target="media/image1979.png"/><Relationship Id="rId1988" Type="http://schemas.openxmlformats.org/officeDocument/2006/relationships/image" Target="media/image1980.png"/><Relationship Id="rId1989" Type="http://schemas.openxmlformats.org/officeDocument/2006/relationships/image" Target="media/image1981.png"/><Relationship Id="rId1990" Type="http://schemas.openxmlformats.org/officeDocument/2006/relationships/image" Target="media/image1982.png"/><Relationship Id="rId1991" Type="http://schemas.openxmlformats.org/officeDocument/2006/relationships/image" Target="media/image1983.png"/><Relationship Id="rId1992" Type="http://schemas.openxmlformats.org/officeDocument/2006/relationships/image" Target="media/image1984.png"/><Relationship Id="rId1993" Type="http://schemas.openxmlformats.org/officeDocument/2006/relationships/image" Target="media/image1985.png"/><Relationship Id="rId1994" Type="http://schemas.openxmlformats.org/officeDocument/2006/relationships/image" Target="media/image1986.png"/><Relationship Id="rId1995" Type="http://schemas.openxmlformats.org/officeDocument/2006/relationships/image" Target="media/image1987.png"/><Relationship Id="rId1996" Type="http://schemas.openxmlformats.org/officeDocument/2006/relationships/image" Target="media/image1988.png"/><Relationship Id="rId1997" Type="http://schemas.openxmlformats.org/officeDocument/2006/relationships/image" Target="media/image1989.png"/><Relationship Id="rId1998" Type="http://schemas.openxmlformats.org/officeDocument/2006/relationships/image" Target="media/image1990.png"/><Relationship Id="rId1999" Type="http://schemas.openxmlformats.org/officeDocument/2006/relationships/image" Target="media/image1991.png"/><Relationship Id="rId2000" Type="http://schemas.openxmlformats.org/officeDocument/2006/relationships/image" Target="media/image1992.png"/><Relationship Id="rId2001" Type="http://schemas.openxmlformats.org/officeDocument/2006/relationships/image" Target="media/image1993.png"/><Relationship Id="rId2002" Type="http://schemas.openxmlformats.org/officeDocument/2006/relationships/image" Target="media/image1994.png"/><Relationship Id="rId2003" Type="http://schemas.openxmlformats.org/officeDocument/2006/relationships/image" Target="media/image1995.png"/><Relationship Id="rId2004" Type="http://schemas.openxmlformats.org/officeDocument/2006/relationships/image" Target="media/image1996.png"/><Relationship Id="rId2005" Type="http://schemas.openxmlformats.org/officeDocument/2006/relationships/image" Target="media/image1997.png"/><Relationship Id="rId2006" Type="http://schemas.openxmlformats.org/officeDocument/2006/relationships/image" Target="media/image1998.png"/><Relationship Id="rId2007" Type="http://schemas.openxmlformats.org/officeDocument/2006/relationships/image" Target="media/image1999.png"/><Relationship Id="rId2008" Type="http://schemas.openxmlformats.org/officeDocument/2006/relationships/image" Target="media/image2000.png"/><Relationship Id="rId2009" Type="http://schemas.openxmlformats.org/officeDocument/2006/relationships/image" Target="media/image2001.png"/><Relationship Id="rId2010" Type="http://schemas.openxmlformats.org/officeDocument/2006/relationships/image" Target="media/image2002.png"/><Relationship Id="rId2011" Type="http://schemas.openxmlformats.org/officeDocument/2006/relationships/image" Target="media/image2003.png"/><Relationship Id="rId2012" Type="http://schemas.openxmlformats.org/officeDocument/2006/relationships/image" Target="media/image2004.png"/><Relationship Id="rId2013" Type="http://schemas.openxmlformats.org/officeDocument/2006/relationships/image" Target="media/image2005.png"/><Relationship Id="rId2014" Type="http://schemas.openxmlformats.org/officeDocument/2006/relationships/image" Target="media/image2006.png"/><Relationship Id="rId2015" Type="http://schemas.openxmlformats.org/officeDocument/2006/relationships/image" Target="media/image2007.png"/><Relationship Id="rId2016" Type="http://schemas.openxmlformats.org/officeDocument/2006/relationships/image" Target="media/image2008.png"/><Relationship Id="rId2017" Type="http://schemas.openxmlformats.org/officeDocument/2006/relationships/image" Target="media/image2009.png"/><Relationship Id="rId2018" Type="http://schemas.openxmlformats.org/officeDocument/2006/relationships/image" Target="media/image2010.png"/><Relationship Id="rId2019" Type="http://schemas.openxmlformats.org/officeDocument/2006/relationships/image" Target="media/image2011.png"/><Relationship Id="rId2020" Type="http://schemas.openxmlformats.org/officeDocument/2006/relationships/image" Target="media/image2012.png"/><Relationship Id="rId2021" Type="http://schemas.openxmlformats.org/officeDocument/2006/relationships/image" Target="media/image2013.png"/><Relationship Id="rId2022" Type="http://schemas.openxmlformats.org/officeDocument/2006/relationships/image" Target="media/image2014.png"/><Relationship Id="rId2023" Type="http://schemas.openxmlformats.org/officeDocument/2006/relationships/image" Target="media/image2015.png"/><Relationship Id="rId2024" Type="http://schemas.openxmlformats.org/officeDocument/2006/relationships/image" Target="media/image2016.png"/><Relationship Id="rId2025" Type="http://schemas.openxmlformats.org/officeDocument/2006/relationships/image" Target="media/image2017.png"/><Relationship Id="rId2026" Type="http://schemas.openxmlformats.org/officeDocument/2006/relationships/image" Target="media/image2018.png"/><Relationship Id="rId2027" Type="http://schemas.openxmlformats.org/officeDocument/2006/relationships/image" Target="media/image2019.png"/><Relationship Id="rId2028" Type="http://schemas.openxmlformats.org/officeDocument/2006/relationships/image" Target="media/image2020.png"/><Relationship Id="rId2029" Type="http://schemas.openxmlformats.org/officeDocument/2006/relationships/image" Target="media/image2021.png"/><Relationship Id="rId2030" Type="http://schemas.openxmlformats.org/officeDocument/2006/relationships/image" Target="media/image2022.png"/><Relationship Id="rId2031" Type="http://schemas.openxmlformats.org/officeDocument/2006/relationships/image" Target="media/image2023.png"/><Relationship Id="rId2032" Type="http://schemas.openxmlformats.org/officeDocument/2006/relationships/image" Target="media/image2024.png"/><Relationship Id="rId2033" Type="http://schemas.openxmlformats.org/officeDocument/2006/relationships/image" Target="media/image2025.png"/><Relationship Id="rId2034" Type="http://schemas.openxmlformats.org/officeDocument/2006/relationships/image" Target="media/image2026.png"/><Relationship Id="rId2035" Type="http://schemas.openxmlformats.org/officeDocument/2006/relationships/image" Target="media/image2027.png"/><Relationship Id="rId2036" Type="http://schemas.openxmlformats.org/officeDocument/2006/relationships/image" Target="media/image2028.png"/><Relationship Id="rId2037" Type="http://schemas.openxmlformats.org/officeDocument/2006/relationships/image" Target="media/image2029.png"/><Relationship Id="rId2038" Type="http://schemas.openxmlformats.org/officeDocument/2006/relationships/image" Target="media/image2030.png"/><Relationship Id="rId2039" Type="http://schemas.openxmlformats.org/officeDocument/2006/relationships/image" Target="media/image2031.png"/><Relationship Id="rId2040" Type="http://schemas.openxmlformats.org/officeDocument/2006/relationships/image" Target="media/image2032.png"/><Relationship Id="rId2041" Type="http://schemas.openxmlformats.org/officeDocument/2006/relationships/image" Target="media/image2033.png"/><Relationship Id="rId2042" Type="http://schemas.openxmlformats.org/officeDocument/2006/relationships/image" Target="media/image2034.png"/><Relationship Id="rId2043" Type="http://schemas.openxmlformats.org/officeDocument/2006/relationships/image" Target="media/image2035.png"/><Relationship Id="rId2044" Type="http://schemas.openxmlformats.org/officeDocument/2006/relationships/image" Target="media/image2036.png"/><Relationship Id="rId2045" Type="http://schemas.openxmlformats.org/officeDocument/2006/relationships/image" Target="media/image2037.png"/><Relationship Id="rId2046" Type="http://schemas.openxmlformats.org/officeDocument/2006/relationships/image" Target="media/image2038.png"/><Relationship Id="rId2047" Type="http://schemas.openxmlformats.org/officeDocument/2006/relationships/image" Target="media/image2039.png"/><Relationship Id="rId2048" Type="http://schemas.openxmlformats.org/officeDocument/2006/relationships/image" Target="media/image2040.png"/><Relationship Id="rId2049" Type="http://schemas.openxmlformats.org/officeDocument/2006/relationships/image" Target="media/image2041.png"/><Relationship Id="rId2050" Type="http://schemas.openxmlformats.org/officeDocument/2006/relationships/image" Target="media/image2042.png"/><Relationship Id="rId2051" Type="http://schemas.openxmlformats.org/officeDocument/2006/relationships/image" Target="media/image2043.png"/><Relationship Id="rId2052" Type="http://schemas.openxmlformats.org/officeDocument/2006/relationships/image" Target="media/image2044.png"/><Relationship Id="rId2053" Type="http://schemas.openxmlformats.org/officeDocument/2006/relationships/image" Target="media/image2045.png"/><Relationship Id="rId2054" Type="http://schemas.openxmlformats.org/officeDocument/2006/relationships/image" Target="media/image2046.png"/><Relationship Id="rId2055" Type="http://schemas.openxmlformats.org/officeDocument/2006/relationships/image" Target="media/image2047.png"/><Relationship Id="rId2056" Type="http://schemas.openxmlformats.org/officeDocument/2006/relationships/image" Target="media/image2048.png"/><Relationship Id="rId2057" Type="http://schemas.openxmlformats.org/officeDocument/2006/relationships/image" Target="media/image2049.png"/><Relationship Id="rId2058" Type="http://schemas.openxmlformats.org/officeDocument/2006/relationships/image" Target="media/image2050.png"/><Relationship Id="rId2059" Type="http://schemas.openxmlformats.org/officeDocument/2006/relationships/image" Target="media/image2051.png"/><Relationship Id="rId2060" Type="http://schemas.openxmlformats.org/officeDocument/2006/relationships/image" Target="media/image2052.png"/><Relationship Id="rId2061" Type="http://schemas.openxmlformats.org/officeDocument/2006/relationships/image" Target="media/image2053.png"/><Relationship Id="rId2062" Type="http://schemas.openxmlformats.org/officeDocument/2006/relationships/image" Target="media/image2054.png"/><Relationship Id="rId2063" Type="http://schemas.openxmlformats.org/officeDocument/2006/relationships/image" Target="media/image2055.png"/><Relationship Id="rId2064" Type="http://schemas.openxmlformats.org/officeDocument/2006/relationships/image" Target="media/image2056.png"/><Relationship Id="rId2065" Type="http://schemas.openxmlformats.org/officeDocument/2006/relationships/image" Target="media/image2057.png"/><Relationship Id="rId2066" Type="http://schemas.openxmlformats.org/officeDocument/2006/relationships/image" Target="media/image2058.png"/><Relationship Id="rId2067" Type="http://schemas.openxmlformats.org/officeDocument/2006/relationships/image" Target="media/image2059.png"/><Relationship Id="rId2068" Type="http://schemas.openxmlformats.org/officeDocument/2006/relationships/image" Target="media/image2060.png"/><Relationship Id="rId2069" Type="http://schemas.openxmlformats.org/officeDocument/2006/relationships/image" Target="media/image2061.png"/><Relationship Id="rId2070" Type="http://schemas.openxmlformats.org/officeDocument/2006/relationships/image" Target="media/image2062.png"/><Relationship Id="rId2071" Type="http://schemas.openxmlformats.org/officeDocument/2006/relationships/image" Target="media/image2063.png"/><Relationship Id="rId2072" Type="http://schemas.openxmlformats.org/officeDocument/2006/relationships/image" Target="media/image2064.png"/><Relationship Id="rId2073" Type="http://schemas.openxmlformats.org/officeDocument/2006/relationships/image" Target="media/image2065.png"/><Relationship Id="rId2074" Type="http://schemas.openxmlformats.org/officeDocument/2006/relationships/image" Target="media/image2066.png"/><Relationship Id="rId2075" Type="http://schemas.openxmlformats.org/officeDocument/2006/relationships/image" Target="media/image2067.png"/><Relationship Id="rId2076" Type="http://schemas.openxmlformats.org/officeDocument/2006/relationships/image" Target="media/image2068.png"/><Relationship Id="rId2077" Type="http://schemas.openxmlformats.org/officeDocument/2006/relationships/image" Target="media/image2069.png"/><Relationship Id="rId2078" Type="http://schemas.openxmlformats.org/officeDocument/2006/relationships/image" Target="media/image2070.png"/><Relationship Id="rId2079" Type="http://schemas.openxmlformats.org/officeDocument/2006/relationships/image" Target="media/image2071.png"/><Relationship Id="rId2080" Type="http://schemas.openxmlformats.org/officeDocument/2006/relationships/image" Target="media/image2072.png"/><Relationship Id="rId2081" Type="http://schemas.openxmlformats.org/officeDocument/2006/relationships/image" Target="media/image2073.png"/><Relationship Id="rId2082" Type="http://schemas.openxmlformats.org/officeDocument/2006/relationships/image" Target="media/image2074.png"/><Relationship Id="rId2083" Type="http://schemas.openxmlformats.org/officeDocument/2006/relationships/image" Target="media/image2075.png"/><Relationship Id="rId2084" Type="http://schemas.openxmlformats.org/officeDocument/2006/relationships/image" Target="media/image2076.png"/><Relationship Id="rId2085" Type="http://schemas.openxmlformats.org/officeDocument/2006/relationships/image" Target="media/image2077.png"/><Relationship Id="rId2086" Type="http://schemas.openxmlformats.org/officeDocument/2006/relationships/image" Target="media/image2078.png"/><Relationship Id="rId2087" Type="http://schemas.openxmlformats.org/officeDocument/2006/relationships/image" Target="media/image2079.png"/><Relationship Id="rId2088" Type="http://schemas.openxmlformats.org/officeDocument/2006/relationships/image" Target="media/image2080.png"/><Relationship Id="rId2089" Type="http://schemas.openxmlformats.org/officeDocument/2006/relationships/image" Target="media/image2081.png"/><Relationship Id="rId2090" Type="http://schemas.openxmlformats.org/officeDocument/2006/relationships/image" Target="media/image2082.png"/><Relationship Id="rId2091" Type="http://schemas.openxmlformats.org/officeDocument/2006/relationships/image" Target="media/image2083.png"/><Relationship Id="rId2092" Type="http://schemas.openxmlformats.org/officeDocument/2006/relationships/image" Target="media/image2084.png"/><Relationship Id="rId2093" Type="http://schemas.openxmlformats.org/officeDocument/2006/relationships/image" Target="media/image2085.png"/><Relationship Id="rId2094" Type="http://schemas.openxmlformats.org/officeDocument/2006/relationships/image" Target="media/image2086.png"/><Relationship Id="rId2095" Type="http://schemas.openxmlformats.org/officeDocument/2006/relationships/image" Target="media/image2087.png"/><Relationship Id="rId2096" Type="http://schemas.openxmlformats.org/officeDocument/2006/relationships/image" Target="media/image2088.png"/><Relationship Id="rId2097" Type="http://schemas.openxmlformats.org/officeDocument/2006/relationships/image" Target="media/image2089.png"/><Relationship Id="rId2098" Type="http://schemas.openxmlformats.org/officeDocument/2006/relationships/image" Target="media/image2090.png"/><Relationship Id="rId2099" Type="http://schemas.openxmlformats.org/officeDocument/2006/relationships/image" Target="media/image2091.png"/><Relationship Id="rId2100" Type="http://schemas.openxmlformats.org/officeDocument/2006/relationships/image" Target="media/image2092.png"/><Relationship Id="rId2101" Type="http://schemas.openxmlformats.org/officeDocument/2006/relationships/image" Target="media/image2093.png"/><Relationship Id="rId2102" Type="http://schemas.openxmlformats.org/officeDocument/2006/relationships/image" Target="media/image2094.png"/><Relationship Id="rId2103" Type="http://schemas.openxmlformats.org/officeDocument/2006/relationships/image" Target="media/image2095.png"/><Relationship Id="rId2104" Type="http://schemas.openxmlformats.org/officeDocument/2006/relationships/image" Target="media/image2096.png"/><Relationship Id="rId2105" Type="http://schemas.openxmlformats.org/officeDocument/2006/relationships/image" Target="media/image2097.png"/><Relationship Id="rId2106" Type="http://schemas.openxmlformats.org/officeDocument/2006/relationships/image" Target="media/image2098.png"/><Relationship Id="rId2107" Type="http://schemas.openxmlformats.org/officeDocument/2006/relationships/image" Target="media/image2099.png"/><Relationship Id="rId2108" Type="http://schemas.openxmlformats.org/officeDocument/2006/relationships/image" Target="media/image2100.png"/><Relationship Id="rId2109" Type="http://schemas.openxmlformats.org/officeDocument/2006/relationships/image" Target="media/image2101.png"/><Relationship Id="rId2110" Type="http://schemas.openxmlformats.org/officeDocument/2006/relationships/image" Target="media/image2102.png"/><Relationship Id="rId2111" Type="http://schemas.openxmlformats.org/officeDocument/2006/relationships/image" Target="media/image2103.png"/><Relationship Id="rId2112" Type="http://schemas.openxmlformats.org/officeDocument/2006/relationships/image" Target="media/image2104.png"/><Relationship Id="rId2113" Type="http://schemas.openxmlformats.org/officeDocument/2006/relationships/image" Target="media/image2105.png"/><Relationship Id="rId2114" Type="http://schemas.openxmlformats.org/officeDocument/2006/relationships/image" Target="media/image2106.png"/><Relationship Id="rId2115" Type="http://schemas.openxmlformats.org/officeDocument/2006/relationships/image" Target="media/image2107.png"/><Relationship Id="rId2116" Type="http://schemas.openxmlformats.org/officeDocument/2006/relationships/image" Target="media/image2108.png"/><Relationship Id="rId2117" Type="http://schemas.openxmlformats.org/officeDocument/2006/relationships/image" Target="media/image2109.png"/><Relationship Id="rId2118" Type="http://schemas.openxmlformats.org/officeDocument/2006/relationships/image" Target="media/image2110.png"/><Relationship Id="rId2119" Type="http://schemas.openxmlformats.org/officeDocument/2006/relationships/image" Target="media/image2111.png"/><Relationship Id="rId2120" Type="http://schemas.openxmlformats.org/officeDocument/2006/relationships/image" Target="media/image2112.png"/><Relationship Id="rId2121" Type="http://schemas.openxmlformats.org/officeDocument/2006/relationships/image" Target="media/image2113.png"/><Relationship Id="rId2122" Type="http://schemas.openxmlformats.org/officeDocument/2006/relationships/image" Target="media/image2114.png"/><Relationship Id="rId2123" Type="http://schemas.openxmlformats.org/officeDocument/2006/relationships/image" Target="media/image2115.png"/><Relationship Id="rId2124" Type="http://schemas.openxmlformats.org/officeDocument/2006/relationships/image" Target="media/image2116.png"/><Relationship Id="rId2125" Type="http://schemas.openxmlformats.org/officeDocument/2006/relationships/image" Target="media/image2117.png"/><Relationship Id="rId2126" Type="http://schemas.openxmlformats.org/officeDocument/2006/relationships/image" Target="media/image2118.png"/><Relationship Id="rId2127" Type="http://schemas.openxmlformats.org/officeDocument/2006/relationships/image" Target="media/image2119.png"/><Relationship Id="rId2128" Type="http://schemas.openxmlformats.org/officeDocument/2006/relationships/image" Target="media/image2120.png"/><Relationship Id="rId2129" Type="http://schemas.openxmlformats.org/officeDocument/2006/relationships/image" Target="media/image2121.png"/><Relationship Id="rId2130" Type="http://schemas.openxmlformats.org/officeDocument/2006/relationships/image" Target="media/image2122.png"/><Relationship Id="rId2131" Type="http://schemas.openxmlformats.org/officeDocument/2006/relationships/image" Target="media/image2123.png"/><Relationship Id="rId2132" Type="http://schemas.openxmlformats.org/officeDocument/2006/relationships/image" Target="media/image2124.png"/><Relationship Id="rId2133" Type="http://schemas.openxmlformats.org/officeDocument/2006/relationships/image" Target="media/image2125.png"/><Relationship Id="rId2134" Type="http://schemas.openxmlformats.org/officeDocument/2006/relationships/image" Target="media/image2126.png"/><Relationship Id="rId2135" Type="http://schemas.openxmlformats.org/officeDocument/2006/relationships/image" Target="media/image2127.png"/><Relationship Id="rId2136" Type="http://schemas.openxmlformats.org/officeDocument/2006/relationships/image" Target="media/image2128.png"/><Relationship Id="rId2137" Type="http://schemas.openxmlformats.org/officeDocument/2006/relationships/image" Target="media/image2129.png"/><Relationship Id="rId2138" Type="http://schemas.openxmlformats.org/officeDocument/2006/relationships/image" Target="media/image2130.png"/><Relationship Id="rId2139" Type="http://schemas.openxmlformats.org/officeDocument/2006/relationships/image" Target="media/image2131.png"/><Relationship Id="rId2140" Type="http://schemas.openxmlformats.org/officeDocument/2006/relationships/image" Target="media/image2132.png"/><Relationship Id="rId2141" Type="http://schemas.openxmlformats.org/officeDocument/2006/relationships/image" Target="media/image2133.png"/><Relationship Id="rId2142" Type="http://schemas.openxmlformats.org/officeDocument/2006/relationships/image" Target="media/image2134.png"/><Relationship Id="rId2143" Type="http://schemas.openxmlformats.org/officeDocument/2006/relationships/image" Target="media/image2135.png"/><Relationship Id="rId2144" Type="http://schemas.openxmlformats.org/officeDocument/2006/relationships/image" Target="media/image2136.png"/><Relationship Id="rId2145" Type="http://schemas.openxmlformats.org/officeDocument/2006/relationships/image" Target="media/image2137.png"/><Relationship Id="rId2146" Type="http://schemas.openxmlformats.org/officeDocument/2006/relationships/image" Target="media/image2138.png"/><Relationship Id="rId2147" Type="http://schemas.openxmlformats.org/officeDocument/2006/relationships/image" Target="media/image2139.png"/><Relationship Id="rId2148" Type="http://schemas.openxmlformats.org/officeDocument/2006/relationships/image" Target="media/image2140.png"/><Relationship Id="rId2149" Type="http://schemas.openxmlformats.org/officeDocument/2006/relationships/image" Target="media/image2141.png"/><Relationship Id="rId2150" Type="http://schemas.openxmlformats.org/officeDocument/2006/relationships/image" Target="media/image2142.png"/><Relationship Id="rId2151" Type="http://schemas.openxmlformats.org/officeDocument/2006/relationships/image" Target="media/image2143.png"/><Relationship Id="rId2152" Type="http://schemas.openxmlformats.org/officeDocument/2006/relationships/image" Target="media/image2144.png"/><Relationship Id="rId2153" Type="http://schemas.openxmlformats.org/officeDocument/2006/relationships/image" Target="media/image2145.png"/><Relationship Id="rId2154" Type="http://schemas.openxmlformats.org/officeDocument/2006/relationships/image" Target="media/image2146.png"/><Relationship Id="rId2155" Type="http://schemas.openxmlformats.org/officeDocument/2006/relationships/image" Target="media/image2147.png"/><Relationship Id="rId2156" Type="http://schemas.openxmlformats.org/officeDocument/2006/relationships/image" Target="media/image2148.png"/><Relationship Id="rId2157" Type="http://schemas.openxmlformats.org/officeDocument/2006/relationships/image" Target="media/image2149.png"/><Relationship Id="rId2158" Type="http://schemas.openxmlformats.org/officeDocument/2006/relationships/image" Target="media/image2150.png"/><Relationship Id="rId2159" Type="http://schemas.openxmlformats.org/officeDocument/2006/relationships/image" Target="media/image2151.png"/><Relationship Id="rId2160" Type="http://schemas.openxmlformats.org/officeDocument/2006/relationships/image" Target="media/image2152.png"/><Relationship Id="rId2161" Type="http://schemas.openxmlformats.org/officeDocument/2006/relationships/image" Target="media/image2153.png"/><Relationship Id="rId2162" Type="http://schemas.openxmlformats.org/officeDocument/2006/relationships/image" Target="media/image2154.png"/><Relationship Id="rId2163" Type="http://schemas.openxmlformats.org/officeDocument/2006/relationships/image" Target="media/image2155.png"/><Relationship Id="rId2164" Type="http://schemas.openxmlformats.org/officeDocument/2006/relationships/image" Target="media/image2156.png"/><Relationship Id="rId2165" Type="http://schemas.openxmlformats.org/officeDocument/2006/relationships/image" Target="media/image2157.png"/><Relationship Id="rId2166" Type="http://schemas.openxmlformats.org/officeDocument/2006/relationships/image" Target="media/image2158.png"/><Relationship Id="rId2167" Type="http://schemas.openxmlformats.org/officeDocument/2006/relationships/image" Target="media/image2159.png"/><Relationship Id="rId2168" Type="http://schemas.openxmlformats.org/officeDocument/2006/relationships/image" Target="media/image2160.png"/><Relationship Id="rId2169" Type="http://schemas.openxmlformats.org/officeDocument/2006/relationships/image" Target="media/image2161.png"/><Relationship Id="rId2170" Type="http://schemas.openxmlformats.org/officeDocument/2006/relationships/image" Target="media/image2162.png"/><Relationship Id="rId2171" Type="http://schemas.openxmlformats.org/officeDocument/2006/relationships/image" Target="media/image2163.png"/><Relationship Id="rId2172" Type="http://schemas.openxmlformats.org/officeDocument/2006/relationships/image" Target="media/image2164.png"/><Relationship Id="rId2173" Type="http://schemas.openxmlformats.org/officeDocument/2006/relationships/image" Target="media/image2165.png"/><Relationship Id="rId2174" Type="http://schemas.openxmlformats.org/officeDocument/2006/relationships/image" Target="media/image2166.png"/><Relationship Id="rId2175" Type="http://schemas.openxmlformats.org/officeDocument/2006/relationships/image" Target="media/image2167.png"/><Relationship Id="rId2176" Type="http://schemas.openxmlformats.org/officeDocument/2006/relationships/image" Target="media/image2168.png"/><Relationship Id="rId2177" Type="http://schemas.openxmlformats.org/officeDocument/2006/relationships/image" Target="media/image2169.png"/><Relationship Id="rId2178" Type="http://schemas.openxmlformats.org/officeDocument/2006/relationships/image" Target="media/image2170.png"/><Relationship Id="rId2179" Type="http://schemas.openxmlformats.org/officeDocument/2006/relationships/image" Target="media/image2171.png"/><Relationship Id="rId2180" Type="http://schemas.openxmlformats.org/officeDocument/2006/relationships/image" Target="media/image2172.png"/><Relationship Id="rId2181" Type="http://schemas.openxmlformats.org/officeDocument/2006/relationships/image" Target="media/image2173.png"/><Relationship Id="rId2182" Type="http://schemas.openxmlformats.org/officeDocument/2006/relationships/image" Target="media/image2174.png"/><Relationship Id="rId2183" Type="http://schemas.openxmlformats.org/officeDocument/2006/relationships/image" Target="media/image2175.png"/><Relationship Id="rId2184" Type="http://schemas.openxmlformats.org/officeDocument/2006/relationships/image" Target="media/image2176.png"/><Relationship Id="rId2185" Type="http://schemas.openxmlformats.org/officeDocument/2006/relationships/image" Target="media/image2177.png"/><Relationship Id="rId2186" Type="http://schemas.openxmlformats.org/officeDocument/2006/relationships/image" Target="media/image2178.png"/><Relationship Id="rId2187" Type="http://schemas.openxmlformats.org/officeDocument/2006/relationships/image" Target="media/image2179.png"/><Relationship Id="rId2188" Type="http://schemas.openxmlformats.org/officeDocument/2006/relationships/image" Target="media/image2180.png"/><Relationship Id="rId2189" Type="http://schemas.openxmlformats.org/officeDocument/2006/relationships/image" Target="media/image2181.png"/><Relationship Id="rId2190" Type="http://schemas.openxmlformats.org/officeDocument/2006/relationships/image" Target="media/image2182.png"/><Relationship Id="rId2191" Type="http://schemas.openxmlformats.org/officeDocument/2006/relationships/image" Target="media/image2183.png"/><Relationship Id="rId2192" Type="http://schemas.openxmlformats.org/officeDocument/2006/relationships/image" Target="media/image2184.png"/><Relationship Id="rId2193" Type="http://schemas.openxmlformats.org/officeDocument/2006/relationships/image" Target="media/image2185.png"/><Relationship Id="rId2194" Type="http://schemas.openxmlformats.org/officeDocument/2006/relationships/image" Target="media/image2186.png"/><Relationship Id="rId2195" Type="http://schemas.openxmlformats.org/officeDocument/2006/relationships/image" Target="media/image2187.png"/><Relationship Id="rId2196" Type="http://schemas.openxmlformats.org/officeDocument/2006/relationships/image" Target="media/image2188.png"/><Relationship Id="rId2197" Type="http://schemas.openxmlformats.org/officeDocument/2006/relationships/image" Target="media/image2189.png"/><Relationship Id="rId2198" Type="http://schemas.openxmlformats.org/officeDocument/2006/relationships/image" Target="media/image2190.png"/><Relationship Id="rId2199" Type="http://schemas.openxmlformats.org/officeDocument/2006/relationships/image" Target="media/image2191.png"/><Relationship Id="rId2200" Type="http://schemas.openxmlformats.org/officeDocument/2006/relationships/image" Target="media/image2192.png"/><Relationship Id="rId2201" Type="http://schemas.openxmlformats.org/officeDocument/2006/relationships/image" Target="media/image2193.png"/><Relationship Id="rId2202" Type="http://schemas.openxmlformats.org/officeDocument/2006/relationships/image" Target="media/image2194.png"/><Relationship Id="rId2203" Type="http://schemas.openxmlformats.org/officeDocument/2006/relationships/image" Target="media/image2195.png"/><Relationship Id="rId2204" Type="http://schemas.openxmlformats.org/officeDocument/2006/relationships/image" Target="media/image2196.png"/><Relationship Id="rId2205" Type="http://schemas.openxmlformats.org/officeDocument/2006/relationships/image" Target="media/image2197.png"/><Relationship Id="rId2206" Type="http://schemas.openxmlformats.org/officeDocument/2006/relationships/image" Target="media/image2198.png"/><Relationship Id="rId2207" Type="http://schemas.openxmlformats.org/officeDocument/2006/relationships/image" Target="media/image2199.png"/><Relationship Id="rId2208" Type="http://schemas.openxmlformats.org/officeDocument/2006/relationships/image" Target="media/image2200.png"/><Relationship Id="rId2209" Type="http://schemas.openxmlformats.org/officeDocument/2006/relationships/image" Target="media/image2201.png"/><Relationship Id="rId2210" Type="http://schemas.openxmlformats.org/officeDocument/2006/relationships/image" Target="media/image2202.png"/><Relationship Id="rId2211" Type="http://schemas.openxmlformats.org/officeDocument/2006/relationships/image" Target="media/image2203.png"/><Relationship Id="rId2212" Type="http://schemas.openxmlformats.org/officeDocument/2006/relationships/image" Target="media/image2204.png"/><Relationship Id="rId2213" Type="http://schemas.openxmlformats.org/officeDocument/2006/relationships/image" Target="media/image2205.png"/><Relationship Id="rId2214" Type="http://schemas.openxmlformats.org/officeDocument/2006/relationships/image" Target="media/image2206.png"/><Relationship Id="rId2215" Type="http://schemas.openxmlformats.org/officeDocument/2006/relationships/image" Target="media/image2207.png"/><Relationship Id="rId2216" Type="http://schemas.openxmlformats.org/officeDocument/2006/relationships/image" Target="media/image2208.png"/><Relationship Id="rId2217" Type="http://schemas.openxmlformats.org/officeDocument/2006/relationships/image" Target="media/image2209.png"/><Relationship Id="rId2218" Type="http://schemas.openxmlformats.org/officeDocument/2006/relationships/image" Target="media/image2210.png"/><Relationship Id="rId2219" Type="http://schemas.openxmlformats.org/officeDocument/2006/relationships/image" Target="media/image2211.png"/><Relationship Id="rId2220" Type="http://schemas.openxmlformats.org/officeDocument/2006/relationships/image" Target="media/image2212.png"/><Relationship Id="rId2221" Type="http://schemas.openxmlformats.org/officeDocument/2006/relationships/image" Target="media/image2213.png"/><Relationship Id="rId2222" Type="http://schemas.openxmlformats.org/officeDocument/2006/relationships/image" Target="media/image2214.png"/><Relationship Id="rId2223" Type="http://schemas.openxmlformats.org/officeDocument/2006/relationships/image" Target="media/image2215.png"/><Relationship Id="rId2224" Type="http://schemas.openxmlformats.org/officeDocument/2006/relationships/image" Target="media/image2216.png"/><Relationship Id="rId2225" Type="http://schemas.openxmlformats.org/officeDocument/2006/relationships/image" Target="media/image2217.png"/><Relationship Id="rId2226" Type="http://schemas.openxmlformats.org/officeDocument/2006/relationships/image" Target="media/image2218.png"/><Relationship Id="rId2227" Type="http://schemas.openxmlformats.org/officeDocument/2006/relationships/image" Target="media/image2219.png"/><Relationship Id="rId2228" Type="http://schemas.openxmlformats.org/officeDocument/2006/relationships/image" Target="media/image2220.png"/><Relationship Id="rId2229" Type="http://schemas.openxmlformats.org/officeDocument/2006/relationships/image" Target="media/image2221.png"/><Relationship Id="rId2230" Type="http://schemas.openxmlformats.org/officeDocument/2006/relationships/image" Target="media/image2222.png"/><Relationship Id="rId2231" Type="http://schemas.openxmlformats.org/officeDocument/2006/relationships/image" Target="media/image2223.png"/><Relationship Id="rId2232" Type="http://schemas.openxmlformats.org/officeDocument/2006/relationships/image" Target="media/image2224.png"/><Relationship Id="rId2233" Type="http://schemas.openxmlformats.org/officeDocument/2006/relationships/image" Target="media/image2225.png"/><Relationship Id="rId2234" Type="http://schemas.openxmlformats.org/officeDocument/2006/relationships/image" Target="media/image2226.png"/><Relationship Id="rId2235" Type="http://schemas.openxmlformats.org/officeDocument/2006/relationships/image" Target="media/image2227.png"/><Relationship Id="rId2236" Type="http://schemas.openxmlformats.org/officeDocument/2006/relationships/image" Target="media/image2228.png"/><Relationship Id="rId2237" Type="http://schemas.openxmlformats.org/officeDocument/2006/relationships/image" Target="media/image2229.png"/><Relationship Id="rId2238" Type="http://schemas.openxmlformats.org/officeDocument/2006/relationships/image" Target="media/image2230.png"/><Relationship Id="rId2239" Type="http://schemas.openxmlformats.org/officeDocument/2006/relationships/image" Target="media/image2231.png"/><Relationship Id="rId2240" Type="http://schemas.openxmlformats.org/officeDocument/2006/relationships/image" Target="media/image2232.png"/><Relationship Id="rId2241" Type="http://schemas.openxmlformats.org/officeDocument/2006/relationships/image" Target="media/image2233.png"/><Relationship Id="rId2242" Type="http://schemas.openxmlformats.org/officeDocument/2006/relationships/image" Target="media/image2234.png"/><Relationship Id="rId2243" Type="http://schemas.openxmlformats.org/officeDocument/2006/relationships/image" Target="media/image2235.png"/><Relationship Id="rId2244" Type="http://schemas.openxmlformats.org/officeDocument/2006/relationships/image" Target="media/image2236.png"/><Relationship Id="rId2245" Type="http://schemas.openxmlformats.org/officeDocument/2006/relationships/image" Target="media/image2237.png"/><Relationship Id="rId2246" Type="http://schemas.openxmlformats.org/officeDocument/2006/relationships/image" Target="media/image2238.png"/><Relationship Id="rId2247" Type="http://schemas.openxmlformats.org/officeDocument/2006/relationships/image" Target="media/image2239.png"/><Relationship Id="rId2248" Type="http://schemas.openxmlformats.org/officeDocument/2006/relationships/image" Target="media/image2240.png"/><Relationship Id="rId2249" Type="http://schemas.openxmlformats.org/officeDocument/2006/relationships/image" Target="media/image2241.png"/><Relationship Id="rId2250" Type="http://schemas.openxmlformats.org/officeDocument/2006/relationships/image" Target="media/image2242.png"/><Relationship Id="rId2251" Type="http://schemas.openxmlformats.org/officeDocument/2006/relationships/image" Target="media/image2243.png"/><Relationship Id="rId2252" Type="http://schemas.openxmlformats.org/officeDocument/2006/relationships/image" Target="media/image2244.png"/><Relationship Id="rId2253" Type="http://schemas.openxmlformats.org/officeDocument/2006/relationships/image" Target="media/image2245.png"/><Relationship Id="rId2254" Type="http://schemas.openxmlformats.org/officeDocument/2006/relationships/image" Target="media/image2246.png"/><Relationship Id="rId2255" Type="http://schemas.openxmlformats.org/officeDocument/2006/relationships/image" Target="media/image2247.png"/><Relationship Id="rId2256" Type="http://schemas.openxmlformats.org/officeDocument/2006/relationships/image" Target="media/image2248.png"/><Relationship Id="rId2257" Type="http://schemas.openxmlformats.org/officeDocument/2006/relationships/image" Target="media/image2249.png"/><Relationship Id="rId2258" Type="http://schemas.openxmlformats.org/officeDocument/2006/relationships/image" Target="media/image2250.png"/><Relationship Id="rId2259" Type="http://schemas.openxmlformats.org/officeDocument/2006/relationships/image" Target="media/image2251.png"/><Relationship Id="rId2260" Type="http://schemas.openxmlformats.org/officeDocument/2006/relationships/image" Target="media/image2252.png"/><Relationship Id="rId2261" Type="http://schemas.openxmlformats.org/officeDocument/2006/relationships/image" Target="media/image2253.png"/><Relationship Id="rId2262" Type="http://schemas.openxmlformats.org/officeDocument/2006/relationships/image" Target="media/image2254.png"/><Relationship Id="rId2263" Type="http://schemas.openxmlformats.org/officeDocument/2006/relationships/image" Target="media/image2255.png"/><Relationship Id="rId2264" Type="http://schemas.openxmlformats.org/officeDocument/2006/relationships/image" Target="media/image2256.png"/><Relationship Id="rId2265" Type="http://schemas.openxmlformats.org/officeDocument/2006/relationships/image" Target="media/image2257.png"/><Relationship Id="rId2266" Type="http://schemas.openxmlformats.org/officeDocument/2006/relationships/image" Target="media/image2258.png"/><Relationship Id="rId2267" Type="http://schemas.openxmlformats.org/officeDocument/2006/relationships/image" Target="media/image2259.png"/><Relationship Id="rId2268" Type="http://schemas.openxmlformats.org/officeDocument/2006/relationships/image" Target="media/image2260.png"/><Relationship Id="rId2269" Type="http://schemas.openxmlformats.org/officeDocument/2006/relationships/image" Target="media/image2261.png"/><Relationship Id="rId2270" Type="http://schemas.openxmlformats.org/officeDocument/2006/relationships/image" Target="media/image2262.png"/><Relationship Id="rId2271" Type="http://schemas.openxmlformats.org/officeDocument/2006/relationships/image" Target="media/image2263.png"/><Relationship Id="rId2272" Type="http://schemas.openxmlformats.org/officeDocument/2006/relationships/image" Target="media/image2264.png"/><Relationship Id="rId2273" Type="http://schemas.openxmlformats.org/officeDocument/2006/relationships/image" Target="media/image2265.png"/><Relationship Id="rId2274" Type="http://schemas.openxmlformats.org/officeDocument/2006/relationships/image" Target="media/image2266.png"/><Relationship Id="rId2275" Type="http://schemas.openxmlformats.org/officeDocument/2006/relationships/image" Target="media/image2267.png"/><Relationship Id="rId2276" Type="http://schemas.openxmlformats.org/officeDocument/2006/relationships/image" Target="media/image2268.png"/><Relationship Id="rId2277" Type="http://schemas.openxmlformats.org/officeDocument/2006/relationships/image" Target="media/image2269.png"/><Relationship Id="rId2278" Type="http://schemas.openxmlformats.org/officeDocument/2006/relationships/image" Target="media/image2270.png"/><Relationship Id="rId2279" Type="http://schemas.openxmlformats.org/officeDocument/2006/relationships/image" Target="media/image2271.png"/><Relationship Id="rId2280" Type="http://schemas.openxmlformats.org/officeDocument/2006/relationships/image" Target="media/image2272.png"/><Relationship Id="rId2281" Type="http://schemas.openxmlformats.org/officeDocument/2006/relationships/image" Target="media/image2273.png"/><Relationship Id="rId2282" Type="http://schemas.openxmlformats.org/officeDocument/2006/relationships/image" Target="media/image2274.png"/><Relationship Id="rId2283" Type="http://schemas.openxmlformats.org/officeDocument/2006/relationships/image" Target="media/image2275.png"/><Relationship Id="rId2284" Type="http://schemas.openxmlformats.org/officeDocument/2006/relationships/image" Target="media/image2276.png"/><Relationship Id="rId2285" Type="http://schemas.openxmlformats.org/officeDocument/2006/relationships/image" Target="media/image2277.png"/><Relationship Id="rId2286" Type="http://schemas.openxmlformats.org/officeDocument/2006/relationships/image" Target="media/image2278.png"/><Relationship Id="rId2287" Type="http://schemas.openxmlformats.org/officeDocument/2006/relationships/image" Target="media/image2279.png"/><Relationship Id="rId2288" Type="http://schemas.openxmlformats.org/officeDocument/2006/relationships/image" Target="media/image2280.png"/><Relationship Id="rId2289" Type="http://schemas.openxmlformats.org/officeDocument/2006/relationships/image" Target="media/image2281.png"/><Relationship Id="rId2290" Type="http://schemas.openxmlformats.org/officeDocument/2006/relationships/image" Target="media/image2282.png"/><Relationship Id="rId2291" Type="http://schemas.openxmlformats.org/officeDocument/2006/relationships/image" Target="media/image2283.png"/><Relationship Id="rId2292" Type="http://schemas.openxmlformats.org/officeDocument/2006/relationships/image" Target="media/image2284.png"/><Relationship Id="rId2293" Type="http://schemas.openxmlformats.org/officeDocument/2006/relationships/image" Target="media/image2285.png"/><Relationship Id="rId2294" Type="http://schemas.openxmlformats.org/officeDocument/2006/relationships/image" Target="media/image2286.png"/><Relationship Id="rId2295" Type="http://schemas.openxmlformats.org/officeDocument/2006/relationships/image" Target="media/image2287.png"/><Relationship Id="rId2296" Type="http://schemas.openxmlformats.org/officeDocument/2006/relationships/image" Target="media/image2288.png"/><Relationship Id="rId2297" Type="http://schemas.openxmlformats.org/officeDocument/2006/relationships/image" Target="media/image2289.png"/><Relationship Id="rId2298" Type="http://schemas.openxmlformats.org/officeDocument/2006/relationships/image" Target="media/image2290.png"/><Relationship Id="rId2299" Type="http://schemas.openxmlformats.org/officeDocument/2006/relationships/image" Target="media/image2291.png"/><Relationship Id="rId2300" Type="http://schemas.openxmlformats.org/officeDocument/2006/relationships/image" Target="media/image2292.png"/><Relationship Id="rId2301" Type="http://schemas.openxmlformats.org/officeDocument/2006/relationships/image" Target="media/image2293.png"/><Relationship Id="rId2302" Type="http://schemas.openxmlformats.org/officeDocument/2006/relationships/image" Target="media/image2294.png"/><Relationship Id="rId2303" Type="http://schemas.openxmlformats.org/officeDocument/2006/relationships/image" Target="media/image2295.png"/><Relationship Id="rId2304" Type="http://schemas.openxmlformats.org/officeDocument/2006/relationships/image" Target="media/image2296.png"/><Relationship Id="rId2305" Type="http://schemas.openxmlformats.org/officeDocument/2006/relationships/image" Target="media/image2297.png"/><Relationship Id="rId2306" Type="http://schemas.openxmlformats.org/officeDocument/2006/relationships/image" Target="media/image2298.png"/><Relationship Id="rId2307" Type="http://schemas.openxmlformats.org/officeDocument/2006/relationships/image" Target="media/image2299.png"/><Relationship Id="rId2308" Type="http://schemas.openxmlformats.org/officeDocument/2006/relationships/image" Target="media/image2300.png"/><Relationship Id="rId2309" Type="http://schemas.openxmlformats.org/officeDocument/2006/relationships/image" Target="media/image2301.png"/><Relationship Id="rId2310" Type="http://schemas.openxmlformats.org/officeDocument/2006/relationships/image" Target="media/image2302.png"/><Relationship Id="rId2311" Type="http://schemas.openxmlformats.org/officeDocument/2006/relationships/image" Target="media/image2303.png"/><Relationship Id="rId2312" Type="http://schemas.openxmlformats.org/officeDocument/2006/relationships/image" Target="media/image2304.png"/><Relationship Id="rId2313" Type="http://schemas.openxmlformats.org/officeDocument/2006/relationships/image" Target="media/image2305.png"/><Relationship Id="rId2314" Type="http://schemas.openxmlformats.org/officeDocument/2006/relationships/image" Target="media/image2306.png"/><Relationship Id="rId2315" Type="http://schemas.openxmlformats.org/officeDocument/2006/relationships/image" Target="media/image2307.png"/><Relationship Id="rId2316" Type="http://schemas.openxmlformats.org/officeDocument/2006/relationships/image" Target="media/image2308.png"/><Relationship Id="rId2317" Type="http://schemas.openxmlformats.org/officeDocument/2006/relationships/image" Target="media/image2309.png"/><Relationship Id="rId2318" Type="http://schemas.openxmlformats.org/officeDocument/2006/relationships/image" Target="media/image2310.png"/><Relationship Id="rId2319" Type="http://schemas.openxmlformats.org/officeDocument/2006/relationships/image" Target="media/image2311.png"/><Relationship Id="rId2320" Type="http://schemas.openxmlformats.org/officeDocument/2006/relationships/image" Target="media/image2312.png"/><Relationship Id="rId2321" Type="http://schemas.openxmlformats.org/officeDocument/2006/relationships/image" Target="media/image2313.png"/><Relationship Id="rId2322" Type="http://schemas.openxmlformats.org/officeDocument/2006/relationships/image" Target="media/image2314.png"/><Relationship Id="rId2323" Type="http://schemas.openxmlformats.org/officeDocument/2006/relationships/image" Target="media/image2315.png"/><Relationship Id="rId2324" Type="http://schemas.openxmlformats.org/officeDocument/2006/relationships/image" Target="media/image2316.png"/><Relationship Id="rId2325" Type="http://schemas.openxmlformats.org/officeDocument/2006/relationships/image" Target="media/image2317.png"/><Relationship Id="rId2326" Type="http://schemas.openxmlformats.org/officeDocument/2006/relationships/image" Target="media/image2318.png"/><Relationship Id="rId2327" Type="http://schemas.openxmlformats.org/officeDocument/2006/relationships/image" Target="media/image2319.png"/><Relationship Id="rId2328" Type="http://schemas.openxmlformats.org/officeDocument/2006/relationships/image" Target="media/image2320.png"/><Relationship Id="rId2329" Type="http://schemas.openxmlformats.org/officeDocument/2006/relationships/image" Target="media/image2321.png"/><Relationship Id="rId2330" Type="http://schemas.openxmlformats.org/officeDocument/2006/relationships/image" Target="media/image2322.png"/><Relationship Id="rId2331" Type="http://schemas.openxmlformats.org/officeDocument/2006/relationships/image" Target="media/image2323.png"/><Relationship Id="rId2332" Type="http://schemas.openxmlformats.org/officeDocument/2006/relationships/image" Target="media/image2324.png"/><Relationship Id="rId2333" Type="http://schemas.openxmlformats.org/officeDocument/2006/relationships/image" Target="media/image2325.png"/><Relationship Id="rId2334" Type="http://schemas.openxmlformats.org/officeDocument/2006/relationships/image" Target="media/image2326.png"/><Relationship Id="rId2335" Type="http://schemas.openxmlformats.org/officeDocument/2006/relationships/image" Target="media/image2327.png"/><Relationship Id="rId2336" Type="http://schemas.openxmlformats.org/officeDocument/2006/relationships/image" Target="media/image2328.png"/><Relationship Id="rId2337" Type="http://schemas.openxmlformats.org/officeDocument/2006/relationships/image" Target="media/image2329.png"/><Relationship Id="rId2338" Type="http://schemas.openxmlformats.org/officeDocument/2006/relationships/image" Target="media/image2330.png"/><Relationship Id="rId2339" Type="http://schemas.openxmlformats.org/officeDocument/2006/relationships/image" Target="media/image2331.png"/><Relationship Id="rId2340" Type="http://schemas.openxmlformats.org/officeDocument/2006/relationships/image" Target="media/image2332.png"/><Relationship Id="rId2341" Type="http://schemas.openxmlformats.org/officeDocument/2006/relationships/image" Target="media/image2333.png"/><Relationship Id="rId2342" Type="http://schemas.openxmlformats.org/officeDocument/2006/relationships/image" Target="media/image2334.png"/><Relationship Id="rId2343" Type="http://schemas.openxmlformats.org/officeDocument/2006/relationships/image" Target="media/image2335.png"/><Relationship Id="rId2344" Type="http://schemas.openxmlformats.org/officeDocument/2006/relationships/image" Target="media/image2336.png"/><Relationship Id="rId2345" Type="http://schemas.openxmlformats.org/officeDocument/2006/relationships/image" Target="media/image2337.png"/><Relationship Id="rId2346" Type="http://schemas.openxmlformats.org/officeDocument/2006/relationships/image" Target="media/image2338.png"/><Relationship Id="rId2347" Type="http://schemas.openxmlformats.org/officeDocument/2006/relationships/image" Target="media/image2339.png"/><Relationship Id="rId2348" Type="http://schemas.openxmlformats.org/officeDocument/2006/relationships/image" Target="media/image2340.png"/><Relationship Id="rId2349" Type="http://schemas.openxmlformats.org/officeDocument/2006/relationships/image" Target="media/image2341.png"/><Relationship Id="rId2350" Type="http://schemas.openxmlformats.org/officeDocument/2006/relationships/image" Target="media/image2342.png"/><Relationship Id="rId2351" Type="http://schemas.openxmlformats.org/officeDocument/2006/relationships/image" Target="media/image2343.png"/><Relationship Id="rId2352" Type="http://schemas.openxmlformats.org/officeDocument/2006/relationships/image" Target="media/image2344.png"/><Relationship Id="rId2353" Type="http://schemas.openxmlformats.org/officeDocument/2006/relationships/image" Target="media/image2345.png"/><Relationship Id="rId2354" Type="http://schemas.openxmlformats.org/officeDocument/2006/relationships/image" Target="media/image2346.png"/><Relationship Id="rId2355" Type="http://schemas.openxmlformats.org/officeDocument/2006/relationships/image" Target="media/image2347.png"/><Relationship Id="rId2356" Type="http://schemas.openxmlformats.org/officeDocument/2006/relationships/image" Target="media/image2348.png"/><Relationship Id="rId2357" Type="http://schemas.openxmlformats.org/officeDocument/2006/relationships/image" Target="media/image2349.png"/><Relationship Id="rId2358" Type="http://schemas.openxmlformats.org/officeDocument/2006/relationships/image" Target="media/image2350.png"/><Relationship Id="rId2359" Type="http://schemas.openxmlformats.org/officeDocument/2006/relationships/image" Target="media/image2351.png"/><Relationship Id="rId2360" Type="http://schemas.openxmlformats.org/officeDocument/2006/relationships/image" Target="media/image2352.png"/><Relationship Id="rId2361" Type="http://schemas.openxmlformats.org/officeDocument/2006/relationships/image" Target="media/image2353.png"/><Relationship Id="rId2362" Type="http://schemas.openxmlformats.org/officeDocument/2006/relationships/image" Target="media/image2354.png"/><Relationship Id="rId2363" Type="http://schemas.openxmlformats.org/officeDocument/2006/relationships/image" Target="media/image2355.png"/><Relationship Id="rId2364" Type="http://schemas.openxmlformats.org/officeDocument/2006/relationships/image" Target="media/image2356.png"/><Relationship Id="rId2365" Type="http://schemas.openxmlformats.org/officeDocument/2006/relationships/image" Target="media/image2357.png"/><Relationship Id="rId2366" Type="http://schemas.openxmlformats.org/officeDocument/2006/relationships/image" Target="media/image2358.png"/><Relationship Id="rId2367" Type="http://schemas.openxmlformats.org/officeDocument/2006/relationships/image" Target="media/image2359.png"/><Relationship Id="rId2368" Type="http://schemas.openxmlformats.org/officeDocument/2006/relationships/image" Target="media/image2360.png"/><Relationship Id="rId2369" Type="http://schemas.openxmlformats.org/officeDocument/2006/relationships/image" Target="media/image2361.png"/><Relationship Id="rId2370" Type="http://schemas.openxmlformats.org/officeDocument/2006/relationships/image" Target="media/image2362.png"/><Relationship Id="rId2371" Type="http://schemas.openxmlformats.org/officeDocument/2006/relationships/image" Target="media/image2363.png"/><Relationship Id="rId2372" Type="http://schemas.openxmlformats.org/officeDocument/2006/relationships/image" Target="media/image2364.png"/><Relationship Id="rId2373" Type="http://schemas.openxmlformats.org/officeDocument/2006/relationships/image" Target="media/image2365.png"/><Relationship Id="rId2374" Type="http://schemas.openxmlformats.org/officeDocument/2006/relationships/image" Target="media/image2366.png"/><Relationship Id="rId2375" Type="http://schemas.openxmlformats.org/officeDocument/2006/relationships/image" Target="media/image2367.png"/><Relationship Id="rId2376" Type="http://schemas.openxmlformats.org/officeDocument/2006/relationships/image" Target="media/image2368.png"/><Relationship Id="rId2377" Type="http://schemas.openxmlformats.org/officeDocument/2006/relationships/image" Target="media/image2369.png"/><Relationship Id="rId2378" Type="http://schemas.openxmlformats.org/officeDocument/2006/relationships/image" Target="media/image2370.png"/><Relationship Id="rId2379" Type="http://schemas.openxmlformats.org/officeDocument/2006/relationships/image" Target="media/image2371.png"/><Relationship Id="rId2380" Type="http://schemas.openxmlformats.org/officeDocument/2006/relationships/image" Target="media/image2372.png"/><Relationship Id="rId2381" Type="http://schemas.openxmlformats.org/officeDocument/2006/relationships/image" Target="media/image2373.png"/><Relationship Id="rId2382" Type="http://schemas.openxmlformats.org/officeDocument/2006/relationships/image" Target="media/image2374.png"/><Relationship Id="rId2383" Type="http://schemas.openxmlformats.org/officeDocument/2006/relationships/image" Target="media/image2375.png"/><Relationship Id="rId2384" Type="http://schemas.openxmlformats.org/officeDocument/2006/relationships/image" Target="media/image2376.png"/><Relationship Id="rId2385" Type="http://schemas.openxmlformats.org/officeDocument/2006/relationships/image" Target="media/image2377.png"/><Relationship Id="rId2386" Type="http://schemas.openxmlformats.org/officeDocument/2006/relationships/image" Target="media/image2378.png"/><Relationship Id="rId2387" Type="http://schemas.openxmlformats.org/officeDocument/2006/relationships/image" Target="media/image2379.png"/><Relationship Id="rId2388" Type="http://schemas.openxmlformats.org/officeDocument/2006/relationships/image" Target="media/image2380.png"/><Relationship Id="rId2389" Type="http://schemas.openxmlformats.org/officeDocument/2006/relationships/image" Target="media/image2381.png"/><Relationship Id="rId2390" Type="http://schemas.openxmlformats.org/officeDocument/2006/relationships/image" Target="media/image2382.png"/><Relationship Id="rId2391" Type="http://schemas.openxmlformats.org/officeDocument/2006/relationships/image" Target="media/image2383.png"/><Relationship Id="rId2392" Type="http://schemas.openxmlformats.org/officeDocument/2006/relationships/image" Target="media/image2384.png"/><Relationship Id="rId2393" Type="http://schemas.openxmlformats.org/officeDocument/2006/relationships/image" Target="media/image2385.png"/><Relationship Id="rId2394" Type="http://schemas.openxmlformats.org/officeDocument/2006/relationships/image" Target="media/image2386.png"/><Relationship Id="rId2395" Type="http://schemas.openxmlformats.org/officeDocument/2006/relationships/image" Target="media/image2387.png"/><Relationship Id="rId2396" Type="http://schemas.openxmlformats.org/officeDocument/2006/relationships/image" Target="media/image2388.png"/><Relationship Id="rId2397" Type="http://schemas.openxmlformats.org/officeDocument/2006/relationships/image" Target="media/image2389.png"/><Relationship Id="rId2398" Type="http://schemas.openxmlformats.org/officeDocument/2006/relationships/image" Target="media/image2390.png"/><Relationship Id="rId2399" Type="http://schemas.openxmlformats.org/officeDocument/2006/relationships/image" Target="media/image2391.png"/><Relationship Id="rId2400" Type="http://schemas.openxmlformats.org/officeDocument/2006/relationships/image" Target="media/image2392.png"/><Relationship Id="rId2401" Type="http://schemas.openxmlformats.org/officeDocument/2006/relationships/image" Target="media/image2393.png"/><Relationship Id="rId2402" Type="http://schemas.openxmlformats.org/officeDocument/2006/relationships/image" Target="media/image2394.png"/><Relationship Id="rId2403" Type="http://schemas.openxmlformats.org/officeDocument/2006/relationships/image" Target="media/image2395.png"/><Relationship Id="rId2404" Type="http://schemas.openxmlformats.org/officeDocument/2006/relationships/image" Target="media/image2396.png"/><Relationship Id="rId2405" Type="http://schemas.openxmlformats.org/officeDocument/2006/relationships/image" Target="media/image2397.png"/><Relationship Id="rId2406" Type="http://schemas.openxmlformats.org/officeDocument/2006/relationships/image" Target="media/image2398.png"/><Relationship Id="rId2407" Type="http://schemas.openxmlformats.org/officeDocument/2006/relationships/image" Target="media/image2399.png"/><Relationship Id="rId2408" Type="http://schemas.openxmlformats.org/officeDocument/2006/relationships/image" Target="media/image2400.png"/><Relationship Id="rId2409" Type="http://schemas.openxmlformats.org/officeDocument/2006/relationships/image" Target="media/image2401.png"/><Relationship Id="rId2410" Type="http://schemas.openxmlformats.org/officeDocument/2006/relationships/image" Target="media/image2402.png"/><Relationship Id="rId2411" Type="http://schemas.openxmlformats.org/officeDocument/2006/relationships/image" Target="media/image2403.png"/><Relationship Id="rId2412" Type="http://schemas.openxmlformats.org/officeDocument/2006/relationships/image" Target="media/image2404.png"/><Relationship Id="rId2413" Type="http://schemas.openxmlformats.org/officeDocument/2006/relationships/image" Target="media/image2405.png"/><Relationship Id="rId2414" Type="http://schemas.openxmlformats.org/officeDocument/2006/relationships/image" Target="media/image2406.png"/><Relationship Id="rId2415" Type="http://schemas.openxmlformats.org/officeDocument/2006/relationships/image" Target="media/image2407.png"/><Relationship Id="rId2416" Type="http://schemas.openxmlformats.org/officeDocument/2006/relationships/image" Target="media/image2408.png"/><Relationship Id="rId2417" Type="http://schemas.openxmlformats.org/officeDocument/2006/relationships/image" Target="media/image2409.png"/><Relationship Id="rId2418" Type="http://schemas.openxmlformats.org/officeDocument/2006/relationships/image" Target="media/image2410.png"/><Relationship Id="rId2419" Type="http://schemas.openxmlformats.org/officeDocument/2006/relationships/image" Target="media/image2411.png"/><Relationship Id="rId2420" Type="http://schemas.openxmlformats.org/officeDocument/2006/relationships/image" Target="media/image2412.png"/><Relationship Id="rId2421" Type="http://schemas.openxmlformats.org/officeDocument/2006/relationships/image" Target="media/image2413.png"/><Relationship Id="rId2422" Type="http://schemas.openxmlformats.org/officeDocument/2006/relationships/image" Target="media/image2414.png"/><Relationship Id="rId2423" Type="http://schemas.openxmlformats.org/officeDocument/2006/relationships/image" Target="media/image2415.png"/><Relationship Id="rId2424" Type="http://schemas.openxmlformats.org/officeDocument/2006/relationships/image" Target="media/image2416.png"/><Relationship Id="rId2425" Type="http://schemas.openxmlformats.org/officeDocument/2006/relationships/image" Target="media/image2417.png"/><Relationship Id="rId2426" Type="http://schemas.openxmlformats.org/officeDocument/2006/relationships/image" Target="media/image2418.png"/><Relationship Id="rId2427" Type="http://schemas.openxmlformats.org/officeDocument/2006/relationships/image" Target="media/image2419.png"/><Relationship Id="rId2428" Type="http://schemas.openxmlformats.org/officeDocument/2006/relationships/image" Target="media/image2420.png"/><Relationship Id="rId2429" Type="http://schemas.openxmlformats.org/officeDocument/2006/relationships/image" Target="media/image2421.png"/><Relationship Id="rId2430" Type="http://schemas.openxmlformats.org/officeDocument/2006/relationships/image" Target="media/image2422.png"/><Relationship Id="rId2431" Type="http://schemas.openxmlformats.org/officeDocument/2006/relationships/image" Target="media/image2423.png"/><Relationship Id="rId2432" Type="http://schemas.openxmlformats.org/officeDocument/2006/relationships/image" Target="media/image2424.png"/><Relationship Id="rId2433" Type="http://schemas.openxmlformats.org/officeDocument/2006/relationships/image" Target="media/image2425.png"/><Relationship Id="rId2434" Type="http://schemas.openxmlformats.org/officeDocument/2006/relationships/image" Target="media/image2426.png"/><Relationship Id="rId2435" Type="http://schemas.openxmlformats.org/officeDocument/2006/relationships/image" Target="media/image2427.png"/><Relationship Id="rId2436" Type="http://schemas.openxmlformats.org/officeDocument/2006/relationships/image" Target="media/image2428.png"/><Relationship Id="rId2437" Type="http://schemas.openxmlformats.org/officeDocument/2006/relationships/image" Target="media/image2429.png"/><Relationship Id="rId2438" Type="http://schemas.openxmlformats.org/officeDocument/2006/relationships/image" Target="media/image2430.png"/><Relationship Id="rId2439" Type="http://schemas.openxmlformats.org/officeDocument/2006/relationships/image" Target="media/image2431.png"/><Relationship Id="rId2440" Type="http://schemas.openxmlformats.org/officeDocument/2006/relationships/image" Target="media/image2432.png"/><Relationship Id="rId2441" Type="http://schemas.openxmlformats.org/officeDocument/2006/relationships/image" Target="media/image2433.png"/><Relationship Id="rId2442" Type="http://schemas.openxmlformats.org/officeDocument/2006/relationships/image" Target="media/image2434.png"/><Relationship Id="rId2443" Type="http://schemas.openxmlformats.org/officeDocument/2006/relationships/image" Target="media/image2435.png"/><Relationship Id="rId2444" Type="http://schemas.openxmlformats.org/officeDocument/2006/relationships/image" Target="media/image2436.png"/><Relationship Id="rId2445" Type="http://schemas.openxmlformats.org/officeDocument/2006/relationships/image" Target="media/image2437.png"/><Relationship Id="rId2446" Type="http://schemas.openxmlformats.org/officeDocument/2006/relationships/image" Target="media/image2438.png"/><Relationship Id="rId2447" Type="http://schemas.openxmlformats.org/officeDocument/2006/relationships/image" Target="media/image2439.png"/><Relationship Id="rId2448" Type="http://schemas.openxmlformats.org/officeDocument/2006/relationships/image" Target="media/image2440.png"/><Relationship Id="rId2449" Type="http://schemas.openxmlformats.org/officeDocument/2006/relationships/image" Target="media/image2441.png"/><Relationship Id="rId2450" Type="http://schemas.openxmlformats.org/officeDocument/2006/relationships/image" Target="media/image2442.png"/><Relationship Id="rId2451" Type="http://schemas.openxmlformats.org/officeDocument/2006/relationships/image" Target="media/image2443.png"/><Relationship Id="rId2452" Type="http://schemas.openxmlformats.org/officeDocument/2006/relationships/image" Target="media/image2444.png"/><Relationship Id="rId2453" Type="http://schemas.openxmlformats.org/officeDocument/2006/relationships/image" Target="media/image2445.png"/><Relationship Id="rId2454" Type="http://schemas.openxmlformats.org/officeDocument/2006/relationships/image" Target="media/image2446.png"/><Relationship Id="rId2455" Type="http://schemas.openxmlformats.org/officeDocument/2006/relationships/image" Target="media/image2447.png"/><Relationship Id="rId2456" Type="http://schemas.openxmlformats.org/officeDocument/2006/relationships/image" Target="media/image2448.png"/><Relationship Id="rId2457" Type="http://schemas.openxmlformats.org/officeDocument/2006/relationships/image" Target="media/image2449.png"/><Relationship Id="rId2458" Type="http://schemas.openxmlformats.org/officeDocument/2006/relationships/image" Target="media/image2450.png"/><Relationship Id="rId2459" Type="http://schemas.openxmlformats.org/officeDocument/2006/relationships/image" Target="media/image2451.png"/><Relationship Id="rId2460" Type="http://schemas.openxmlformats.org/officeDocument/2006/relationships/image" Target="media/image2452.png"/><Relationship Id="rId2461" Type="http://schemas.openxmlformats.org/officeDocument/2006/relationships/image" Target="media/image2453.png"/><Relationship Id="rId2462" Type="http://schemas.openxmlformats.org/officeDocument/2006/relationships/image" Target="media/image2454.png"/><Relationship Id="rId2463" Type="http://schemas.openxmlformats.org/officeDocument/2006/relationships/image" Target="media/image2455.png"/><Relationship Id="rId2464" Type="http://schemas.openxmlformats.org/officeDocument/2006/relationships/image" Target="media/image2456.png"/><Relationship Id="rId2465" Type="http://schemas.openxmlformats.org/officeDocument/2006/relationships/image" Target="media/image2457.png"/><Relationship Id="rId2466" Type="http://schemas.openxmlformats.org/officeDocument/2006/relationships/image" Target="media/image2458.png"/><Relationship Id="rId2467" Type="http://schemas.openxmlformats.org/officeDocument/2006/relationships/image" Target="media/image2459.png"/><Relationship Id="rId2468" Type="http://schemas.openxmlformats.org/officeDocument/2006/relationships/image" Target="media/image2460.png"/><Relationship Id="rId2469" Type="http://schemas.openxmlformats.org/officeDocument/2006/relationships/image" Target="media/image2461.png"/><Relationship Id="rId2470" Type="http://schemas.openxmlformats.org/officeDocument/2006/relationships/image" Target="media/image2462.png"/><Relationship Id="rId2471" Type="http://schemas.openxmlformats.org/officeDocument/2006/relationships/image" Target="media/image2463.png"/><Relationship Id="rId2472" Type="http://schemas.openxmlformats.org/officeDocument/2006/relationships/image" Target="media/image2464.png"/><Relationship Id="rId2473" Type="http://schemas.openxmlformats.org/officeDocument/2006/relationships/image" Target="media/image2465.png"/><Relationship Id="rId2474" Type="http://schemas.openxmlformats.org/officeDocument/2006/relationships/image" Target="media/image2466.png"/><Relationship Id="rId2475" Type="http://schemas.openxmlformats.org/officeDocument/2006/relationships/image" Target="media/image2467.png"/><Relationship Id="rId2476" Type="http://schemas.openxmlformats.org/officeDocument/2006/relationships/image" Target="media/image2468.png"/><Relationship Id="rId2477" Type="http://schemas.openxmlformats.org/officeDocument/2006/relationships/image" Target="media/image2469.png"/><Relationship Id="rId2478" Type="http://schemas.openxmlformats.org/officeDocument/2006/relationships/image" Target="media/image2470.png"/><Relationship Id="rId2479" Type="http://schemas.openxmlformats.org/officeDocument/2006/relationships/image" Target="media/image2471.png"/><Relationship Id="rId2480" Type="http://schemas.openxmlformats.org/officeDocument/2006/relationships/image" Target="media/image2472.png"/><Relationship Id="rId2481" Type="http://schemas.openxmlformats.org/officeDocument/2006/relationships/image" Target="media/image2473.png"/><Relationship Id="rId2482" Type="http://schemas.openxmlformats.org/officeDocument/2006/relationships/image" Target="media/image2474.png"/><Relationship Id="rId2483" Type="http://schemas.openxmlformats.org/officeDocument/2006/relationships/image" Target="media/image2475.png"/><Relationship Id="rId2484" Type="http://schemas.openxmlformats.org/officeDocument/2006/relationships/image" Target="media/image2476.png"/><Relationship Id="rId2485" Type="http://schemas.openxmlformats.org/officeDocument/2006/relationships/image" Target="media/image2477.png"/><Relationship Id="rId2486" Type="http://schemas.openxmlformats.org/officeDocument/2006/relationships/image" Target="media/image2478.png"/><Relationship Id="rId2487" Type="http://schemas.openxmlformats.org/officeDocument/2006/relationships/image" Target="media/image2479.png"/><Relationship Id="rId2488" Type="http://schemas.openxmlformats.org/officeDocument/2006/relationships/image" Target="media/image2480.png"/><Relationship Id="rId2489" Type="http://schemas.openxmlformats.org/officeDocument/2006/relationships/image" Target="media/image2481.png"/><Relationship Id="rId2490" Type="http://schemas.openxmlformats.org/officeDocument/2006/relationships/image" Target="media/image2482.png"/><Relationship Id="rId2491" Type="http://schemas.openxmlformats.org/officeDocument/2006/relationships/image" Target="media/image2483.png"/><Relationship Id="rId2492" Type="http://schemas.openxmlformats.org/officeDocument/2006/relationships/image" Target="media/image2484.png"/><Relationship Id="rId2493" Type="http://schemas.openxmlformats.org/officeDocument/2006/relationships/image" Target="media/image2485.png"/><Relationship Id="rId2494" Type="http://schemas.openxmlformats.org/officeDocument/2006/relationships/image" Target="media/image2486.png"/><Relationship Id="rId2495" Type="http://schemas.openxmlformats.org/officeDocument/2006/relationships/image" Target="media/image2487.png"/><Relationship Id="rId2496" Type="http://schemas.openxmlformats.org/officeDocument/2006/relationships/image" Target="media/image2488.png"/><Relationship Id="rId2497" Type="http://schemas.openxmlformats.org/officeDocument/2006/relationships/image" Target="media/image2489.png"/><Relationship Id="rId2498" Type="http://schemas.openxmlformats.org/officeDocument/2006/relationships/image" Target="media/image2490.png"/><Relationship Id="rId2499" Type="http://schemas.openxmlformats.org/officeDocument/2006/relationships/image" Target="media/image2491.png"/><Relationship Id="rId2500" Type="http://schemas.openxmlformats.org/officeDocument/2006/relationships/image" Target="media/image2492.png"/><Relationship Id="rId2501" Type="http://schemas.openxmlformats.org/officeDocument/2006/relationships/image" Target="media/image2493.png"/><Relationship Id="rId2502" Type="http://schemas.openxmlformats.org/officeDocument/2006/relationships/image" Target="media/image2494.png"/><Relationship Id="rId2503" Type="http://schemas.openxmlformats.org/officeDocument/2006/relationships/image" Target="media/image2495.png"/><Relationship Id="rId2504" Type="http://schemas.openxmlformats.org/officeDocument/2006/relationships/image" Target="media/image2496.png"/><Relationship Id="rId2505" Type="http://schemas.openxmlformats.org/officeDocument/2006/relationships/image" Target="media/image2497.png"/><Relationship Id="rId2506" Type="http://schemas.openxmlformats.org/officeDocument/2006/relationships/image" Target="media/image2498.png"/><Relationship Id="rId2507" Type="http://schemas.openxmlformats.org/officeDocument/2006/relationships/image" Target="media/image2499.png"/><Relationship Id="rId2508" Type="http://schemas.openxmlformats.org/officeDocument/2006/relationships/image" Target="media/image2500.png"/><Relationship Id="rId2509" Type="http://schemas.openxmlformats.org/officeDocument/2006/relationships/image" Target="media/image2501.png"/><Relationship Id="rId2510" Type="http://schemas.openxmlformats.org/officeDocument/2006/relationships/image" Target="media/image2502.png"/><Relationship Id="rId2511" Type="http://schemas.openxmlformats.org/officeDocument/2006/relationships/image" Target="media/image2503.png"/><Relationship Id="rId2512" Type="http://schemas.openxmlformats.org/officeDocument/2006/relationships/image" Target="media/image2504.png"/><Relationship Id="rId2513" Type="http://schemas.openxmlformats.org/officeDocument/2006/relationships/image" Target="media/image2505.png"/><Relationship Id="rId2514" Type="http://schemas.openxmlformats.org/officeDocument/2006/relationships/image" Target="media/image2506.png"/><Relationship Id="rId2515" Type="http://schemas.openxmlformats.org/officeDocument/2006/relationships/image" Target="media/image2507.png"/><Relationship Id="rId2516" Type="http://schemas.openxmlformats.org/officeDocument/2006/relationships/image" Target="media/image2508.png"/><Relationship Id="rId2517" Type="http://schemas.openxmlformats.org/officeDocument/2006/relationships/image" Target="media/image2509.png"/><Relationship Id="rId2518" Type="http://schemas.openxmlformats.org/officeDocument/2006/relationships/image" Target="media/image2510.png"/><Relationship Id="rId2519" Type="http://schemas.openxmlformats.org/officeDocument/2006/relationships/image" Target="media/image2511.png"/><Relationship Id="rId2520" Type="http://schemas.openxmlformats.org/officeDocument/2006/relationships/image" Target="media/image2512.png"/><Relationship Id="rId2521" Type="http://schemas.openxmlformats.org/officeDocument/2006/relationships/image" Target="media/image2513.png"/><Relationship Id="rId2522" Type="http://schemas.openxmlformats.org/officeDocument/2006/relationships/image" Target="media/image2514.png"/><Relationship Id="rId2523" Type="http://schemas.openxmlformats.org/officeDocument/2006/relationships/image" Target="media/image2515.png"/><Relationship Id="rId2524" Type="http://schemas.openxmlformats.org/officeDocument/2006/relationships/image" Target="media/image2516.png"/><Relationship Id="rId2525" Type="http://schemas.openxmlformats.org/officeDocument/2006/relationships/image" Target="media/image2517.png"/><Relationship Id="rId2526" Type="http://schemas.openxmlformats.org/officeDocument/2006/relationships/image" Target="media/image2518.png"/><Relationship Id="rId2527" Type="http://schemas.openxmlformats.org/officeDocument/2006/relationships/image" Target="media/image2519.png"/><Relationship Id="rId2528" Type="http://schemas.openxmlformats.org/officeDocument/2006/relationships/image" Target="media/image2520.png"/><Relationship Id="rId2529" Type="http://schemas.openxmlformats.org/officeDocument/2006/relationships/image" Target="media/image2521.png"/><Relationship Id="rId2530" Type="http://schemas.openxmlformats.org/officeDocument/2006/relationships/image" Target="media/image2522.png"/><Relationship Id="rId2531" Type="http://schemas.openxmlformats.org/officeDocument/2006/relationships/image" Target="media/image2523.png"/><Relationship Id="rId2532" Type="http://schemas.openxmlformats.org/officeDocument/2006/relationships/image" Target="media/image2524.png"/><Relationship Id="rId2533" Type="http://schemas.openxmlformats.org/officeDocument/2006/relationships/image" Target="media/image2525.png"/><Relationship Id="rId2534" Type="http://schemas.openxmlformats.org/officeDocument/2006/relationships/image" Target="media/image2526.png"/><Relationship Id="rId2535" Type="http://schemas.openxmlformats.org/officeDocument/2006/relationships/image" Target="media/image2527.png"/><Relationship Id="rId2536" Type="http://schemas.openxmlformats.org/officeDocument/2006/relationships/image" Target="media/image2528.png"/><Relationship Id="rId2537" Type="http://schemas.openxmlformats.org/officeDocument/2006/relationships/image" Target="media/image2529.png"/><Relationship Id="rId2538" Type="http://schemas.openxmlformats.org/officeDocument/2006/relationships/image" Target="media/image2530.png"/><Relationship Id="rId2539" Type="http://schemas.openxmlformats.org/officeDocument/2006/relationships/image" Target="media/image2531.png"/><Relationship Id="rId2540" Type="http://schemas.openxmlformats.org/officeDocument/2006/relationships/image" Target="media/image2532.png"/><Relationship Id="rId2541" Type="http://schemas.openxmlformats.org/officeDocument/2006/relationships/image" Target="media/image2533.png"/><Relationship Id="rId2542" Type="http://schemas.openxmlformats.org/officeDocument/2006/relationships/image" Target="media/image2534.png"/><Relationship Id="rId2543" Type="http://schemas.openxmlformats.org/officeDocument/2006/relationships/image" Target="media/image2535.png"/><Relationship Id="rId2544" Type="http://schemas.openxmlformats.org/officeDocument/2006/relationships/image" Target="media/image2536.png"/><Relationship Id="rId2545" Type="http://schemas.openxmlformats.org/officeDocument/2006/relationships/image" Target="media/image2537.png"/><Relationship Id="rId2546" Type="http://schemas.openxmlformats.org/officeDocument/2006/relationships/image" Target="media/image2538.png"/><Relationship Id="rId2547" Type="http://schemas.openxmlformats.org/officeDocument/2006/relationships/image" Target="media/image2539.png"/><Relationship Id="rId2548" Type="http://schemas.openxmlformats.org/officeDocument/2006/relationships/image" Target="media/image2540.png"/><Relationship Id="rId2549" Type="http://schemas.openxmlformats.org/officeDocument/2006/relationships/image" Target="media/image2541.png"/><Relationship Id="rId2550" Type="http://schemas.openxmlformats.org/officeDocument/2006/relationships/image" Target="media/image2542.png"/><Relationship Id="rId2551" Type="http://schemas.openxmlformats.org/officeDocument/2006/relationships/image" Target="media/image2543.png"/><Relationship Id="rId2552" Type="http://schemas.openxmlformats.org/officeDocument/2006/relationships/image" Target="media/image2544.png"/><Relationship Id="rId2553" Type="http://schemas.openxmlformats.org/officeDocument/2006/relationships/image" Target="media/image2545.png"/><Relationship Id="rId2554" Type="http://schemas.openxmlformats.org/officeDocument/2006/relationships/image" Target="media/image2546.png"/><Relationship Id="rId2555" Type="http://schemas.openxmlformats.org/officeDocument/2006/relationships/image" Target="media/image2547.png"/><Relationship Id="rId2556" Type="http://schemas.openxmlformats.org/officeDocument/2006/relationships/image" Target="media/image2548.png"/><Relationship Id="rId2557" Type="http://schemas.openxmlformats.org/officeDocument/2006/relationships/image" Target="media/image2549.png"/><Relationship Id="rId2558" Type="http://schemas.openxmlformats.org/officeDocument/2006/relationships/image" Target="media/image2550.png"/><Relationship Id="rId2559" Type="http://schemas.openxmlformats.org/officeDocument/2006/relationships/image" Target="media/image2551.png"/><Relationship Id="rId2560" Type="http://schemas.openxmlformats.org/officeDocument/2006/relationships/image" Target="media/image2552.png"/><Relationship Id="rId2561" Type="http://schemas.openxmlformats.org/officeDocument/2006/relationships/image" Target="media/image2553.png"/><Relationship Id="rId2562" Type="http://schemas.openxmlformats.org/officeDocument/2006/relationships/image" Target="media/image2554.png"/><Relationship Id="rId2563" Type="http://schemas.openxmlformats.org/officeDocument/2006/relationships/image" Target="media/image2555.png"/><Relationship Id="rId2564" Type="http://schemas.openxmlformats.org/officeDocument/2006/relationships/image" Target="media/image2556.png"/><Relationship Id="rId2565" Type="http://schemas.openxmlformats.org/officeDocument/2006/relationships/image" Target="media/image2557.png"/><Relationship Id="rId2566" Type="http://schemas.openxmlformats.org/officeDocument/2006/relationships/image" Target="media/image2558.png"/><Relationship Id="rId2567" Type="http://schemas.openxmlformats.org/officeDocument/2006/relationships/image" Target="media/image2559.png"/><Relationship Id="rId2568" Type="http://schemas.openxmlformats.org/officeDocument/2006/relationships/image" Target="media/image2560.png"/><Relationship Id="rId2569" Type="http://schemas.openxmlformats.org/officeDocument/2006/relationships/image" Target="media/image2561.png"/><Relationship Id="rId2570" Type="http://schemas.openxmlformats.org/officeDocument/2006/relationships/image" Target="media/image2562.png"/><Relationship Id="rId2571" Type="http://schemas.openxmlformats.org/officeDocument/2006/relationships/image" Target="media/image2563.png"/><Relationship Id="rId2572" Type="http://schemas.openxmlformats.org/officeDocument/2006/relationships/image" Target="media/image2564.png"/><Relationship Id="rId2573" Type="http://schemas.openxmlformats.org/officeDocument/2006/relationships/image" Target="media/image2565.png"/><Relationship Id="rId2574" Type="http://schemas.openxmlformats.org/officeDocument/2006/relationships/image" Target="media/image2566.png"/><Relationship Id="rId2575" Type="http://schemas.openxmlformats.org/officeDocument/2006/relationships/image" Target="media/image2567.png"/><Relationship Id="rId2576" Type="http://schemas.openxmlformats.org/officeDocument/2006/relationships/image" Target="media/image2568.png"/><Relationship Id="rId2577" Type="http://schemas.openxmlformats.org/officeDocument/2006/relationships/image" Target="media/image2569.png"/><Relationship Id="rId2578" Type="http://schemas.openxmlformats.org/officeDocument/2006/relationships/image" Target="media/image2570.png"/><Relationship Id="rId2579" Type="http://schemas.openxmlformats.org/officeDocument/2006/relationships/image" Target="media/image2571.png"/><Relationship Id="rId2580" Type="http://schemas.openxmlformats.org/officeDocument/2006/relationships/image" Target="media/image2572.png"/><Relationship Id="rId2581" Type="http://schemas.openxmlformats.org/officeDocument/2006/relationships/image" Target="media/image2573.png"/><Relationship Id="rId2582" Type="http://schemas.openxmlformats.org/officeDocument/2006/relationships/image" Target="media/image2574.png"/><Relationship Id="rId2583" Type="http://schemas.openxmlformats.org/officeDocument/2006/relationships/image" Target="media/image2575.png"/><Relationship Id="rId2584" Type="http://schemas.openxmlformats.org/officeDocument/2006/relationships/image" Target="media/image2576.png"/><Relationship Id="rId2585" Type="http://schemas.openxmlformats.org/officeDocument/2006/relationships/image" Target="media/image2577.png"/><Relationship Id="rId2586" Type="http://schemas.openxmlformats.org/officeDocument/2006/relationships/image" Target="media/image2578.png"/><Relationship Id="rId2587" Type="http://schemas.openxmlformats.org/officeDocument/2006/relationships/image" Target="media/image2579.png"/><Relationship Id="rId2588" Type="http://schemas.openxmlformats.org/officeDocument/2006/relationships/image" Target="media/image2580.png"/><Relationship Id="rId2589" Type="http://schemas.openxmlformats.org/officeDocument/2006/relationships/image" Target="media/image2581.png"/><Relationship Id="rId2590" Type="http://schemas.openxmlformats.org/officeDocument/2006/relationships/image" Target="media/image2582.png"/><Relationship Id="rId2591" Type="http://schemas.openxmlformats.org/officeDocument/2006/relationships/image" Target="media/image2583.png"/><Relationship Id="rId2592" Type="http://schemas.openxmlformats.org/officeDocument/2006/relationships/image" Target="media/image2584.png"/><Relationship Id="rId2593" Type="http://schemas.openxmlformats.org/officeDocument/2006/relationships/image" Target="media/image2585.png"/><Relationship Id="rId2594" Type="http://schemas.openxmlformats.org/officeDocument/2006/relationships/image" Target="media/image2586.png"/><Relationship Id="rId2595" Type="http://schemas.openxmlformats.org/officeDocument/2006/relationships/image" Target="media/image2587.png"/><Relationship Id="rId2596" Type="http://schemas.openxmlformats.org/officeDocument/2006/relationships/image" Target="media/image2588.png"/><Relationship Id="rId2597" Type="http://schemas.openxmlformats.org/officeDocument/2006/relationships/image" Target="media/image2589.png"/><Relationship Id="rId2598" Type="http://schemas.openxmlformats.org/officeDocument/2006/relationships/image" Target="media/image2590.png"/><Relationship Id="rId2599" Type="http://schemas.openxmlformats.org/officeDocument/2006/relationships/image" Target="media/image2591.png"/><Relationship Id="rId2600" Type="http://schemas.openxmlformats.org/officeDocument/2006/relationships/image" Target="media/image2592.png"/><Relationship Id="rId2601" Type="http://schemas.openxmlformats.org/officeDocument/2006/relationships/image" Target="media/image2593.png"/><Relationship Id="rId2602" Type="http://schemas.openxmlformats.org/officeDocument/2006/relationships/image" Target="media/image2594.png"/><Relationship Id="rId2603" Type="http://schemas.openxmlformats.org/officeDocument/2006/relationships/image" Target="media/image2595.png"/><Relationship Id="rId2604" Type="http://schemas.openxmlformats.org/officeDocument/2006/relationships/image" Target="media/image2596.png"/><Relationship Id="rId2605" Type="http://schemas.openxmlformats.org/officeDocument/2006/relationships/image" Target="media/image2597.png"/><Relationship Id="rId2606" Type="http://schemas.openxmlformats.org/officeDocument/2006/relationships/image" Target="media/image2598.png"/><Relationship Id="rId2607" Type="http://schemas.openxmlformats.org/officeDocument/2006/relationships/image" Target="media/image2599.png"/><Relationship Id="rId2608" Type="http://schemas.openxmlformats.org/officeDocument/2006/relationships/image" Target="media/image2600.png"/><Relationship Id="rId2609" Type="http://schemas.openxmlformats.org/officeDocument/2006/relationships/image" Target="media/image2601.png"/><Relationship Id="rId2610" Type="http://schemas.openxmlformats.org/officeDocument/2006/relationships/image" Target="media/image2602.png"/><Relationship Id="rId2611" Type="http://schemas.openxmlformats.org/officeDocument/2006/relationships/image" Target="media/image2603.png"/><Relationship Id="rId2612" Type="http://schemas.openxmlformats.org/officeDocument/2006/relationships/image" Target="media/image2604.png"/><Relationship Id="rId2613" Type="http://schemas.openxmlformats.org/officeDocument/2006/relationships/image" Target="media/image2605.png"/><Relationship Id="rId2614" Type="http://schemas.openxmlformats.org/officeDocument/2006/relationships/image" Target="media/image2606.png"/><Relationship Id="rId2615" Type="http://schemas.openxmlformats.org/officeDocument/2006/relationships/image" Target="media/image2607.png"/><Relationship Id="rId2616" Type="http://schemas.openxmlformats.org/officeDocument/2006/relationships/image" Target="media/image2608.png"/><Relationship Id="rId2617" Type="http://schemas.openxmlformats.org/officeDocument/2006/relationships/image" Target="media/image2609.png"/><Relationship Id="rId2618" Type="http://schemas.openxmlformats.org/officeDocument/2006/relationships/image" Target="media/image2610.png"/><Relationship Id="rId2619" Type="http://schemas.openxmlformats.org/officeDocument/2006/relationships/image" Target="media/image2611.png"/><Relationship Id="rId2620" Type="http://schemas.openxmlformats.org/officeDocument/2006/relationships/image" Target="media/image2612.png"/><Relationship Id="rId2621" Type="http://schemas.openxmlformats.org/officeDocument/2006/relationships/image" Target="media/image2613.png"/><Relationship Id="rId2622" Type="http://schemas.openxmlformats.org/officeDocument/2006/relationships/image" Target="media/image2614.png"/><Relationship Id="rId2623" Type="http://schemas.openxmlformats.org/officeDocument/2006/relationships/image" Target="media/image2615.png"/><Relationship Id="rId2624" Type="http://schemas.openxmlformats.org/officeDocument/2006/relationships/image" Target="media/image2616.png"/><Relationship Id="rId2625" Type="http://schemas.openxmlformats.org/officeDocument/2006/relationships/image" Target="media/image2617.png"/><Relationship Id="rId2626" Type="http://schemas.openxmlformats.org/officeDocument/2006/relationships/image" Target="media/image2618.png"/><Relationship Id="rId2627" Type="http://schemas.openxmlformats.org/officeDocument/2006/relationships/image" Target="media/image2619.png"/><Relationship Id="rId2628" Type="http://schemas.openxmlformats.org/officeDocument/2006/relationships/image" Target="media/image2620.png"/><Relationship Id="rId2629" Type="http://schemas.openxmlformats.org/officeDocument/2006/relationships/image" Target="media/image2621.png"/><Relationship Id="rId2630" Type="http://schemas.openxmlformats.org/officeDocument/2006/relationships/image" Target="media/image2622.png"/><Relationship Id="rId2631" Type="http://schemas.openxmlformats.org/officeDocument/2006/relationships/image" Target="media/image2623.png"/><Relationship Id="rId2632" Type="http://schemas.openxmlformats.org/officeDocument/2006/relationships/image" Target="media/image2624.png"/><Relationship Id="rId2633" Type="http://schemas.openxmlformats.org/officeDocument/2006/relationships/image" Target="media/image2625.png"/><Relationship Id="rId2634" Type="http://schemas.openxmlformats.org/officeDocument/2006/relationships/image" Target="media/image2626.png"/><Relationship Id="rId2635" Type="http://schemas.openxmlformats.org/officeDocument/2006/relationships/image" Target="media/image2627.png"/><Relationship Id="rId2636" Type="http://schemas.openxmlformats.org/officeDocument/2006/relationships/image" Target="media/image2628.png"/><Relationship Id="rId2637" Type="http://schemas.openxmlformats.org/officeDocument/2006/relationships/image" Target="media/image2629.png"/><Relationship Id="rId2638" Type="http://schemas.openxmlformats.org/officeDocument/2006/relationships/image" Target="media/image2630.png"/><Relationship Id="rId2639" Type="http://schemas.openxmlformats.org/officeDocument/2006/relationships/image" Target="media/image2631.png"/><Relationship Id="rId2640" Type="http://schemas.openxmlformats.org/officeDocument/2006/relationships/image" Target="media/image2632.png"/><Relationship Id="rId2641" Type="http://schemas.openxmlformats.org/officeDocument/2006/relationships/image" Target="media/image2633.png"/><Relationship Id="rId2642" Type="http://schemas.openxmlformats.org/officeDocument/2006/relationships/image" Target="media/image2634.png"/><Relationship Id="rId2643" Type="http://schemas.openxmlformats.org/officeDocument/2006/relationships/image" Target="media/image2635.png"/><Relationship Id="rId2644" Type="http://schemas.openxmlformats.org/officeDocument/2006/relationships/image" Target="media/image2636.png"/><Relationship Id="rId2645" Type="http://schemas.openxmlformats.org/officeDocument/2006/relationships/image" Target="media/image2637.png"/><Relationship Id="rId2646" Type="http://schemas.openxmlformats.org/officeDocument/2006/relationships/image" Target="media/image2638.png"/><Relationship Id="rId2647" Type="http://schemas.openxmlformats.org/officeDocument/2006/relationships/image" Target="media/image2639.png"/><Relationship Id="rId2648" Type="http://schemas.openxmlformats.org/officeDocument/2006/relationships/image" Target="media/image2640.png"/><Relationship Id="rId2649" Type="http://schemas.openxmlformats.org/officeDocument/2006/relationships/image" Target="media/image2641.png"/><Relationship Id="rId2650" Type="http://schemas.openxmlformats.org/officeDocument/2006/relationships/image" Target="media/image2642.png"/><Relationship Id="rId2651" Type="http://schemas.openxmlformats.org/officeDocument/2006/relationships/image" Target="media/image2643.png"/><Relationship Id="rId2652" Type="http://schemas.openxmlformats.org/officeDocument/2006/relationships/image" Target="media/image2644.png"/><Relationship Id="rId2653" Type="http://schemas.openxmlformats.org/officeDocument/2006/relationships/image" Target="media/image2645.png"/><Relationship Id="rId2654" Type="http://schemas.openxmlformats.org/officeDocument/2006/relationships/image" Target="media/image2646.png"/><Relationship Id="rId2655" Type="http://schemas.openxmlformats.org/officeDocument/2006/relationships/image" Target="media/image2647.png"/><Relationship Id="rId2656" Type="http://schemas.openxmlformats.org/officeDocument/2006/relationships/image" Target="media/image2648.png"/><Relationship Id="rId2657" Type="http://schemas.openxmlformats.org/officeDocument/2006/relationships/image" Target="media/image2649.png"/><Relationship Id="rId2658" Type="http://schemas.openxmlformats.org/officeDocument/2006/relationships/image" Target="media/image2650.png"/><Relationship Id="rId2659" Type="http://schemas.openxmlformats.org/officeDocument/2006/relationships/image" Target="media/image2651.png"/><Relationship Id="rId2660" Type="http://schemas.openxmlformats.org/officeDocument/2006/relationships/image" Target="media/image2652.png"/><Relationship Id="rId2661" Type="http://schemas.openxmlformats.org/officeDocument/2006/relationships/image" Target="media/image2653.png"/><Relationship Id="rId2662" Type="http://schemas.openxmlformats.org/officeDocument/2006/relationships/image" Target="media/image2654.png"/><Relationship Id="rId2663" Type="http://schemas.openxmlformats.org/officeDocument/2006/relationships/image" Target="media/image2655.png"/><Relationship Id="rId2664" Type="http://schemas.openxmlformats.org/officeDocument/2006/relationships/image" Target="media/image2656.png"/><Relationship Id="rId2665" Type="http://schemas.openxmlformats.org/officeDocument/2006/relationships/image" Target="media/image2657.png"/><Relationship Id="rId2666" Type="http://schemas.openxmlformats.org/officeDocument/2006/relationships/image" Target="media/image2658.png"/><Relationship Id="rId2667" Type="http://schemas.openxmlformats.org/officeDocument/2006/relationships/image" Target="media/image2659.png"/><Relationship Id="rId2668" Type="http://schemas.openxmlformats.org/officeDocument/2006/relationships/image" Target="media/image2660.png"/><Relationship Id="rId2669" Type="http://schemas.openxmlformats.org/officeDocument/2006/relationships/image" Target="media/image2661.png"/><Relationship Id="rId2670" Type="http://schemas.openxmlformats.org/officeDocument/2006/relationships/image" Target="media/image2662.png"/><Relationship Id="rId2671" Type="http://schemas.openxmlformats.org/officeDocument/2006/relationships/image" Target="media/image2663.png"/><Relationship Id="rId2672" Type="http://schemas.openxmlformats.org/officeDocument/2006/relationships/image" Target="media/image2664.png"/><Relationship Id="rId2673" Type="http://schemas.openxmlformats.org/officeDocument/2006/relationships/image" Target="media/image2665.png"/><Relationship Id="rId2674" Type="http://schemas.openxmlformats.org/officeDocument/2006/relationships/image" Target="media/image2666.png"/><Relationship Id="rId2675" Type="http://schemas.openxmlformats.org/officeDocument/2006/relationships/image" Target="media/image2667.png"/><Relationship Id="rId2676" Type="http://schemas.openxmlformats.org/officeDocument/2006/relationships/image" Target="media/image2668.png"/><Relationship Id="rId2677" Type="http://schemas.openxmlformats.org/officeDocument/2006/relationships/image" Target="media/image2669.png"/><Relationship Id="rId2678" Type="http://schemas.openxmlformats.org/officeDocument/2006/relationships/image" Target="media/image2670.png"/><Relationship Id="rId2679" Type="http://schemas.openxmlformats.org/officeDocument/2006/relationships/image" Target="media/image2671.png"/><Relationship Id="rId2680" Type="http://schemas.openxmlformats.org/officeDocument/2006/relationships/image" Target="media/image2672.png"/><Relationship Id="rId2681" Type="http://schemas.openxmlformats.org/officeDocument/2006/relationships/image" Target="media/image2673.png"/><Relationship Id="rId2682" Type="http://schemas.openxmlformats.org/officeDocument/2006/relationships/image" Target="media/image2674.png"/><Relationship Id="rId2683" Type="http://schemas.openxmlformats.org/officeDocument/2006/relationships/image" Target="media/image2675.png"/><Relationship Id="rId2684" Type="http://schemas.openxmlformats.org/officeDocument/2006/relationships/image" Target="media/image2676.png"/><Relationship Id="rId2685" Type="http://schemas.openxmlformats.org/officeDocument/2006/relationships/image" Target="media/image2677.png"/><Relationship Id="rId2686" Type="http://schemas.openxmlformats.org/officeDocument/2006/relationships/image" Target="media/image2678.png"/><Relationship Id="rId2687" Type="http://schemas.openxmlformats.org/officeDocument/2006/relationships/image" Target="media/image2679.png"/><Relationship Id="rId2688" Type="http://schemas.openxmlformats.org/officeDocument/2006/relationships/image" Target="media/image2680.png"/><Relationship Id="rId2689" Type="http://schemas.openxmlformats.org/officeDocument/2006/relationships/image" Target="media/image2681.png"/><Relationship Id="rId2690" Type="http://schemas.openxmlformats.org/officeDocument/2006/relationships/image" Target="media/image2682.png"/><Relationship Id="rId2691" Type="http://schemas.openxmlformats.org/officeDocument/2006/relationships/image" Target="media/image2683.png"/><Relationship Id="rId2692" Type="http://schemas.openxmlformats.org/officeDocument/2006/relationships/image" Target="media/image2684.png"/><Relationship Id="rId2693" Type="http://schemas.openxmlformats.org/officeDocument/2006/relationships/image" Target="media/image2685.png"/><Relationship Id="rId2694" Type="http://schemas.openxmlformats.org/officeDocument/2006/relationships/image" Target="media/image2686.png"/><Relationship Id="rId2695" Type="http://schemas.openxmlformats.org/officeDocument/2006/relationships/image" Target="media/image2687.png"/><Relationship Id="rId2696" Type="http://schemas.openxmlformats.org/officeDocument/2006/relationships/image" Target="media/image2688.png"/><Relationship Id="rId2697" Type="http://schemas.openxmlformats.org/officeDocument/2006/relationships/image" Target="media/image2689.png"/><Relationship Id="rId2698" Type="http://schemas.openxmlformats.org/officeDocument/2006/relationships/image" Target="media/image2690.png"/><Relationship Id="rId2699" Type="http://schemas.openxmlformats.org/officeDocument/2006/relationships/image" Target="media/image2691.png"/><Relationship Id="rId2700" Type="http://schemas.openxmlformats.org/officeDocument/2006/relationships/image" Target="media/image2692.png"/><Relationship Id="rId2701" Type="http://schemas.openxmlformats.org/officeDocument/2006/relationships/image" Target="media/image2693.png"/><Relationship Id="rId2702" Type="http://schemas.openxmlformats.org/officeDocument/2006/relationships/image" Target="media/image2694.png"/><Relationship Id="rId2703" Type="http://schemas.openxmlformats.org/officeDocument/2006/relationships/image" Target="media/image2695.png"/><Relationship Id="rId2704" Type="http://schemas.openxmlformats.org/officeDocument/2006/relationships/image" Target="media/image2696.png"/><Relationship Id="rId2705" Type="http://schemas.openxmlformats.org/officeDocument/2006/relationships/image" Target="media/image2697.png"/><Relationship Id="rId2706" Type="http://schemas.openxmlformats.org/officeDocument/2006/relationships/image" Target="media/image2698.png"/><Relationship Id="rId2707" Type="http://schemas.openxmlformats.org/officeDocument/2006/relationships/image" Target="media/image2699.png"/><Relationship Id="rId2708" Type="http://schemas.openxmlformats.org/officeDocument/2006/relationships/image" Target="media/image2700.png"/><Relationship Id="rId2709" Type="http://schemas.openxmlformats.org/officeDocument/2006/relationships/image" Target="media/image2701.png"/><Relationship Id="rId2710" Type="http://schemas.openxmlformats.org/officeDocument/2006/relationships/image" Target="media/image2702.png"/><Relationship Id="rId2711" Type="http://schemas.openxmlformats.org/officeDocument/2006/relationships/image" Target="media/image2703.png"/><Relationship Id="rId2712" Type="http://schemas.openxmlformats.org/officeDocument/2006/relationships/image" Target="media/image2704.png"/><Relationship Id="rId2713" Type="http://schemas.openxmlformats.org/officeDocument/2006/relationships/image" Target="media/image2705.png"/><Relationship Id="rId2714" Type="http://schemas.openxmlformats.org/officeDocument/2006/relationships/image" Target="media/image2706.png"/><Relationship Id="rId2715" Type="http://schemas.openxmlformats.org/officeDocument/2006/relationships/image" Target="media/image2707.png"/><Relationship Id="rId2716" Type="http://schemas.openxmlformats.org/officeDocument/2006/relationships/image" Target="media/image2708.png"/><Relationship Id="rId2717" Type="http://schemas.openxmlformats.org/officeDocument/2006/relationships/image" Target="media/image2709.png"/><Relationship Id="rId2718" Type="http://schemas.openxmlformats.org/officeDocument/2006/relationships/image" Target="media/image2710.png"/><Relationship Id="rId2719" Type="http://schemas.openxmlformats.org/officeDocument/2006/relationships/image" Target="media/image2711.png"/><Relationship Id="rId2720" Type="http://schemas.openxmlformats.org/officeDocument/2006/relationships/image" Target="media/image2712.png"/><Relationship Id="rId2721" Type="http://schemas.openxmlformats.org/officeDocument/2006/relationships/image" Target="media/image2713.png"/><Relationship Id="rId2722" Type="http://schemas.openxmlformats.org/officeDocument/2006/relationships/image" Target="media/image2714.png"/><Relationship Id="rId2723" Type="http://schemas.openxmlformats.org/officeDocument/2006/relationships/image" Target="media/image2715.png"/><Relationship Id="rId2724" Type="http://schemas.openxmlformats.org/officeDocument/2006/relationships/image" Target="media/image2716.png"/><Relationship Id="rId2725" Type="http://schemas.openxmlformats.org/officeDocument/2006/relationships/image" Target="media/image2717.png"/><Relationship Id="rId2726" Type="http://schemas.openxmlformats.org/officeDocument/2006/relationships/image" Target="media/image2718.png"/><Relationship Id="rId2727" Type="http://schemas.openxmlformats.org/officeDocument/2006/relationships/image" Target="media/image2719.png"/><Relationship Id="rId2728" Type="http://schemas.openxmlformats.org/officeDocument/2006/relationships/image" Target="media/image2720.png"/><Relationship Id="rId2729" Type="http://schemas.openxmlformats.org/officeDocument/2006/relationships/image" Target="media/image2721.png"/><Relationship Id="rId2730" Type="http://schemas.openxmlformats.org/officeDocument/2006/relationships/image" Target="media/image2722.png"/><Relationship Id="rId2731" Type="http://schemas.openxmlformats.org/officeDocument/2006/relationships/image" Target="media/image2723.png"/><Relationship Id="rId2732" Type="http://schemas.openxmlformats.org/officeDocument/2006/relationships/image" Target="media/image2724.png"/><Relationship Id="rId2733" Type="http://schemas.openxmlformats.org/officeDocument/2006/relationships/image" Target="media/image2725.png"/><Relationship Id="rId2734" Type="http://schemas.openxmlformats.org/officeDocument/2006/relationships/image" Target="media/image2726.png"/><Relationship Id="rId2735" Type="http://schemas.openxmlformats.org/officeDocument/2006/relationships/image" Target="media/image2727.png"/><Relationship Id="rId2736" Type="http://schemas.openxmlformats.org/officeDocument/2006/relationships/image" Target="media/image2728.png"/><Relationship Id="rId2737" Type="http://schemas.openxmlformats.org/officeDocument/2006/relationships/image" Target="media/image2729.png"/><Relationship Id="rId2738" Type="http://schemas.openxmlformats.org/officeDocument/2006/relationships/image" Target="media/image2730.png"/><Relationship Id="rId2739" Type="http://schemas.openxmlformats.org/officeDocument/2006/relationships/image" Target="media/image2731.png"/><Relationship Id="rId2740" Type="http://schemas.openxmlformats.org/officeDocument/2006/relationships/image" Target="media/image2732.png"/><Relationship Id="rId2741" Type="http://schemas.openxmlformats.org/officeDocument/2006/relationships/image" Target="media/image2733.png"/><Relationship Id="rId2742" Type="http://schemas.openxmlformats.org/officeDocument/2006/relationships/image" Target="media/image2734.png"/><Relationship Id="rId2743" Type="http://schemas.openxmlformats.org/officeDocument/2006/relationships/image" Target="media/image2735.png"/><Relationship Id="rId2744" Type="http://schemas.openxmlformats.org/officeDocument/2006/relationships/image" Target="media/image2736.png"/><Relationship Id="rId2745" Type="http://schemas.openxmlformats.org/officeDocument/2006/relationships/image" Target="media/image2737.png"/><Relationship Id="rId2746" Type="http://schemas.openxmlformats.org/officeDocument/2006/relationships/image" Target="media/image2738.png"/><Relationship Id="rId2747" Type="http://schemas.openxmlformats.org/officeDocument/2006/relationships/image" Target="media/image2739.png"/><Relationship Id="rId2748" Type="http://schemas.openxmlformats.org/officeDocument/2006/relationships/image" Target="media/image2740.png"/><Relationship Id="rId2749" Type="http://schemas.openxmlformats.org/officeDocument/2006/relationships/image" Target="media/image2741.png"/><Relationship Id="rId2750" Type="http://schemas.openxmlformats.org/officeDocument/2006/relationships/image" Target="media/image2742.png"/><Relationship Id="rId2751" Type="http://schemas.openxmlformats.org/officeDocument/2006/relationships/image" Target="media/image2743.png"/><Relationship Id="rId2752" Type="http://schemas.openxmlformats.org/officeDocument/2006/relationships/image" Target="media/image2744.png"/><Relationship Id="rId2753" Type="http://schemas.openxmlformats.org/officeDocument/2006/relationships/image" Target="media/image2745.png"/><Relationship Id="rId2754" Type="http://schemas.openxmlformats.org/officeDocument/2006/relationships/image" Target="media/image2746.png"/><Relationship Id="rId2755" Type="http://schemas.openxmlformats.org/officeDocument/2006/relationships/image" Target="media/image2747.png"/><Relationship Id="rId2756" Type="http://schemas.openxmlformats.org/officeDocument/2006/relationships/image" Target="media/image2748.png"/><Relationship Id="rId2757" Type="http://schemas.openxmlformats.org/officeDocument/2006/relationships/image" Target="media/image2749.png"/><Relationship Id="rId2758" Type="http://schemas.openxmlformats.org/officeDocument/2006/relationships/image" Target="media/image2750.png"/><Relationship Id="rId2759" Type="http://schemas.openxmlformats.org/officeDocument/2006/relationships/image" Target="media/image2751.png"/><Relationship Id="rId2760" Type="http://schemas.openxmlformats.org/officeDocument/2006/relationships/image" Target="media/image2752.png"/><Relationship Id="rId2761" Type="http://schemas.openxmlformats.org/officeDocument/2006/relationships/image" Target="media/image2753.png"/><Relationship Id="rId2762" Type="http://schemas.openxmlformats.org/officeDocument/2006/relationships/image" Target="media/image2754.png"/><Relationship Id="rId2763" Type="http://schemas.openxmlformats.org/officeDocument/2006/relationships/image" Target="media/image2755.png"/><Relationship Id="rId2764" Type="http://schemas.openxmlformats.org/officeDocument/2006/relationships/image" Target="media/image2756.png"/><Relationship Id="rId2765" Type="http://schemas.openxmlformats.org/officeDocument/2006/relationships/image" Target="media/image2757.png"/><Relationship Id="rId2766" Type="http://schemas.openxmlformats.org/officeDocument/2006/relationships/image" Target="media/image2758.png"/><Relationship Id="rId2767" Type="http://schemas.openxmlformats.org/officeDocument/2006/relationships/image" Target="media/image2759.png"/><Relationship Id="rId2768" Type="http://schemas.openxmlformats.org/officeDocument/2006/relationships/image" Target="media/image2760.png"/><Relationship Id="rId2769" Type="http://schemas.openxmlformats.org/officeDocument/2006/relationships/image" Target="media/image2761.png"/><Relationship Id="rId2770" Type="http://schemas.openxmlformats.org/officeDocument/2006/relationships/image" Target="media/image2762.png"/><Relationship Id="rId2771" Type="http://schemas.openxmlformats.org/officeDocument/2006/relationships/image" Target="media/image2763.png"/><Relationship Id="rId2772" Type="http://schemas.openxmlformats.org/officeDocument/2006/relationships/image" Target="media/image2764.png"/><Relationship Id="rId2773" Type="http://schemas.openxmlformats.org/officeDocument/2006/relationships/image" Target="media/image2765.png"/><Relationship Id="rId2774" Type="http://schemas.openxmlformats.org/officeDocument/2006/relationships/image" Target="media/image2766.png"/><Relationship Id="rId2775" Type="http://schemas.openxmlformats.org/officeDocument/2006/relationships/image" Target="media/image2767.png"/><Relationship Id="rId2776" Type="http://schemas.openxmlformats.org/officeDocument/2006/relationships/image" Target="media/image2768.png"/><Relationship Id="rId2777" Type="http://schemas.openxmlformats.org/officeDocument/2006/relationships/image" Target="media/image2769.png"/><Relationship Id="rId2778" Type="http://schemas.openxmlformats.org/officeDocument/2006/relationships/image" Target="media/image2770.png"/><Relationship Id="rId2779" Type="http://schemas.openxmlformats.org/officeDocument/2006/relationships/image" Target="media/image2771.png"/><Relationship Id="rId2780" Type="http://schemas.openxmlformats.org/officeDocument/2006/relationships/image" Target="media/image2772.png"/><Relationship Id="rId2781" Type="http://schemas.openxmlformats.org/officeDocument/2006/relationships/image" Target="media/image2773.png"/><Relationship Id="rId2782" Type="http://schemas.openxmlformats.org/officeDocument/2006/relationships/image" Target="media/image2774.png"/><Relationship Id="rId2783" Type="http://schemas.openxmlformats.org/officeDocument/2006/relationships/image" Target="media/image2775.png"/><Relationship Id="rId2784" Type="http://schemas.openxmlformats.org/officeDocument/2006/relationships/image" Target="media/image2776.png"/><Relationship Id="rId2785" Type="http://schemas.openxmlformats.org/officeDocument/2006/relationships/image" Target="media/image2777.png"/><Relationship Id="rId2786" Type="http://schemas.openxmlformats.org/officeDocument/2006/relationships/image" Target="media/image2778.png"/><Relationship Id="rId2787" Type="http://schemas.openxmlformats.org/officeDocument/2006/relationships/image" Target="media/image2779.png"/><Relationship Id="rId2788" Type="http://schemas.openxmlformats.org/officeDocument/2006/relationships/image" Target="media/image2780.png"/><Relationship Id="rId2789" Type="http://schemas.openxmlformats.org/officeDocument/2006/relationships/image" Target="media/image2781.png"/><Relationship Id="rId2790" Type="http://schemas.openxmlformats.org/officeDocument/2006/relationships/image" Target="media/image2782.png"/><Relationship Id="rId2791" Type="http://schemas.openxmlformats.org/officeDocument/2006/relationships/image" Target="media/image2783.png"/><Relationship Id="rId2792" Type="http://schemas.openxmlformats.org/officeDocument/2006/relationships/image" Target="media/image2784.png"/><Relationship Id="rId2793" Type="http://schemas.openxmlformats.org/officeDocument/2006/relationships/image" Target="media/image2785.png"/><Relationship Id="rId2794" Type="http://schemas.openxmlformats.org/officeDocument/2006/relationships/image" Target="media/image2786.png"/><Relationship Id="rId2795" Type="http://schemas.openxmlformats.org/officeDocument/2006/relationships/image" Target="media/image2787.png"/><Relationship Id="rId2796" Type="http://schemas.openxmlformats.org/officeDocument/2006/relationships/image" Target="media/image2788.png"/><Relationship Id="rId2797" Type="http://schemas.openxmlformats.org/officeDocument/2006/relationships/image" Target="media/image2789.png"/><Relationship Id="rId2798" Type="http://schemas.openxmlformats.org/officeDocument/2006/relationships/image" Target="media/image2790.png"/><Relationship Id="rId2799" Type="http://schemas.openxmlformats.org/officeDocument/2006/relationships/image" Target="media/image2791.png"/><Relationship Id="rId2800" Type="http://schemas.openxmlformats.org/officeDocument/2006/relationships/image" Target="media/image2792.png"/><Relationship Id="rId2801" Type="http://schemas.openxmlformats.org/officeDocument/2006/relationships/image" Target="media/image2793.png"/><Relationship Id="rId2802" Type="http://schemas.openxmlformats.org/officeDocument/2006/relationships/image" Target="media/image2794.png"/><Relationship Id="rId2803" Type="http://schemas.openxmlformats.org/officeDocument/2006/relationships/image" Target="media/image2795.png"/><Relationship Id="rId2804" Type="http://schemas.openxmlformats.org/officeDocument/2006/relationships/image" Target="media/image2796.png"/><Relationship Id="rId2805" Type="http://schemas.openxmlformats.org/officeDocument/2006/relationships/image" Target="media/image2797.png"/><Relationship Id="rId2806" Type="http://schemas.openxmlformats.org/officeDocument/2006/relationships/image" Target="media/image2798.png"/><Relationship Id="rId2807" Type="http://schemas.openxmlformats.org/officeDocument/2006/relationships/image" Target="media/image2799.png"/><Relationship Id="rId2808" Type="http://schemas.openxmlformats.org/officeDocument/2006/relationships/image" Target="media/image2800.png"/><Relationship Id="rId2809" Type="http://schemas.openxmlformats.org/officeDocument/2006/relationships/image" Target="media/image2801.png"/><Relationship Id="rId2810" Type="http://schemas.openxmlformats.org/officeDocument/2006/relationships/image" Target="media/image2802.png"/><Relationship Id="rId2811" Type="http://schemas.openxmlformats.org/officeDocument/2006/relationships/image" Target="media/image2803.png"/><Relationship Id="rId2812" Type="http://schemas.openxmlformats.org/officeDocument/2006/relationships/image" Target="media/image2804.png"/><Relationship Id="rId2813" Type="http://schemas.openxmlformats.org/officeDocument/2006/relationships/image" Target="media/image2805.png"/><Relationship Id="rId2814" Type="http://schemas.openxmlformats.org/officeDocument/2006/relationships/image" Target="media/image2806.png"/><Relationship Id="rId2815" Type="http://schemas.openxmlformats.org/officeDocument/2006/relationships/image" Target="media/image2807.png"/><Relationship Id="rId2816" Type="http://schemas.openxmlformats.org/officeDocument/2006/relationships/image" Target="media/image2808.png"/><Relationship Id="rId2817" Type="http://schemas.openxmlformats.org/officeDocument/2006/relationships/image" Target="media/image2809.png"/><Relationship Id="rId2818" Type="http://schemas.openxmlformats.org/officeDocument/2006/relationships/image" Target="media/image2810.png"/><Relationship Id="rId2819" Type="http://schemas.openxmlformats.org/officeDocument/2006/relationships/image" Target="media/image2811.png"/><Relationship Id="rId2820" Type="http://schemas.openxmlformats.org/officeDocument/2006/relationships/image" Target="media/image2812.png"/><Relationship Id="rId2821" Type="http://schemas.openxmlformats.org/officeDocument/2006/relationships/image" Target="media/image2813.png"/><Relationship Id="rId2822" Type="http://schemas.openxmlformats.org/officeDocument/2006/relationships/image" Target="media/image2814.png"/><Relationship Id="rId2823" Type="http://schemas.openxmlformats.org/officeDocument/2006/relationships/image" Target="media/image2815.png"/><Relationship Id="rId2824" Type="http://schemas.openxmlformats.org/officeDocument/2006/relationships/image" Target="media/image2816.png"/><Relationship Id="rId2825" Type="http://schemas.openxmlformats.org/officeDocument/2006/relationships/image" Target="media/image2817.png"/><Relationship Id="rId2826" Type="http://schemas.openxmlformats.org/officeDocument/2006/relationships/image" Target="media/image2818.png"/><Relationship Id="rId2827" Type="http://schemas.openxmlformats.org/officeDocument/2006/relationships/image" Target="media/image2819.png"/><Relationship Id="rId2828" Type="http://schemas.openxmlformats.org/officeDocument/2006/relationships/image" Target="media/image2820.png"/><Relationship Id="rId2829" Type="http://schemas.openxmlformats.org/officeDocument/2006/relationships/image" Target="media/image2821.png"/><Relationship Id="rId2830" Type="http://schemas.openxmlformats.org/officeDocument/2006/relationships/image" Target="media/image2822.png"/><Relationship Id="rId2831" Type="http://schemas.openxmlformats.org/officeDocument/2006/relationships/image" Target="media/image2823.png"/><Relationship Id="rId2832" Type="http://schemas.openxmlformats.org/officeDocument/2006/relationships/image" Target="media/image2824.png"/><Relationship Id="rId2833" Type="http://schemas.openxmlformats.org/officeDocument/2006/relationships/image" Target="media/image2825.png"/><Relationship Id="rId2834" Type="http://schemas.openxmlformats.org/officeDocument/2006/relationships/image" Target="media/image2826.png"/><Relationship Id="rId2835" Type="http://schemas.openxmlformats.org/officeDocument/2006/relationships/image" Target="media/image2827.png"/><Relationship Id="rId2836" Type="http://schemas.openxmlformats.org/officeDocument/2006/relationships/image" Target="media/image2828.png"/><Relationship Id="rId2837" Type="http://schemas.openxmlformats.org/officeDocument/2006/relationships/image" Target="media/image2829.png"/><Relationship Id="rId2838" Type="http://schemas.openxmlformats.org/officeDocument/2006/relationships/image" Target="media/image2830.png"/><Relationship Id="rId2839" Type="http://schemas.openxmlformats.org/officeDocument/2006/relationships/image" Target="media/image2831.png"/><Relationship Id="rId2840" Type="http://schemas.openxmlformats.org/officeDocument/2006/relationships/image" Target="media/image2832.png"/><Relationship Id="rId2841" Type="http://schemas.openxmlformats.org/officeDocument/2006/relationships/image" Target="media/image2833.png"/><Relationship Id="rId2842" Type="http://schemas.openxmlformats.org/officeDocument/2006/relationships/image" Target="media/image2834.png"/><Relationship Id="rId2843" Type="http://schemas.openxmlformats.org/officeDocument/2006/relationships/image" Target="media/image2835.png"/><Relationship Id="rId2844" Type="http://schemas.openxmlformats.org/officeDocument/2006/relationships/image" Target="media/image2836.png"/><Relationship Id="rId2845" Type="http://schemas.openxmlformats.org/officeDocument/2006/relationships/image" Target="media/image2837.png"/><Relationship Id="rId2846" Type="http://schemas.openxmlformats.org/officeDocument/2006/relationships/image" Target="media/image2838.png"/><Relationship Id="rId2847" Type="http://schemas.openxmlformats.org/officeDocument/2006/relationships/image" Target="media/image2839.png"/><Relationship Id="rId2848" Type="http://schemas.openxmlformats.org/officeDocument/2006/relationships/image" Target="media/image2840.png"/><Relationship Id="rId2849" Type="http://schemas.openxmlformats.org/officeDocument/2006/relationships/image" Target="media/image2841.png"/><Relationship Id="rId2850" Type="http://schemas.openxmlformats.org/officeDocument/2006/relationships/image" Target="media/image2842.png"/><Relationship Id="rId2851" Type="http://schemas.openxmlformats.org/officeDocument/2006/relationships/image" Target="media/image2843.png"/><Relationship Id="rId2852" Type="http://schemas.openxmlformats.org/officeDocument/2006/relationships/image" Target="media/image2844.png"/><Relationship Id="rId2853" Type="http://schemas.openxmlformats.org/officeDocument/2006/relationships/image" Target="media/image2845.png"/><Relationship Id="rId2854" Type="http://schemas.openxmlformats.org/officeDocument/2006/relationships/image" Target="media/image2846.png"/><Relationship Id="rId2855" Type="http://schemas.openxmlformats.org/officeDocument/2006/relationships/image" Target="media/image2847.png"/><Relationship Id="rId2856" Type="http://schemas.openxmlformats.org/officeDocument/2006/relationships/image" Target="media/image2848.png"/><Relationship Id="rId2857" Type="http://schemas.openxmlformats.org/officeDocument/2006/relationships/image" Target="media/image2849.png"/><Relationship Id="rId2858" Type="http://schemas.openxmlformats.org/officeDocument/2006/relationships/image" Target="media/image2850.png"/><Relationship Id="rId2859" Type="http://schemas.openxmlformats.org/officeDocument/2006/relationships/image" Target="media/image2851.png"/><Relationship Id="rId2860" Type="http://schemas.openxmlformats.org/officeDocument/2006/relationships/image" Target="media/image2852.png"/><Relationship Id="rId2861" Type="http://schemas.openxmlformats.org/officeDocument/2006/relationships/image" Target="media/image2853.png"/><Relationship Id="rId2862" Type="http://schemas.openxmlformats.org/officeDocument/2006/relationships/image" Target="media/image2854.png"/><Relationship Id="rId2863" Type="http://schemas.openxmlformats.org/officeDocument/2006/relationships/image" Target="media/image2855.png"/><Relationship Id="rId2864" Type="http://schemas.openxmlformats.org/officeDocument/2006/relationships/image" Target="media/image2856.png"/><Relationship Id="rId2865" Type="http://schemas.openxmlformats.org/officeDocument/2006/relationships/image" Target="media/image2857.png"/><Relationship Id="rId2866" Type="http://schemas.openxmlformats.org/officeDocument/2006/relationships/image" Target="media/image2858.png"/><Relationship Id="rId2867" Type="http://schemas.openxmlformats.org/officeDocument/2006/relationships/image" Target="media/image2859.png"/><Relationship Id="rId2868" Type="http://schemas.openxmlformats.org/officeDocument/2006/relationships/image" Target="media/image2860.png"/><Relationship Id="rId2869" Type="http://schemas.openxmlformats.org/officeDocument/2006/relationships/image" Target="media/image2861.png"/><Relationship Id="rId2870" Type="http://schemas.openxmlformats.org/officeDocument/2006/relationships/image" Target="media/image2862.png"/><Relationship Id="rId2871" Type="http://schemas.openxmlformats.org/officeDocument/2006/relationships/image" Target="media/image2863.png"/><Relationship Id="rId2872" Type="http://schemas.openxmlformats.org/officeDocument/2006/relationships/image" Target="media/image2864.png"/><Relationship Id="rId2873" Type="http://schemas.openxmlformats.org/officeDocument/2006/relationships/image" Target="media/image2865.png"/><Relationship Id="rId2874" Type="http://schemas.openxmlformats.org/officeDocument/2006/relationships/image" Target="media/image2866.png"/><Relationship Id="rId2875" Type="http://schemas.openxmlformats.org/officeDocument/2006/relationships/image" Target="media/image2867.png"/><Relationship Id="rId2876" Type="http://schemas.openxmlformats.org/officeDocument/2006/relationships/image" Target="media/image2868.png"/><Relationship Id="rId2877" Type="http://schemas.openxmlformats.org/officeDocument/2006/relationships/image" Target="media/image2869.png"/><Relationship Id="rId2878" Type="http://schemas.openxmlformats.org/officeDocument/2006/relationships/image" Target="media/image2870.png"/><Relationship Id="rId2879" Type="http://schemas.openxmlformats.org/officeDocument/2006/relationships/image" Target="media/image2871.png"/><Relationship Id="rId2880" Type="http://schemas.openxmlformats.org/officeDocument/2006/relationships/image" Target="media/image2872.png"/><Relationship Id="rId2881" Type="http://schemas.openxmlformats.org/officeDocument/2006/relationships/image" Target="media/image2873.png"/><Relationship Id="rId2882" Type="http://schemas.openxmlformats.org/officeDocument/2006/relationships/image" Target="media/image2874.png"/><Relationship Id="rId2883" Type="http://schemas.openxmlformats.org/officeDocument/2006/relationships/image" Target="media/image2875.png"/><Relationship Id="rId2884" Type="http://schemas.openxmlformats.org/officeDocument/2006/relationships/image" Target="media/image2876.png"/><Relationship Id="rId2885" Type="http://schemas.openxmlformats.org/officeDocument/2006/relationships/image" Target="media/image2877.png"/><Relationship Id="rId2886" Type="http://schemas.openxmlformats.org/officeDocument/2006/relationships/image" Target="media/image2878.png"/><Relationship Id="rId2887" Type="http://schemas.openxmlformats.org/officeDocument/2006/relationships/image" Target="media/image2879.png"/><Relationship Id="rId2888" Type="http://schemas.openxmlformats.org/officeDocument/2006/relationships/image" Target="media/image2880.png"/><Relationship Id="rId2889" Type="http://schemas.openxmlformats.org/officeDocument/2006/relationships/image" Target="media/image2881.png"/><Relationship Id="rId2890" Type="http://schemas.openxmlformats.org/officeDocument/2006/relationships/image" Target="media/image2882.png"/><Relationship Id="rId2891" Type="http://schemas.openxmlformats.org/officeDocument/2006/relationships/image" Target="media/image2883.png"/><Relationship Id="rId2892" Type="http://schemas.openxmlformats.org/officeDocument/2006/relationships/image" Target="media/image2884.png"/><Relationship Id="rId2893" Type="http://schemas.openxmlformats.org/officeDocument/2006/relationships/image" Target="media/image2885.png"/><Relationship Id="rId2894" Type="http://schemas.openxmlformats.org/officeDocument/2006/relationships/image" Target="media/image2886.png"/><Relationship Id="rId2895" Type="http://schemas.openxmlformats.org/officeDocument/2006/relationships/image" Target="media/image2887.png"/><Relationship Id="rId2896" Type="http://schemas.openxmlformats.org/officeDocument/2006/relationships/image" Target="media/image2888.png"/><Relationship Id="rId2897" Type="http://schemas.openxmlformats.org/officeDocument/2006/relationships/image" Target="media/image2889.png"/><Relationship Id="rId2898" Type="http://schemas.openxmlformats.org/officeDocument/2006/relationships/image" Target="media/image2890.png"/><Relationship Id="rId2899" Type="http://schemas.openxmlformats.org/officeDocument/2006/relationships/image" Target="media/image2891.png"/><Relationship Id="rId2900" Type="http://schemas.openxmlformats.org/officeDocument/2006/relationships/image" Target="media/image2892.png"/><Relationship Id="rId2901" Type="http://schemas.openxmlformats.org/officeDocument/2006/relationships/image" Target="media/image2893.png"/><Relationship Id="rId2902" Type="http://schemas.openxmlformats.org/officeDocument/2006/relationships/image" Target="media/image2894.png"/><Relationship Id="rId2903" Type="http://schemas.openxmlformats.org/officeDocument/2006/relationships/image" Target="media/image2895.png"/><Relationship Id="rId2904" Type="http://schemas.openxmlformats.org/officeDocument/2006/relationships/image" Target="media/image2896.png"/><Relationship Id="rId2905" Type="http://schemas.openxmlformats.org/officeDocument/2006/relationships/image" Target="media/image2897.png"/><Relationship Id="rId2906" Type="http://schemas.openxmlformats.org/officeDocument/2006/relationships/image" Target="media/image2898.png"/><Relationship Id="rId2907" Type="http://schemas.openxmlformats.org/officeDocument/2006/relationships/image" Target="media/image2899.png"/><Relationship Id="rId2908" Type="http://schemas.openxmlformats.org/officeDocument/2006/relationships/image" Target="media/image2900.png"/><Relationship Id="rId2909" Type="http://schemas.openxmlformats.org/officeDocument/2006/relationships/image" Target="media/image2901.png"/><Relationship Id="rId2910" Type="http://schemas.openxmlformats.org/officeDocument/2006/relationships/image" Target="media/image2902.png"/><Relationship Id="rId2911" Type="http://schemas.openxmlformats.org/officeDocument/2006/relationships/image" Target="media/image2903.png"/><Relationship Id="rId2912" Type="http://schemas.openxmlformats.org/officeDocument/2006/relationships/image" Target="media/image2904.png"/><Relationship Id="rId2913" Type="http://schemas.openxmlformats.org/officeDocument/2006/relationships/image" Target="media/image2905.png"/><Relationship Id="rId2914" Type="http://schemas.openxmlformats.org/officeDocument/2006/relationships/image" Target="media/image2906.png"/><Relationship Id="rId2915" Type="http://schemas.openxmlformats.org/officeDocument/2006/relationships/image" Target="media/image2907.png"/><Relationship Id="rId2916" Type="http://schemas.openxmlformats.org/officeDocument/2006/relationships/image" Target="media/image2908.png"/><Relationship Id="rId2917" Type="http://schemas.openxmlformats.org/officeDocument/2006/relationships/image" Target="media/image2909.png"/><Relationship Id="rId2918" Type="http://schemas.openxmlformats.org/officeDocument/2006/relationships/image" Target="media/image2910.png"/><Relationship Id="rId2919" Type="http://schemas.openxmlformats.org/officeDocument/2006/relationships/image" Target="media/image2911.png"/><Relationship Id="rId2920" Type="http://schemas.openxmlformats.org/officeDocument/2006/relationships/image" Target="media/image2912.png"/><Relationship Id="rId2921" Type="http://schemas.openxmlformats.org/officeDocument/2006/relationships/image" Target="media/image2913.png"/><Relationship Id="rId2922" Type="http://schemas.openxmlformats.org/officeDocument/2006/relationships/image" Target="media/image2914.png"/><Relationship Id="rId2923" Type="http://schemas.openxmlformats.org/officeDocument/2006/relationships/image" Target="media/image2915.png"/><Relationship Id="rId2924" Type="http://schemas.openxmlformats.org/officeDocument/2006/relationships/image" Target="media/image2916.png"/><Relationship Id="rId2925" Type="http://schemas.openxmlformats.org/officeDocument/2006/relationships/image" Target="media/image2917.png"/><Relationship Id="rId2926" Type="http://schemas.openxmlformats.org/officeDocument/2006/relationships/image" Target="media/image2918.png"/><Relationship Id="rId2927" Type="http://schemas.openxmlformats.org/officeDocument/2006/relationships/image" Target="media/image2919.png"/><Relationship Id="rId2928" Type="http://schemas.openxmlformats.org/officeDocument/2006/relationships/image" Target="media/image2920.png"/><Relationship Id="rId2929" Type="http://schemas.openxmlformats.org/officeDocument/2006/relationships/image" Target="media/image2921.png"/><Relationship Id="rId2930" Type="http://schemas.openxmlformats.org/officeDocument/2006/relationships/image" Target="media/image2922.png"/><Relationship Id="rId2931" Type="http://schemas.openxmlformats.org/officeDocument/2006/relationships/image" Target="media/image2923.png"/><Relationship Id="rId2932" Type="http://schemas.openxmlformats.org/officeDocument/2006/relationships/image" Target="media/image2924.png"/><Relationship Id="rId2933" Type="http://schemas.openxmlformats.org/officeDocument/2006/relationships/image" Target="media/image2925.png"/><Relationship Id="rId2934" Type="http://schemas.openxmlformats.org/officeDocument/2006/relationships/image" Target="media/image2926.png"/><Relationship Id="rId2935" Type="http://schemas.openxmlformats.org/officeDocument/2006/relationships/image" Target="media/image2927.png"/><Relationship Id="rId2936" Type="http://schemas.openxmlformats.org/officeDocument/2006/relationships/image" Target="media/image2928.png"/><Relationship Id="rId2937" Type="http://schemas.openxmlformats.org/officeDocument/2006/relationships/image" Target="media/image2929.png"/><Relationship Id="rId2938" Type="http://schemas.openxmlformats.org/officeDocument/2006/relationships/image" Target="media/image2930.png"/><Relationship Id="rId2939" Type="http://schemas.openxmlformats.org/officeDocument/2006/relationships/image" Target="media/image2931.png"/><Relationship Id="rId2940" Type="http://schemas.openxmlformats.org/officeDocument/2006/relationships/image" Target="media/image2932.png"/><Relationship Id="rId2941" Type="http://schemas.openxmlformats.org/officeDocument/2006/relationships/image" Target="media/image2933.png"/><Relationship Id="rId2942" Type="http://schemas.openxmlformats.org/officeDocument/2006/relationships/image" Target="media/image2934.png"/><Relationship Id="rId2943" Type="http://schemas.openxmlformats.org/officeDocument/2006/relationships/image" Target="media/image2935.png"/><Relationship Id="rId2944" Type="http://schemas.openxmlformats.org/officeDocument/2006/relationships/image" Target="media/image2936.png"/><Relationship Id="rId2945" Type="http://schemas.openxmlformats.org/officeDocument/2006/relationships/image" Target="media/image2937.png"/><Relationship Id="rId2946" Type="http://schemas.openxmlformats.org/officeDocument/2006/relationships/image" Target="media/image2938.png"/><Relationship Id="rId2947" Type="http://schemas.openxmlformats.org/officeDocument/2006/relationships/image" Target="media/image2939.png"/><Relationship Id="rId2948" Type="http://schemas.openxmlformats.org/officeDocument/2006/relationships/image" Target="media/image2940.png"/><Relationship Id="rId2949" Type="http://schemas.openxmlformats.org/officeDocument/2006/relationships/image" Target="media/image2941.png"/><Relationship Id="rId2950" Type="http://schemas.openxmlformats.org/officeDocument/2006/relationships/image" Target="media/image2942.png"/><Relationship Id="rId2951" Type="http://schemas.openxmlformats.org/officeDocument/2006/relationships/image" Target="media/image2943.png"/><Relationship Id="rId2952" Type="http://schemas.openxmlformats.org/officeDocument/2006/relationships/image" Target="media/image2944.png"/><Relationship Id="rId2953" Type="http://schemas.openxmlformats.org/officeDocument/2006/relationships/image" Target="media/image2945.png"/><Relationship Id="rId2954" Type="http://schemas.openxmlformats.org/officeDocument/2006/relationships/image" Target="media/image2946.png"/><Relationship Id="rId2955" Type="http://schemas.openxmlformats.org/officeDocument/2006/relationships/image" Target="media/image2947.png"/><Relationship Id="rId2956" Type="http://schemas.openxmlformats.org/officeDocument/2006/relationships/image" Target="media/image2948.png"/><Relationship Id="rId2957" Type="http://schemas.openxmlformats.org/officeDocument/2006/relationships/image" Target="media/image2949.png"/><Relationship Id="rId2958" Type="http://schemas.openxmlformats.org/officeDocument/2006/relationships/image" Target="media/image2950.png"/><Relationship Id="rId2959" Type="http://schemas.openxmlformats.org/officeDocument/2006/relationships/image" Target="media/image2951.png"/><Relationship Id="rId2960" Type="http://schemas.openxmlformats.org/officeDocument/2006/relationships/image" Target="media/image2952.png"/><Relationship Id="rId2961" Type="http://schemas.openxmlformats.org/officeDocument/2006/relationships/image" Target="media/image2953.png"/><Relationship Id="rId2962" Type="http://schemas.openxmlformats.org/officeDocument/2006/relationships/image" Target="media/image2954.png"/><Relationship Id="rId2963" Type="http://schemas.openxmlformats.org/officeDocument/2006/relationships/image" Target="media/image2955.png"/><Relationship Id="rId2964" Type="http://schemas.openxmlformats.org/officeDocument/2006/relationships/image" Target="media/image2956.png"/><Relationship Id="rId2965" Type="http://schemas.openxmlformats.org/officeDocument/2006/relationships/image" Target="media/image2957.png"/><Relationship Id="rId2966" Type="http://schemas.openxmlformats.org/officeDocument/2006/relationships/image" Target="media/image2958.png"/><Relationship Id="rId2967" Type="http://schemas.openxmlformats.org/officeDocument/2006/relationships/image" Target="media/image2959.png"/><Relationship Id="rId2968" Type="http://schemas.openxmlformats.org/officeDocument/2006/relationships/image" Target="media/image2960.png"/><Relationship Id="rId2969" Type="http://schemas.openxmlformats.org/officeDocument/2006/relationships/image" Target="media/image2961.png"/><Relationship Id="rId2970" Type="http://schemas.openxmlformats.org/officeDocument/2006/relationships/image" Target="media/image2962.png"/><Relationship Id="rId2971" Type="http://schemas.openxmlformats.org/officeDocument/2006/relationships/image" Target="media/image2963.png"/><Relationship Id="rId2972" Type="http://schemas.openxmlformats.org/officeDocument/2006/relationships/image" Target="media/image2964.png"/><Relationship Id="rId2973" Type="http://schemas.openxmlformats.org/officeDocument/2006/relationships/image" Target="media/image2965.png"/><Relationship Id="rId2974" Type="http://schemas.openxmlformats.org/officeDocument/2006/relationships/image" Target="media/image2966.png"/><Relationship Id="rId2975" Type="http://schemas.openxmlformats.org/officeDocument/2006/relationships/image" Target="media/image2967.png"/><Relationship Id="rId2976" Type="http://schemas.openxmlformats.org/officeDocument/2006/relationships/image" Target="media/image2968.png"/><Relationship Id="rId2977" Type="http://schemas.openxmlformats.org/officeDocument/2006/relationships/image" Target="media/image2969.png"/><Relationship Id="rId2978" Type="http://schemas.openxmlformats.org/officeDocument/2006/relationships/image" Target="media/image2970.png"/><Relationship Id="rId2979" Type="http://schemas.openxmlformats.org/officeDocument/2006/relationships/image" Target="media/image2971.png"/><Relationship Id="rId2980" Type="http://schemas.openxmlformats.org/officeDocument/2006/relationships/image" Target="media/image2972.png"/><Relationship Id="rId2981" Type="http://schemas.openxmlformats.org/officeDocument/2006/relationships/image" Target="media/image2973.png"/><Relationship Id="rId2982" Type="http://schemas.openxmlformats.org/officeDocument/2006/relationships/image" Target="media/image2974.png"/><Relationship Id="rId2983" Type="http://schemas.openxmlformats.org/officeDocument/2006/relationships/image" Target="media/image2975.png"/><Relationship Id="rId2984" Type="http://schemas.openxmlformats.org/officeDocument/2006/relationships/image" Target="media/image2976.png"/><Relationship Id="rId2985" Type="http://schemas.openxmlformats.org/officeDocument/2006/relationships/image" Target="media/image2977.png"/><Relationship Id="rId2986" Type="http://schemas.openxmlformats.org/officeDocument/2006/relationships/image" Target="media/image2978.png"/><Relationship Id="rId2987" Type="http://schemas.openxmlformats.org/officeDocument/2006/relationships/image" Target="media/image2979.png"/><Relationship Id="rId2988" Type="http://schemas.openxmlformats.org/officeDocument/2006/relationships/image" Target="media/image2980.png"/><Relationship Id="rId2989" Type="http://schemas.openxmlformats.org/officeDocument/2006/relationships/image" Target="media/image2981.png"/><Relationship Id="rId2990" Type="http://schemas.openxmlformats.org/officeDocument/2006/relationships/image" Target="media/image2982.png"/><Relationship Id="rId2991" Type="http://schemas.openxmlformats.org/officeDocument/2006/relationships/image" Target="media/image2983.png"/><Relationship Id="rId2992" Type="http://schemas.openxmlformats.org/officeDocument/2006/relationships/image" Target="media/image2984.png"/><Relationship Id="rId2993" Type="http://schemas.openxmlformats.org/officeDocument/2006/relationships/image" Target="media/image2985.png"/><Relationship Id="rId2994" Type="http://schemas.openxmlformats.org/officeDocument/2006/relationships/image" Target="media/image2986.png"/><Relationship Id="rId2995" Type="http://schemas.openxmlformats.org/officeDocument/2006/relationships/image" Target="media/image2987.png"/><Relationship Id="rId2996" Type="http://schemas.openxmlformats.org/officeDocument/2006/relationships/image" Target="media/image2988.png"/><Relationship Id="rId2997" Type="http://schemas.openxmlformats.org/officeDocument/2006/relationships/image" Target="media/image2989.png"/><Relationship Id="rId2998" Type="http://schemas.openxmlformats.org/officeDocument/2006/relationships/image" Target="media/image2990.png"/><Relationship Id="rId2999" Type="http://schemas.openxmlformats.org/officeDocument/2006/relationships/image" Target="media/image2991.png"/><Relationship Id="rId3000" Type="http://schemas.openxmlformats.org/officeDocument/2006/relationships/image" Target="media/image2992.png"/><Relationship Id="rId3001" Type="http://schemas.openxmlformats.org/officeDocument/2006/relationships/image" Target="media/image2993.png"/><Relationship Id="rId3002" Type="http://schemas.openxmlformats.org/officeDocument/2006/relationships/image" Target="media/image2994.png"/><Relationship Id="rId3003" Type="http://schemas.openxmlformats.org/officeDocument/2006/relationships/image" Target="media/image2995.png"/><Relationship Id="rId3004" Type="http://schemas.openxmlformats.org/officeDocument/2006/relationships/image" Target="media/image2996.png"/><Relationship Id="rId3005" Type="http://schemas.openxmlformats.org/officeDocument/2006/relationships/image" Target="media/image2997.png"/><Relationship Id="rId3006" Type="http://schemas.openxmlformats.org/officeDocument/2006/relationships/image" Target="media/image2998.png"/><Relationship Id="rId3007" Type="http://schemas.openxmlformats.org/officeDocument/2006/relationships/image" Target="media/image2999.png"/><Relationship Id="rId3008" Type="http://schemas.openxmlformats.org/officeDocument/2006/relationships/image" Target="media/image3000.png"/><Relationship Id="rId3009" Type="http://schemas.openxmlformats.org/officeDocument/2006/relationships/image" Target="media/image3001.png"/><Relationship Id="rId3010" Type="http://schemas.openxmlformats.org/officeDocument/2006/relationships/image" Target="media/image3002.png"/><Relationship Id="rId3011" Type="http://schemas.openxmlformats.org/officeDocument/2006/relationships/image" Target="media/image3003.png"/><Relationship Id="rId3012" Type="http://schemas.openxmlformats.org/officeDocument/2006/relationships/image" Target="media/image3004.png"/><Relationship Id="rId3013" Type="http://schemas.openxmlformats.org/officeDocument/2006/relationships/image" Target="media/image3005.png"/><Relationship Id="rId3014" Type="http://schemas.openxmlformats.org/officeDocument/2006/relationships/image" Target="media/image3006.png"/><Relationship Id="rId3015" Type="http://schemas.openxmlformats.org/officeDocument/2006/relationships/image" Target="media/image3007.png"/><Relationship Id="rId3016" Type="http://schemas.openxmlformats.org/officeDocument/2006/relationships/image" Target="media/image3008.png"/><Relationship Id="rId3017" Type="http://schemas.openxmlformats.org/officeDocument/2006/relationships/image" Target="media/image3009.png"/><Relationship Id="rId3018" Type="http://schemas.openxmlformats.org/officeDocument/2006/relationships/image" Target="media/image3010.png"/><Relationship Id="rId3019" Type="http://schemas.openxmlformats.org/officeDocument/2006/relationships/image" Target="media/image3011.png"/><Relationship Id="rId3020" Type="http://schemas.openxmlformats.org/officeDocument/2006/relationships/image" Target="media/image3012.png"/><Relationship Id="rId3021" Type="http://schemas.openxmlformats.org/officeDocument/2006/relationships/image" Target="media/image3013.png"/><Relationship Id="rId3022" Type="http://schemas.openxmlformats.org/officeDocument/2006/relationships/image" Target="media/image3014.png"/><Relationship Id="rId3023" Type="http://schemas.openxmlformats.org/officeDocument/2006/relationships/image" Target="media/image3015.png"/><Relationship Id="rId3024" Type="http://schemas.openxmlformats.org/officeDocument/2006/relationships/image" Target="media/image3016.png"/><Relationship Id="rId3025" Type="http://schemas.openxmlformats.org/officeDocument/2006/relationships/image" Target="media/image3017.png"/><Relationship Id="rId3026" Type="http://schemas.openxmlformats.org/officeDocument/2006/relationships/image" Target="media/image3018.png"/><Relationship Id="rId3027" Type="http://schemas.openxmlformats.org/officeDocument/2006/relationships/image" Target="media/image3019.png"/><Relationship Id="rId3028" Type="http://schemas.openxmlformats.org/officeDocument/2006/relationships/image" Target="media/image3020.png"/><Relationship Id="rId3029" Type="http://schemas.openxmlformats.org/officeDocument/2006/relationships/image" Target="media/image3021.png"/><Relationship Id="rId3030" Type="http://schemas.openxmlformats.org/officeDocument/2006/relationships/image" Target="media/image3022.png"/><Relationship Id="rId3031" Type="http://schemas.openxmlformats.org/officeDocument/2006/relationships/image" Target="media/image3023.png"/><Relationship Id="rId3032" Type="http://schemas.openxmlformats.org/officeDocument/2006/relationships/image" Target="media/image3024.png"/><Relationship Id="rId3033" Type="http://schemas.openxmlformats.org/officeDocument/2006/relationships/image" Target="media/image3025.png"/><Relationship Id="rId3034" Type="http://schemas.openxmlformats.org/officeDocument/2006/relationships/image" Target="media/image3026.png"/><Relationship Id="rId3035" Type="http://schemas.openxmlformats.org/officeDocument/2006/relationships/image" Target="media/image3027.png"/><Relationship Id="rId3036" Type="http://schemas.openxmlformats.org/officeDocument/2006/relationships/image" Target="media/image3028.png"/><Relationship Id="rId3037" Type="http://schemas.openxmlformats.org/officeDocument/2006/relationships/image" Target="media/image3029.png"/><Relationship Id="rId3038" Type="http://schemas.openxmlformats.org/officeDocument/2006/relationships/image" Target="media/image3030.png"/><Relationship Id="rId3039" Type="http://schemas.openxmlformats.org/officeDocument/2006/relationships/image" Target="media/image3031.png"/><Relationship Id="rId3040" Type="http://schemas.openxmlformats.org/officeDocument/2006/relationships/image" Target="media/image3032.png"/><Relationship Id="rId3041" Type="http://schemas.openxmlformats.org/officeDocument/2006/relationships/image" Target="media/image3033.png"/><Relationship Id="rId3042" Type="http://schemas.openxmlformats.org/officeDocument/2006/relationships/image" Target="media/image3034.png"/><Relationship Id="rId3043" Type="http://schemas.openxmlformats.org/officeDocument/2006/relationships/image" Target="media/image3035.png"/><Relationship Id="rId3044" Type="http://schemas.openxmlformats.org/officeDocument/2006/relationships/image" Target="media/image3036.png"/><Relationship Id="rId3045" Type="http://schemas.openxmlformats.org/officeDocument/2006/relationships/image" Target="media/image3037.png"/><Relationship Id="rId3046" Type="http://schemas.openxmlformats.org/officeDocument/2006/relationships/image" Target="media/image3038.png"/><Relationship Id="rId3047" Type="http://schemas.openxmlformats.org/officeDocument/2006/relationships/image" Target="media/image3039.png"/><Relationship Id="rId3048" Type="http://schemas.openxmlformats.org/officeDocument/2006/relationships/image" Target="media/image3040.png"/><Relationship Id="rId3049" Type="http://schemas.openxmlformats.org/officeDocument/2006/relationships/image" Target="media/image3041.png"/><Relationship Id="rId3050" Type="http://schemas.openxmlformats.org/officeDocument/2006/relationships/image" Target="media/image3042.png"/><Relationship Id="rId3051" Type="http://schemas.openxmlformats.org/officeDocument/2006/relationships/image" Target="media/image3043.png"/><Relationship Id="rId3052" Type="http://schemas.openxmlformats.org/officeDocument/2006/relationships/image" Target="media/image3044.png"/><Relationship Id="rId3053" Type="http://schemas.openxmlformats.org/officeDocument/2006/relationships/image" Target="media/image3045.png"/><Relationship Id="rId3054" Type="http://schemas.openxmlformats.org/officeDocument/2006/relationships/image" Target="media/image3046.png"/><Relationship Id="rId3055" Type="http://schemas.openxmlformats.org/officeDocument/2006/relationships/image" Target="media/image3047.png"/><Relationship Id="rId3056" Type="http://schemas.openxmlformats.org/officeDocument/2006/relationships/image" Target="media/image3048.png"/><Relationship Id="rId3057" Type="http://schemas.openxmlformats.org/officeDocument/2006/relationships/image" Target="media/image3049.png"/><Relationship Id="rId3058" Type="http://schemas.openxmlformats.org/officeDocument/2006/relationships/image" Target="media/image3050.png"/><Relationship Id="rId3059" Type="http://schemas.openxmlformats.org/officeDocument/2006/relationships/image" Target="media/image3051.png"/><Relationship Id="rId3060" Type="http://schemas.openxmlformats.org/officeDocument/2006/relationships/image" Target="media/image3052.png"/><Relationship Id="rId3061" Type="http://schemas.openxmlformats.org/officeDocument/2006/relationships/image" Target="media/image3053.png"/><Relationship Id="rId3062" Type="http://schemas.openxmlformats.org/officeDocument/2006/relationships/image" Target="media/image3054.png"/><Relationship Id="rId3063" Type="http://schemas.openxmlformats.org/officeDocument/2006/relationships/image" Target="media/image3055.png"/><Relationship Id="rId3064" Type="http://schemas.openxmlformats.org/officeDocument/2006/relationships/image" Target="media/image3056.png"/><Relationship Id="rId3065" Type="http://schemas.openxmlformats.org/officeDocument/2006/relationships/image" Target="media/image3057.png"/><Relationship Id="rId3066" Type="http://schemas.openxmlformats.org/officeDocument/2006/relationships/image" Target="media/image3058.png"/><Relationship Id="rId3067" Type="http://schemas.openxmlformats.org/officeDocument/2006/relationships/image" Target="media/image3059.png"/><Relationship Id="rId3068" Type="http://schemas.openxmlformats.org/officeDocument/2006/relationships/image" Target="media/image3060.png"/><Relationship Id="rId3069" Type="http://schemas.openxmlformats.org/officeDocument/2006/relationships/image" Target="media/image3061.png"/><Relationship Id="rId3070" Type="http://schemas.openxmlformats.org/officeDocument/2006/relationships/image" Target="media/image3062.png"/><Relationship Id="rId3071" Type="http://schemas.openxmlformats.org/officeDocument/2006/relationships/image" Target="media/image3063.png"/><Relationship Id="rId3072" Type="http://schemas.openxmlformats.org/officeDocument/2006/relationships/image" Target="media/image3064.png"/><Relationship Id="rId3073" Type="http://schemas.openxmlformats.org/officeDocument/2006/relationships/image" Target="media/image3065.png"/><Relationship Id="rId3074" Type="http://schemas.openxmlformats.org/officeDocument/2006/relationships/image" Target="media/image3066.png"/><Relationship Id="rId3075" Type="http://schemas.openxmlformats.org/officeDocument/2006/relationships/image" Target="media/image3067.png"/><Relationship Id="rId3076" Type="http://schemas.openxmlformats.org/officeDocument/2006/relationships/image" Target="media/image3068.png"/><Relationship Id="rId3077" Type="http://schemas.openxmlformats.org/officeDocument/2006/relationships/image" Target="media/image3069.png"/><Relationship Id="rId3078" Type="http://schemas.openxmlformats.org/officeDocument/2006/relationships/image" Target="media/image3070.png"/><Relationship Id="rId3079" Type="http://schemas.openxmlformats.org/officeDocument/2006/relationships/image" Target="media/image3071.png"/><Relationship Id="rId3080" Type="http://schemas.openxmlformats.org/officeDocument/2006/relationships/image" Target="media/image3072.png"/><Relationship Id="rId3081" Type="http://schemas.openxmlformats.org/officeDocument/2006/relationships/image" Target="media/image3073.png"/><Relationship Id="rId3082" Type="http://schemas.openxmlformats.org/officeDocument/2006/relationships/image" Target="media/image3074.png"/><Relationship Id="rId3083" Type="http://schemas.openxmlformats.org/officeDocument/2006/relationships/image" Target="media/image3075.png"/><Relationship Id="rId3084" Type="http://schemas.openxmlformats.org/officeDocument/2006/relationships/image" Target="media/image3076.png"/><Relationship Id="rId3085" Type="http://schemas.openxmlformats.org/officeDocument/2006/relationships/image" Target="media/image3077.png"/><Relationship Id="rId3086" Type="http://schemas.openxmlformats.org/officeDocument/2006/relationships/image" Target="media/image3078.png"/><Relationship Id="rId3087" Type="http://schemas.openxmlformats.org/officeDocument/2006/relationships/image" Target="media/image3079.png"/><Relationship Id="rId3088" Type="http://schemas.openxmlformats.org/officeDocument/2006/relationships/image" Target="media/image3080.png"/><Relationship Id="rId3089" Type="http://schemas.openxmlformats.org/officeDocument/2006/relationships/image" Target="media/image3081.png"/><Relationship Id="rId3090" Type="http://schemas.openxmlformats.org/officeDocument/2006/relationships/image" Target="media/image3082.png"/><Relationship Id="rId3091" Type="http://schemas.openxmlformats.org/officeDocument/2006/relationships/image" Target="media/image3083.png"/><Relationship Id="rId3092" Type="http://schemas.openxmlformats.org/officeDocument/2006/relationships/image" Target="media/image3084.png"/><Relationship Id="rId3093" Type="http://schemas.openxmlformats.org/officeDocument/2006/relationships/image" Target="media/image3085.png"/><Relationship Id="rId3094" Type="http://schemas.openxmlformats.org/officeDocument/2006/relationships/image" Target="media/image3086.png"/><Relationship Id="rId3095" Type="http://schemas.openxmlformats.org/officeDocument/2006/relationships/image" Target="media/image3087.png"/><Relationship Id="rId3096" Type="http://schemas.openxmlformats.org/officeDocument/2006/relationships/image" Target="media/image3088.png"/><Relationship Id="rId3097" Type="http://schemas.openxmlformats.org/officeDocument/2006/relationships/image" Target="media/image3089.png"/><Relationship Id="rId3098" Type="http://schemas.openxmlformats.org/officeDocument/2006/relationships/image" Target="media/image3090.png"/><Relationship Id="rId3099" Type="http://schemas.openxmlformats.org/officeDocument/2006/relationships/image" Target="media/image3091.png"/><Relationship Id="rId3100" Type="http://schemas.openxmlformats.org/officeDocument/2006/relationships/image" Target="media/image3092.png"/><Relationship Id="rId3101" Type="http://schemas.openxmlformats.org/officeDocument/2006/relationships/image" Target="media/image3093.png"/><Relationship Id="rId3102" Type="http://schemas.openxmlformats.org/officeDocument/2006/relationships/image" Target="media/image3094.png"/><Relationship Id="rId3103" Type="http://schemas.openxmlformats.org/officeDocument/2006/relationships/image" Target="media/image3095.png"/><Relationship Id="rId3104" Type="http://schemas.openxmlformats.org/officeDocument/2006/relationships/image" Target="media/image3096.png"/><Relationship Id="rId3105" Type="http://schemas.openxmlformats.org/officeDocument/2006/relationships/image" Target="media/image3097.png"/><Relationship Id="rId3106" Type="http://schemas.openxmlformats.org/officeDocument/2006/relationships/image" Target="media/image3098.png"/><Relationship Id="rId3107" Type="http://schemas.openxmlformats.org/officeDocument/2006/relationships/image" Target="media/image3099.png"/><Relationship Id="rId3108" Type="http://schemas.openxmlformats.org/officeDocument/2006/relationships/image" Target="media/image3100.png"/><Relationship Id="rId3109" Type="http://schemas.openxmlformats.org/officeDocument/2006/relationships/image" Target="media/image3101.png"/><Relationship Id="rId3110" Type="http://schemas.openxmlformats.org/officeDocument/2006/relationships/image" Target="media/image3102.png"/><Relationship Id="rId3111" Type="http://schemas.openxmlformats.org/officeDocument/2006/relationships/image" Target="media/image3103.png"/><Relationship Id="rId3112" Type="http://schemas.openxmlformats.org/officeDocument/2006/relationships/image" Target="media/image3104.png"/><Relationship Id="rId3113" Type="http://schemas.openxmlformats.org/officeDocument/2006/relationships/image" Target="media/image3105.png"/><Relationship Id="rId3114" Type="http://schemas.openxmlformats.org/officeDocument/2006/relationships/image" Target="media/image3106.png"/><Relationship Id="rId3115" Type="http://schemas.openxmlformats.org/officeDocument/2006/relationships/image" Target="media/image3107.png"/><Relationship Id="rId3116" Type="http://schemas.openxmlformats.org/officeDocument/2006/relationships/image" Target="media/image3108.png"/><Relationship Id="rId3117" Type="http://schemas.openxmlformats.org/officeDocument/2006/relationships/image" Target="media/image3109.png"/><Relationship Id="rId3118" Type="http://schemas.openxmlformats.org/officeDocument/2006/relationships/image" Target="media/image3110.png"/><Relationship Id="rId3119" Type="http://schemas.openxmlformats.org/officeDocument/2006/relationships/image" Target="media/image3111.png"/><Relationship Id="rId3120" Type="http://schemas.openxmlformats.org/officeDocument/2006/relationships/image" Target="media/image3112.png"/><Relationship Id="rId3121" Type="http://schemas.openxmlformats.org/officeDocument/2006/relationships/image" Target="media/image3113.png"/><Relationship Id="rId3122" Type="http://schemas.openxmlformats.org/officeDocument/2006/relationships/image" Target="media/image3114.png"/><Relationship Id="rId3123" Type="http://schemas.openxmlformats.org/officeDocument/2006/relationships/image" Target="media/image3115.png"/><Relationship Id="rId3124" Type="http://schemas.openxmlformats.org/officeDocument/2006/relationships/image" Target="media/image3116.png"/><Relationship Id="rId3125" Type="http://schemas.openxmlformats.org/officeDocument/2006/relationships/image" Target="media/image3117.png"/><Relationship Id="rId3126" Type="http://schemas.openxmlformats.org/officeDocument/2006/relationships/image" Target="media/image3118.png"/><Relationship Id="rId3127" Type="http://schemas.openxmlformats.org/officeDocument/2006/relationships/image" Target="media/image3119.png"/><Relationship Id="rId3128" Type="http://schemas.openxmlformats.org/officeDocument/2006/relationships/image" Target="media/image3120.png"/><Relationship Id="rId3129" Type="http://schemas.openxmlformats.org/officeDocument/2006/relationships/image" Target="media/image3121.png"/><Relationship Id="rId3130" Type="http://schemas.openxmlformats.org/officeDocument/2006/relationships/image" Target="media/image3122.png"/><Relationship Id="rId3131" Type="http://schemas.openxmlformats.org/officeDocument/2006/relationships/image" Target="media/image3123.png"/><Relationship Id="rId3132" Type="http://schemas.openxmlformats.org/officeDocument/2006/relationships/image" Target="media/image3124.png"/><Relationship Id="rId3133" Type="http://schemas.openxmlformats.org/officeDocument/2006/relationships/image" Target="media/image3125.png"/><Relationship Id="rId3134" Type="http://schemas.openxmlformats.org/officeDocument/2006/relationships/image" Target="media/image3126.png"/><Relationship Id="rId3135" Type="http://schemas.openxmlformats.org/officeDocument/2006/relationships/image" Target="media/image3127.png"/><Relationship Id="rId3136" Type="http://schemas.openxmlformats.org/officeDocument/2006/relationships/image" Target="media/image3128.png"/><Relationship Id="rId3137" Type="http://schemas.openxmlformats.org/officeDocument/2006/relationships/image" Target="media/image3129.png"/><Relationship Id="rId3138" Type="http://schemas.openxmlformats.org/officeDocument/2006/relationships/image" Target="media/image3130.png"/><Relationship Id="rId3139" Type="http://schemas.openxmlformats.org/officeDocument/2006/relationships/image" Target="media/image3131.png"/><Relationship Id="rId3140" Type="http://schemas.openxmlformats.org/officeDocument/2006/relationships/image" Target="media/image3132.png"/><Relationship Id="rId3141" Type="http://schemas.openxmlformats.org/officeDocument/2006/relationships/image" Target="media/image3133.png"/><Relationship Id="rId3142" Type="http://schemas.openxmlformats.org/officeDocument/2006/relationships/image" Target="media/image3134.png"/><Relationship Id="rId3143" Type="http://schemas.openxmlformats.org/officeDocument/2006/relationships/image" Target="media/image3135.png"/><Relationship Id="rId3144" Type="http://schemas.openxmlformats.org/officeDocument/2006/relationships/image" Target="media/image3136.png"/><Relationship Id="rId3145" Type="http://schemas.openxmlformats.org/officeDocument/2006/relationships/image" Target="media/image3137.png"/><Relationship Id="rId3146" Type="http://schemas.openxmlformats.org/officeDocument/2006/relationships/image" Target="media/image3138.png"/><Relationship Id="rId3147" Type="http://schemas.openxmlformats.org/officeDocument/2006/relationships/image" Target="media/image3139.png"/><Relationship Id="rId3148" Type="http://schemas.openxmlformats.org/officeDocument/2006/relationships/image" Target="media/image3140.png"/><Relationship Id="rId3149" Type="http://schemas.openxmlformats.org/officeDocument/2006/relationships/image" Target="media/image3141.png"/><Relationship Id="rId3150" Type="http://schemas.openxmlformats.org/officeDocument/2006/relationships/image" Target="media/image3142.png"/><Relationship Id="rId3151" Type="http://schemas.openxmlformats.org/officeDocument/2006/relationships/image" Target="media/image3143.png"/><Relationship Id="rId3152" Type="http://schemas.openxmlformats.org/officeDocument/2006/relationships/image" Target="media/image3144.png"/><Relationship Id="rId3153" Type="http://schemas.openxmlformats.org/officeDocument/2006/relationships/image" Target="media/image3145.png"/><Relationship Id="rId3154" Type="http://schemas.openxmlformats.org/officeDocument/2006/relationships/image" Target="media/image3146.png"/><Relationship Id="rId3155" Type="http://schemas.openxmlformats.org/officeDocument/2006/relationships/image" Target="media/image3147.png"/><Relationship Id="rId3156" Type="http://schemas.openxmlformats.org/officeDocument/2006/relationships/image" Target="media/image3148.png"/><Relationship Id="rId3157" Type="http://schemas.openxmlformats.org/officeDocument/2006/relationships/image" Target="media/image3149.png"/><Relationship Id="rId3158" Type="http://schemas.openxmlformats.org/officeDocument/2006/relationships/image" Target="media/image3150.png"/><Relationship Id="rId3159" Type="http://schemas.openxmlformats.org/officeDocument/2006/relationships/image" Target="media/image3151.png"/><Relationship Id="rId3160" Type="http://schemas.openxmlformats.org/officeDocument/2006/relationships/image" Target="media/image3152.png"/><Relationship Id="rId3161" Type="http://schemas.openxmlformats.org/officeDocument/2006/relationships/image" Target="media/image3153.png"/><Relationship Id="rId3162" Type="http://schemas.openxmlformats.org/officeDocument/2006/relationships/image" Target="media/image3154.png"/><Relationship Id="rId3163" Type="http://schemas.openxmlformats.org/officeDocument/2006/relationships/image" Target="media/image3155.png"/><Relationship Id="rId3164" Type="http://schemas.openxmlformats.org/officeDocument/2006/relationships/image" Target="media/image3156.png"/><Relationship Id="rId3165" Type="http://schemas.openxmlformats.org/officeDocument/2006/relationships/image" Target="media/image3157.png"/><Relationship Id="rId3166" Type="http://schemas.openxmlformats.org/officeDocument/2006/relationships/image" Target="media/image3158.png"/><Relationship Id="rId3167" Type="http://schemas.openxmlformats.org/officeDocument/2006/relationships/image" Target="media/image3159.png"/><Relationship Id="rId3168" Type="http://schemas.openxmlformats.org/officeDocument/2006/relationships/image" Target="media/image3160.png"/><Relationship Id="rId3169" Type="http://schemas.openxmlformats.org/officeDocument/2006/relationships/image" Target="media/image3161.png"/><Relationship Id="rId3170" Type="http://schemas.openxmlformats.org/officeDocument/2006/relationships/image" Target="media/image3162.png"/><Relationship Id="rId3171" Type="http://schemas.openxmlformats.org/officeDocument/2006/relationships/image" Target="media/image3163.png"/><Relationship Id="rId3172" Type="http://schemas.openxmlformats.org/officeDocument/2006/relationships/image" Target="media/image3164.png"/><Relationship Id="rId3173" Type="http://schemas.openxmlformats.org/officeDocument/2006/relationships/image" Target="media/image3165.png"/><Relationship Id="rId3174" Type="http://schemas.openxmlformats.org/officeDocument/2006/relationships/image" Target="media/image3166.png"/><Relationship Id="rId3175" Type="http://schemas.openxmlformats.org/officeDocument/2006/relationships/image" Target="media/image3167.png"/><Relationship Id="rId3176" Type="http://schemas.openxmlformats.org/officeDocument/2006/relationships/image" Target="media/image3168.png"/><Relationship Id="rId3177" Type="http://schemas.openxmlformats.org/officeDocument/2006/relationships/image" Target="media/image3169.png"/><Relationship Id="rId3178" Type="http://schemas.openxmlformats.org/officeDocument/2006/relationships/image" Target="media/image3170.png"/><Relationship Id="rId3179" Type="http://schemas.openxmlformats.org/officeDocument/2006/relationships/image" Target="media/image3171.png"/><Relationship Id="rId3180" Type="http://schemas.openxmlformats.org/officeDocument/2006/relationships/image" Target="media/image3172.png"/><Relationship Id="rId3181" Type="http://schemas.openxmlformats.org/officeDocument/2006/relationships/image" Target="media/image3173.png"/><Relationship Id="rId3182" Type="http://schemas.openxmlformats.org/officeDocument/2006/relationships/image" Target="media/image3174.png"/><Relationship Id="rId3183" Type="http://schemas.openxmlformats.org/officeDocument/2006/relationships/image" Target="media/image3175.png"/><Relationship Id="rId3184" Type="http://schemas.openxmlformats.org/officeDocument/2006/relationships/image" Target="media/image3176.png"/><Relationship Id="rId3185" Type="http://schemas.openxmlformats.org/officeDocument/2006/relationships/image" Target="media/image3177.png"/><Relationship Id="rId3186" Type="http://schemas.openxmlformats.org/officeDocument/2006/relationships/image" Target="media/image3178.png"/><Relationship Id="rId3187" Type="http://schemas.openxmlformats.org/officeDocument/2006/relationships/image" Target="media/image3179.png"/><Relationship Id="rId3188" Type="http://schemas.openxmlformats.org/officeDocument/2006/relationships/image" Target="media/image3180.png"/><Relationship Id="rId3189" Type="http://schemas.openxmlformats.org/officeDocument/2006/relationships/image" Target="media/image3181.png"/><Relationship Id="rId3190" Type="http://schemas.openxmlformats.org/officeDocument/2006/relationships/image" Target="media/image3182.png"/><Relationship Id="rId3191" Type="http://schemas.openxmlformats.org/officeDocument/2006/relationships/image" Target="media/image3183.png"/><Relationship Id="rId3192" Type="http://schemas.openxmlformats.org/officeDocument/2006/relationships/image" Target="media/image3184.png"/><Relationship Id="rId3193" Type="http://schemas.openxmlformats.org/officeDocument/2006/relationships/image" Target="media/image3185.png"/><Relationship Id="rId3194" Type="http://schemas.openxmlformats.org/officeDocument/2006/relationships/image" Target="media/image3186.png"/><Relationship Id="rId3195" Type="http://schemas.openxmlformats.org/officeDocument/2006/relationships/image" Target="media/image3187.png"/><Relationship Id="rId3196" Type="http://schemas.openxmlformats.org/officeDocument/2006/relationships/image" Target="media/image3188.png"/><Relationship Id="rId3197" Type="http://schemas.openxmlformats.org/officeDocument/2006/relationships/image" Target="media/image3189.png"/><Relationship Id="rId3198" Type="http://schemas.openxmlformats.org/officeDocument/2006/relationships/image" Target="media/image3190.png"/><Relationship Id="rId3199" Type="http://schemas.openxmlformats.org/officeDocument/2006/relationships/image" Target="media/image3191.png"/><Relationship Id="rId3200" Type="http://schemas.openxmlformats.org/officeDocument/2006/relationships/image" Target="media/image3192.png"/><Relationship Id="rId3201" Type="http://schemas.openxmlformats.org/officeDocument/2006/relationships/image" Target="media/image3193.png"/><Relationship Id="rId3202" Type="http://schemas.openxmlformats.org/officeDocument/2006/relationships/image" Target="media/image3194.png"/><Relationship Id="rId3203" Type="http://schemas.openxmlformats.org/officeDocument/2006/relationships/image" Target="media/image3195.png"/><Relationship Id="rId3204" Type="http://schemas.openxmlformats.org/officeDocument/2006/relationships/image" Target="media/image3196.png"/><Relationship Id="rId3205" Type="http://schemas.openxmlformats.org/officeDocument/2006/relationships/image" Target="media/image3197.png"/><Relationship Id="rId3206" Type="http://schemas.openxmlformats.org/officeDocument/2006/relationships/image" Target="media/image3198.png"/><Relationship Id="rId3207" Type="http://schemas.openxmlformats.org/officeDocument/2006/relationships/image" Target="media/image3199.png"/><Relationship Id="rId3208" Type="http://schemas.openxmlformats.org/officeDocument/2006/relationships/image" Target="media/image3200.png"/><Relationship Id="rId3209" Type="http://schemas.openxmlformats.org/officeDocument/2006/relationships/image" Target="media/image3201.png"/><Relationship Id="rId3210" Type="http://schemas.openxmlformats.org/officeDocument/2006/relationships/image" Target="media/image3202.png"/><Relationship Id="rId3211" Type="http://schemas.openxmlformats.org/officeDocument/2006/relationships/image" Target="media/image3203.png"/><Relationship Id="rId3212" Type="http://schemas.openxmlformats.org/officeDocument/2006/relationships/image" Target="media/image3204.png"/><Relationship Id="rId3213" Type="http://schemas.openxmlformats.org/officeDocument/2006/relationships/image" Target="media/image3205.png"/><Relationship Id="rId3214" Type="http://schemas.openxmlformats.org/officeDocument/2006/relationships/image" Target="media/image3206.png"/><Relationship Id="rId3215" Type="http://schemas.openxmlformats.org/officeDocument/2006/relationships/image" Target="media/image3207.png"/><Relationship Id="rId3216" Type="http://schemas.openxmlformats.org/officeDocument/2006/relationships/image" Target="media/image3208.png"/><Relationship Id="rId3217" Type="http://schemas.openxmlformats.org/officeDocument/2006/relationships/image" Target="media/image3209.png"/><Relationship Id="rId3218" Type="http://schemas.openxmlformats.org/officeDocument/2006/relationships/image" Target="media/image3210.png"/><Relationship Id="rId3219" Type="http://schemas.openxmlformats.org/officeDocument/2006/relationships/image" Target="media/image3211.png"/><Relationship Id="rId3220" Type="http://schemas.openxmlformats.org/officeDocument/2006/relationships/image" Target="media/image3212.png"/><Relationship Id="rId3221" Type="http://schemas.openxmlformats.org/officeDocument/2006/relationships/image" Target="media/image3213.png"/><Relationship Id="rId3222" Type="http://schemas.openxmlformats.org/officeDocument/2006/relationships/image" Target="media/image3214.png"/><Relationship Id="rId3223" Type="http://schemas.openxmlformats.org/officeDocument/2006/relationships/image" Target="media/image3215.png"/><Relationship Id="rId3224" Type="http://schemas.openxmlformats.org/officeDocument/2006/relationships/image" Target="media/image3216.png"/><Relationship Id="rId3225" Type="http://schemas.openxmlformats.org/officeDocument/2006/relationships/image" Target="media/image3217.png"/><Relationship Id="rId3226" Type="http://schemas.openxmlformats.org/officeDocument/2006/relationships/image" Target="media/image3218.png"/><Relationship Id="rId3227" Type="http://schemas.openxmlformats.org/officeDocument/2006/relationships/image" Target="media/image3219.png"/><Relationship Id="rId3228" Type="http://schemas.openxmlformats.org/officeDocument/2006/relationships/image" Target="media/image3220.png"/><Relationship Id="rId3229" Type="http://schemas.openxmlformats.org/officeDocument/2006/relationships/image" Target="media/image3221.png"/><Relationship Id="rId3230" Type="http://schemas.openxmlformats.org/officeDocument/2006/relationships/image" Target="media/image3222.png"/><Relationship Id="rId3231" Type="http://schemas.openxmlformats.org/officeDocument/2006/relationships/image" Target="media/image3223.png"/><Relationship Id="rId3232" Type="http://schemas.openxmlformats.org/officeDocument/2006/relationships/image" Target="media/image3224.png"/><Relationship Id="rId3233" Type="http://schemas.openxmlformats.org/officeDocument/2006/relationships/image" Target="media/image3225.png"/><Relationship Id="rId3234" Type="http://schemas.openxmlformats.org/officeDocument/2006/relationships/image" Target="media/image3226.png"/><Relationship Id="rId3235" Type="http://schemas.openxmlformats.org/officeDocument/2006/relationships/image" Target="media/image3227.png"/><Relationship Id="rId3236" Type="http://schemas.openxmlformats.org/officeDocument/2006/relationships/image" Target="media/image3228.png"/><Relationship Id="rId3237" Type="http://schemas.openxmlformats.org/officeDocument/2006/relationships/image" Target="media/image3229.png"/><Relationship Id="rId3238" Type="http://schemas.openxmlformats.org/officeDocument/2006/relationships/image" Target="media/image3230.png"/><Relationship Id="rId3239" Type="http://schemas.openxmlformats.org/officeDocument/2006/relationships/image" Target="media/image3231.png"/><Relationship Id="rId3240" Type="http://schemas.openxmlformats.org/officeDocument/2006/relationships/image" Target="media/image3232.png"/><Relationship Id="rId3241" Type="http://schemas.openxmlformats.org/officeDocument/2006/relationships/image" Target="media/image3233.png"/><Relationship Id="rId3242" Type="http://schemas.openxmlformats.org/officeDocument/2006/relationships/image" Target="media/image3234.png"/><Relationship Id="rId3243" Type="http://schemas.openxmlformats.org/officeDocument/2006/relationships/image" Target="media/image3235.png"/><Relationship Id="rId3244" Type="http://schemas.openxmlformats.org/officeDocument/2006/relationships/image" Target="media/image3236.png"/><Relationship Id="rId3245" Type="http://schemas.openxmlformats.org/officeDocument/2006/relationships/image" Target="media/image3237.png"/><Relationship Id="rId3246" Type="http://schemas.openxmlformats.org/officeDocument/2006/relationships/image" Target="media/image3238.png"/><Relationship Id="rId3247" Type="http://schemas.openxmlformats.org/officeDocument/2006/relationships/image" Target="media/image3239.png"/><Relationship Id="rId3248" Type="http://schemas.openxmlformats.org/officeDocument/2006/relationships/image" Target="media/image3240.png"/><Relationship Id="rId3249" Type="http://schemas.openxmlformats.org/officeDocument/2006/relationships/image" Target="media/image3241.png"/><Relationship Id="rId3250" Type="http://schemas.openxmlformats.org/officeDocument/2006/relationships/image" Target="media/image3242.png"/><Relationship Id="rId3251" Type="http://schemas.openxmlformats.org/officeDocument/2006/relationships/image" Target="media/image3243.png"/><Relationship Id="rId3252" Type="http://schemas.openxmlformats.org/officeDocument/2006/relationships/image" Target="media/image3244.png"/><Relationship Id="rId3253" Type="http://schemas.openxmlformats.org/officeDocument/2006/relationships/image" Target="media/image3245.png"/><Relationship Id="rId3254" Type="http://schemas.openxmlformats.org/officeDocument/2006/relationships/image" Target="media/image3246.png"/><Relationship Id="rId3255" Type="http://schemas.openxmlformats.org/officeDocument/2006/relationships/image" Target="media/image3247.png"/><Relationship Id="rId3256" Type="http://schemas.openxmlformats.org/officeDocument/2006/relationships/image" Target="media/image3248.png"/><Relationship Id="rId3257" Type="http://schemas.openxmlformats.org/officeDocument/2006/relationships/image" Target="media/image3249.png"/><Relationship Id="rId3258" Type="http://schemas.openxmlformats.org/officeDocument/2006/relationships/image" Target="media/image3250.png"/><Relationship Id="rId3259" Type="http://schemas.openxmlformats.org/officeDocument/2006/relationships/image" Target="media/image3251.png"/><Relationship Id="rId3260" Type="http://schemas.openxmlformats.org/officeDocument/2006/relationships/image" Target="media/image3252.png"/><Relationship Id="rId3261" Type="http://schemas.openxmlformats.org/officeDocument/2006/relationships/image" Target="media/image3253.png"/><Relationship Id="rId3262" Type="http://schemas.openxmlformats.org/officeDocument/2006/relationships/image" Target="media/image3254.png"/><Relationship Id="rId3263" Type="http://schemas.openxmlformats.org/officeDocument/2006/relationships/image" Target="media/image3255.png"/><Relationship Id="rId3264" Type="http://schemas.openxmlformats.org/officeDocument/2006/relationships/image" Target="media/image3256.png"/><Relationship Id="rId3265" Type="http://schemas.openxmlformats.org/officeDocument/2006/relationships/image" Target="media/image3257.png"/><Relationship Id="rId3266" Type="http://schemas.openxmlformats.org/officeDocument/2006/relationships/image" Target="media/image3258.png"/><Relationship Id="rId3267" Type="http://schemas.openxmlformats.org/officeDocument/2006/relationships/image" Target="media/image3259.png"/><Relationship Id="rId3268" Type="http://schemas.openxmlformats.org/officeDocument/2006/relationships/image" Target="media/image3260.png"/><Relationship Id="rId3269" Type="http://schemas.openxmlformats.org/officeDocument/2006/relationships/image" Target="media/image3261.png"/><Relationship Id="rId3270" Type="http://schemas.openxmlformats.org/officeDocument/2006/relationships/image" Target="media/image3262.png"/><Relationship Id="rId3271" Type="http://schemas.openxmlformats.org/officeDocument/2006/relationships/image" Target="media/image3263.png"/><Relationship Id="rId3272" Type="http://schemas.openxmlformats.org/officeDocument/2006/relationships/image" Target="media/image3264.png"/><Relationship Id="rId3273" Type="http://schemas.openxmlformats.org/officeDocument/2006/relationships/image" Target="media/image3265.png"/><Relationship Id="rId3274" Type="http://schemas.openxmlformats.org/officeDocument/2006/relationships/image" Target="media/image3266.png"/><Relationship Id="rId3275" Type="http://schemas.openxmlformats.org/officeDocument/2006/relationships/image" Target="media/image3267.png"/><Relationship Id="rId3276" Type="http://schemas.openxmlformats.org/officeDocument/2006/relationships/image" Target="media/image3268.png"/><Relationship Id="rId3277" Type="http://schemas.openxmlformats.org/officeDocument/2006/relationships/image" Target="media/image3269.png"/><Relationship Id="rId3278" Type="http://schemas.openxmlformats.org/officeDocument/2006/relationships/image" Target="media/image3270.png"/><Relationship Id="rId3279" Type="http://schemas.openxmlformats.org/officeDocument/2006/relationships/image" Target="media/image3271.png"/><Relationship Id="rId3280" Type="http://schemas.openxmlformats.org/officeDocument/2006/relationships/image" Target="media/image3272.png"/><Relationship Id="rId3281" Type="http://schemas.openxmlformats.org/officeDocument/2006/relationships/image" Target="media/image3273.png"/><Relationship Id="rId3282" Type="http://schemas.openxmlformats.org/officeDocument/2006/relationships/image" Target="media/image3274.png"/><Relationship Id="rId3283" Type="http://schemas.openxmlformats.org/officeDocument/2006/relationships/image" Target="media/image3275.png"/><Relationship Id="rId3284" Type="http://schemas.openxmlformats.org/officeDocument/2006/relationships/image" Target="media/image3276.png"/><Relationship Id="rId3285" Type="http://schemas.openxmlformats.org/officeDocument/2006/relationships/image" Target="media/image3277.png"/><Relationship Id="rId3286" Type="http://schemas.openxmlformats.org/officeDocument/2006/relationships/image" Target="media/image3278.png"/><Relationship Id="rId3287" Type="http://schemas.openxmlformats.org/officeDocument/2006/relationships/image" Target="media/image3279.png"/><Relationship Id="rId3288" Type="http://schemas.openxmlformats.org/officeDocument/2006/relationships/image" Target="media/image3280.png"/><Relationship Id="rId3289" Type="http://schemas.openxmlformats.org/officeDocument/2006/relationships/image" Target="media/image3281.png"/><Relationship Id="rId3290" Type="http://schemas.openxmlformats.org/officeDocument/2006/relationships/image" Target="media/image3282.png"/><Relationship Id="rId3291" Type="http://schemas.openxmlformats.org/officeDocument/2006/relationships/image" Target="media/image3283.png"/><Relationship Id="rId3292" Type="http://schemas.openxmlformats.org/officeDocument/2006/relationships/image" Target="media/image3284.png"/><Relationship Id="rId3293" Type="http://schemas.openxmlformats.org/officeDocument/2006/relationships/image" Target="media/image3285.png"/><Relationship Id="rId3294" Type="http://schemas.openxmlformats.org/officeDocument/2006/relationships/image" Target="media/image3286.png"/><Relationship Id="rId3295" Type="http://schemas.openxmlformats.org/officeDocument/2006/relationships/image" Target="media/image3287.png"/><Relationship Id="rId3296" Type="http://schemas.openxmlformats.org/officeDocument/2006/relationships/image" Target="media/image3288.png"/><Relationship Id="rId3297" Type="http://schemas.openxmlformats.org/officeDocument/2006/relationships/image" Target="media/image3289.png"/><Relationship Id="rId3298" Type="http://schemas.openxmlformats.org/officeDocument/2006/relationships/image" Target="media/image3290.png"/><Relationship Id="rId3299" Type="http://schemas.openxmlformats.org/officeDocument/2006/relationships/image" Target="media/image3291.png"/><Relationship Id="rId3300" Type="http://schemas.openxmlformats.org/officeDocument/2006/relationships/image" Target="media/image3292.png"/><Relationship Id="rId3301" Type="http://schemas.openxmlformats.org/officeDocument/2006/relationships/image" Target="media/image3293.png"/><Relationship Id="rId3302" Type="http://schemas.openxmlformats.org/officeDocument/2006/relationships/image" Target="media/image3294.png"/><Relationship Id="rId3303" Type="http://schemas.openxmlformats.org/officeDocument/2006/relationships/image" Target="media/image3295.png"/><Relationship Id="rId3304" Type="http://schemas.openxmlformats.org/officeDocument/2006/relationships/image" Target="media/image3296.png"/><Relationship Id="rId3305" Type="http://schemas.openxmlformats.org/officeDocument/2006/relationships/image" Target="media/image3297.png"/><Relationship Id="rId3306" Type="http://schemas.openxmlformats.org/officeDocument/2006/relationships/image" Target="media/image3298.png"/><Relationship Id="rId3307" Type="http://schemas.openxmlformats.org/officeDocument/2006/relationships/image" Target="media/image3299.png"/><Relationship Id="rId3308" Type="http://schemas.openxmlformats.org/officeDocument/2006/relationships/image" Target="media/image3300.png"/><Relationship Id="rId3309" Type="http://schemas.openxmlformats.org/officeDocument/2006/relationships/image" Target="media/image3301.png"/><Relationship Id="rId3310" Type="http://schemas.openxmlformats.org/officeDocument/2006/relationships/image" Target="media/image3302.png"/><Relationship Id="rId3311" Type="http://schemas.openxmlformats.org/officeDocument/2006/relationships/image" Target="media/image3303.png"/><Relationship Id="rId3312" Type="http://schemas.openxmlformats.org/officeDocument/2006/relationships/image" Target="media/image3304.png"/><Relationship Id="rId3313" Type="http://schemas.openxmlformats.org/officeDocument/2006/relationships/image" Target="media/image3305.png"/><Relationship Id="rId3314" Type="http://schemas.openxmlformats.org/officeDocument/2006/relationships/image" Target="media/image3306.png"/><Relationship Id="rId3315" Type="http://schemas.openxmlformats.org/officeDocument/2006/relationships/image" Target="media/image3307.png"/><Relationship Id="rId3316" Type="http://schemas.openxmlformats.org/officeDocument/2006/relationships/image" Target="media/image3308.png"/><Relationship Id="rId3317" Type="http://schemas.openxmlformats.org/officeDocument/2006/relationships/image" Target="media/image3309.png"/><Relationship Id="rId3318" Type="http://schemas.openxmlformats.org/officeDocument/2006/relationships/image" Target="media/image3310.png"/><Relationship Id="rId3319" Type="http://schemas.openxmlformats.org/officeDocument/2006/relationships/image" Target="media/image3311.png"/><Relationship Id="rId3320" Type="http://schemas.openxmlformats.org/officeDocument/2006/relationships/image" Target="media/image3312.png"/><Relationship Id="rId3321" Type="http://schemas.openxmlformats.org/officeDocument/2006/relationships/image" Target="media/image3313.png"/><Relationship Id="rId3322" Type="http://schemas.openxmlformats.org/officeDocument/2006/relationships/image" Target="media/image3314.png"/><Relationship Id="rId3323" Type="http://schemas.openxmlformats.org/officeDocument/2006/relationships/image" Target="media/image3315.png"/><Relationship Id="rId3324" Type="http://schemas.openxmlformats.org/officeDocument/2006/relationships/image" Target="media/image3316.png"/><Relationship Id="rId3325" Type="http://schemas.openxmlformats.org/officeDocument/2006/relationships/image" Target="media/image3317.png"/><Relationship Id="rId3326" Type="http://schemas.openxmlformats.org/officeDocument/2006/relationships/image" Target="media/image3318.png"/><Relationship Id="rId3327" Type="http://schemas.openxmlformats.org/officeDocument/2006/relationships/image" Target="media/image3319.png"/><Relationship Id="rId3328" Type="http://schemas.openxmlformats.org/officeDocument/2006/relationships/image" Target="media/image3320.png"/><Relationship Id="rId3329" Type="http://schemas.openxmlformats.org/officeDocument/2006/relationships/image" Target="media/image3321.png"/><Relationship Id="rId3330" Type="http://schemas.openxmlformats.org/officeDocument/2006/relationships/image" Target="media/image3322.png"/><Relationship Id="rId3331" Type="http://schemas.openxmlformats.org/officeDocument/2006/relationships/image" Target="media/image3323.png"/><Relationship Id="rId3332" Type="http://schemas.openxmlformats.org/officeDocument/2006/relationships/image" Target="media/image3324.png"/><Relationship Id="rId3333" Type="http://schemas.openxmlformats.org/officeDocument/2006/relationships/image" Target="media/image3325.png"/><Relationship Id="rId3334" Type="http://schemas.openxmlformats.org/officeDocument/2006/relationships/image" Target="media/image3326.png"/><Relationship Id="rId3335" Type="http://schemas.openxmlformats.org/officeDocument/2006/relationships/image" Target="media/image3327.png"/><Relationship Id="rId3336" Type="http://schemas.openxmlformats.org/officeDocument/2006/relationships/image" Target="media/image3328.png"/><Relationship Id="rId3337" Type="http://schemas.openxmlformats.org/officeDocument/2006/relationships/image" Target="media/image3329.png"/><Relationship Id="rId3338" Type="http://schemas.openxmlformats.org/officeDocument/2006/relationships/image" Target="media/image3330.png"/><Relationship Id="rId3339" Type="http://schemas.openxmlformats.org/officeDocument/2006/relationships/image" Target="media/image3331.png"/><Relationship Id="rId3340" Type="http://schemas.openxmlformats.org/officeDocument/2006/relationships/image" Target="media/image3332.png"/><Relationship Id="rId3341" Type="http://schemas.openxmlformats.org/officeDocument/2006/relationships/image" Target="media/image3333.png"/><Relationship Id="rId3342" Type="http://schemas.openxmlformats.org/officeDocument/2006/relationships/image" Target="media/image3334.png"/><Relationship Id="rId3343" Type="http://schemas.openxmlformats.org/officeDocument/2006/relationships/image" Target="media/image3335.png"/><Relationship Id="rId3344" Type="http://schemas.openxmlformats.org/officeDocument/2006/relationships/image" Target="media/image3336.png"/><Relationship Id="rId3345" Type="http://schemas.openxmlformats.org/officeDocument/2006/relationships/image" Target="media/image3337.png"/><Relationship Id="rId3346" Type="http://schemas.openxmlformats.org/officeDocument/2006/relationships/image" Target="media/image3338.png"/><Relationship Id="rId3347" Type="http://schemas.openxmlformats.org/officeDocument/2006/relationships/image" Target="media/image3339.png"/><Relationship Id="rId3348" Type="http://schemas.openxmlformats.org/officeDocument/2006/relationships/image" Target="media/image3340.png"/><Relationship Id="rId3349" Type="http://schemas.openxmlformats.org/officeDocument/2006/relationships/image" Target="media/image3341.png"/><Relationship Id="rId3350" Type="http://schemas.openxmlformats.org/officeDocument/2006/relationships/image" Target="media/image3342.png"/><Relationship Id="rId3351" Type="http://schemas.openxmlformats.org/officeDocument/2006/relationships/image" Target="media/image3343.png"/><Relationship Id="rId3352" Type="http://schemas.openxmlformats.org/officeDocument/2006/relationships/image" Target="media/image3344.png"/><Relationship Id="rId3353" Type="http://schemas.openxmlformats.org/officeDocument/2006/relationships/image" Target="media/image3345.png"/><Relationship Id="rId3354" Type="http://schemas.openxmlformats.org/officeDocument/2006/relationships/image" Target="media/image3346.png"/><Relationship Id="rId3355" Type="http://schemas.openxmlformats.org/officeDocument/2006/relationships/image" Target="media/image3347.png"/><Relationship Id="rId3356" Type="http://schemas.openxmlformats.org/officeDocument/2006/relationships/image" Target="media/image3348.png"/><Relationship Id="rId3357" Type="http://schemas.openxmlformats.org/officeDocument/2006/relationships/image" Target="media/image3349.png"/><Relationship Id="rId3358" Type="http://schemas.openxmlformats.org/officeDocument/2006/relationships/image" Target="media/image3350.png"/><Relationship Id="rId3359" Type="http://schemas.openxmlformats.org/officeDocument/2006/relationships/image" Target="media/image3351.png"/><Relationship Id="rId3360" Type="http://schemas.openxmlformats.org/officeDocument/2006/relationships/image" Target="media/image3352.png"/><Relationship Id="rId3361" Type="http://schemas.openxmlformats.org/officeDocument/2006/relationships/image" Target="media/image3353.png"/><Relationship Id="rId3362" Type="http://schemas.openxmlformats.org/officeDocument/2006/relationships/image" Target="media/image3354.png"/><Relationship Id="rId3363" Type="http://schemas.openxmlformats.org/officeDocument/2006/relationships/image" Target="media/image3355.png"/><Relationship Id="rId3364" Type="http://schemas.openxmlformats.org/officeDocument/2006/relationships/image" Target="media/image3356.png"/><Relationship Id="rId3365" Type="http://schemas.openxmlformats.org/officeDocument/2006/relationships/image" Target="media/image3357.png"/><Relationship Id="rId3366" Type="http://schemas.openxmlformats.org/officeDocument/2006/relationships/image" Target="media/image3358.png"/><Relationship Id="rId3367" Type="http://schemas.openxmlformats.org/officeDocument/2006/relationships/image" Target="media/image3359.png"/><Relationship Id="rId3368" Type="http://schemas.openxmlformats.org/officeDocument/2006/relationships/image" Target="media/image3360.png"/><Relationship Id="rId3369" Type="http://schemas.openxmlformats.org/officeDocument/2006/relationships/image" Target="media/image3361.png"/><Relationship Id="rId3370" Type="http://schemas.openxmlformats.org/officeDocument/2006/relationships/image" Target="media/image3362.png"/><Relationship Id="rId3371" Type="http://schemas.openxmlformats.org/officeDocument/2006/relationships/image" Target="media/image3363.png"/><Relationship Id="rId3372" Type="http://schemas.openxmlformats.org/officeDocument/2006/relationships/image" Target="media/image3364.png"/><Relationship Id="rId3373" Type="http://schemas.openxmlformats.org/officeDocument/2006/relationships/image" Target="media/image3365.png"/><Relationship Id="rId3374" Type="http://schemas.openxmlformats.org/officeDocument/2006/relationships/image" Target="media/image3366.png"/><Relationship Id="rId3375" Type="http://schemas.openxmlformats.org/officeDocument/2006/relationships/image" Target="media/image3367.png"/><Relationship Id="rId3376" Type="http://schemas.openxmlformats.org/officeDocument/2006/relationships/image" Target="media/image3368.png"/><Relationship Id="rId3377" Type="http://schemas.openxmlformats.org/officeDocument/2006/relationships/image" Target="media/image3369.png"/><Relationship Id="rId3378" Type="http://schemas.openxmlformats.org/officeDocument/2006/relationships/image" Target="media/image3370.png"/><Relationship Id="rId3379" Type="http://schemas.openxmlformats.org/officeDocument/2006/relationships/image" Target="media/image3371.png"/><Relationship Id="rId3380" Type="http://schemas.openxmlformats.org/officeDocument/2006/relationships/image" Target="media/image3372.png"/><Relationship Id="rId3381" Type="http://schemas.openxmlformats.org/officeDocument/2006/relationships/image" Target="media/image3373.png"/><Relationship Id="rId3382" Type="http://schemas.openxmlformats.org/officeDocument/2006/relationships/image" Target="media/image3374.png"/><Relationship Id="rId3383" Type="http://schemas.openxmlformats.org/officeDocument/2006/relationships/image" Target="media/image3375.png"/><Relationship Id="rId3384" Type="http://schemas.openxmlformats.org/officeDocument/2006/relationships/image" Target="media/image3376.png"/><Relationship Id="rId3385" Type="http://schemas.openxmlformats.org/officeDocument/2006/relationships/image" Target="media/image3377.png"/><Relationship Id="rId3386" Type="http://schemas.openxmlformats.org/officeDocument/2006/relationships/image" Target="media/image3378.png"/><Relationship Id="rId3387" Type="http://schemas.openxmlformats.org/officeDocument/2006/relationships/image" Target="media/image3379.png"/><Relationship Id="rId3388" Type="http://schemas.openxmlformats.org/officeDocument/2006/relationships/image" Target="media/image3380.png"/><Relationship Id="rId3389" Type="http://schemas.openxmlformats.org/officeDocument/2006/relationships/image" Target="media/image3381.png"/><Relationship Id="rId3390" Type="http://schemas.openxmlformats.org/officeDocument/2006/relationships/image" Target="media/image3382.png"/><Relationship Id="rId3391" Type="http://schemas.openxmlformats.org/officeDocument/2006/relationships/image" Target="media/image3383.png"/><Relationship Id="rId3392" Type="http://schemas.openxmlformats.org/officeDocument/2006/relationships/image" Target="media/image3384.png"/><Relationship Id="rId3393" Type="http://schemas.openxmlformats.org/officeDocument/2006/relationships/image" Target="media/image3385.png"/><Relationship Id="rId3394" Type="http://schemas.openxmlformats.org/officeDocument/2006/relationships/image" Target="media/image3386.png"/><Relationship Id="rId3395" Type="http://schemas.openxmlformats.org/officeDocument/2006/relationships/image" Target="media/image3387.png"/><Relationship Id="rId3396" Type="http://schemas.openxmlformats.org/officeDocument/2006/relationships/image" Target="media/image3388.png"/><Relationship Id="rId3397" Type="http://schemas.openxmlformats.org/officeDocument/2006/relationships/image" Target="media/image3389.png"/><Relationship Id="rId3398" Type="http://schemas.openxmlformats.org/officeDocument/2006/relationships/image" Target="media/image3390.png"/><Relationship Id="rId3399" Type="http://schemas.openxmlformats.org/officeDocument/2006/relationships/image" Target="media/image3391.png"/><Relationship Id="rId3400" Type="http://schemas.openxmlformats.org/officeDocument/2006/relationships/image" Target="media/image3392.png"/><Relationship Id="rId3401" Type="http://schemas.openxmlformats.org/officeDocument/2006/relationships/image" Target="media/image3393.png"/><Relationship Id="rId3402" Type="http://schemas.openxmlformats.org/officeDocument/2006/relationships/image" Target="media/image3394.png"/><Relationship Id="rId3403" Type="http://schemas.openxmlformats.org/officeDocument/2006/relationships/image" Target="media/image3395.png"/><Relationship Id="rId3404" Type="http://schemas.openxmlformats.org/officeDocument/2006/relationships/image" Target="media/image3396.png"/><Relationship Id="rId3405" Type="http://schemas.openxmlformats.org/officeDocument/2006/relationships/image" Target="media/image3397.png"/><Relationship Id="rId3406" Type="http://schemas.openxmlformats.org/officeDocument/2006/relationships/image" Target="media/image3398.png"/><Relationship Id="rId3407" Type="http://schemas.openxmlformats.org/officeDocument/2006/relationships/image" Target="media/image3399.png"/><Relationship Id="rId3408" Type="http://schemas.openxmlformats.org/officeDocument/2006/relationships/image" Target="media/image3400.png"/><Relationship Id="rId3409" Type="http://schemas.openxmlformats.org/officeDocument/2006/relationships/image" Target="media/image3401.png"/><Relationship Id="rId3410" Type="http://schemas.openxmlformats.org/officeDocument/2006/relationships/image" Target="media/image3402.png"/><Relationship Id="rId3411" Type="http://schemas.openxmlformats.org/officeDocument/2006/relationships/image" Target="media/image3403.png"/><Relationship Id="rId3412" Type="http://schemas.openxmlformats.org/officeDocument/2006/relationships/image" Target="media/image3404.png"/><Relationship Id="rId3413" Type="http://schemas.openxmlformats.org/officeDocument/2006/relationships/image" Target="media/image3405.png"/><Relationship Id="rId3414" Type="http://schemas.openxmlformats.org/officeDocument/2006/relationships/image" Target="media/image3406.png"/><Relationship Id="rId3415" Type="http://schemas.openxmlformats.org/officeDocument/2006/relationships/image" Target="media/image3407.png"/><Relationship Id="rId3416" Type="http://schemas.openxmlformats.org/officeDocument/2006/relationships/image" Target="media/image3408.png"/><Relationship Id="rId3417" Type="http://schemas.openxmlformats.org/officeDocument/2006/relationships/image" Target="media/image3409.png"/><Relationship Id="rId3418" Type="http://schemas.openxmlformats.org/officeDocument/2006/relationships/image" Target="media/image3410.png"/><Relationship Id="rId3419" Type="http://schemas.openxmlformats.org/officeDocument/2006/relationships/image" Target="media/image3411.png"/><Relationship Id="rId3420" Type="http://schemas.openxmlformats.org/officeDocument/2006/relationships/image" Target="media/image3412.png"/><Relationship Id="rId3421" Type="http://schemas.openxmlformats.org/officeDocument/2006/relationships/image" Target="media/image3413.png"/><Relationship Id="rId3422" Type="http://schemas.openxmlformats.org/officeDocument/2006/relationships/image" Target="media/image3414.png"/><Relationship Id="rId3423" Type="http://schemas.openxmlformats.org/officeDocument/2006/relationships/image" Target="media/image3415.png"/><Relationship Id="rId3424" Type="http://schemas.openxmlformats.org/officeDocument/2006/relationships/image" Target="media/image3416.png"/><Relationship Id="rId3425" Type="http://schemas.openxmlformats.org/officeDocument/2006/relationships/image" Target="media/image3417.png"/><Relationship Id="rId3426" Type="http://schemas.openxmlformats.org/officeDocument/2006/relationships/image" Target="media/image3418.png"/><Relationship Id="rId3427" Type="http://schemas.openxmlformats.org/officeDocument/2006/relationships/image" Target="media/image3419.png"/><Relationship Id="rId3428" Type="http://schemas.openxmlformats.org/officeDocument/2006/relationships/image" Target="media/image3420.png"/><Relationship Id="rId3429" Type="http://schemas.openxmlformats.org/officeDocument/2006/relationships/image" Target="media/image3421.png"/><Relationship Id="rId3430" Type="http://schemas.openxmlformats.org/officeDocument/2006/relationships/image" Target="media/image3422.png"/><Relationship Id="rId3431" Type="http://schemas.openxmlformats.org/officeDocument/2006/relationships/image" Target="media/image3423.png"/><Relationship Id="rId3432" Type="http://schemas.openxmlformats.org/officeDocument/2006/relationships/image" Target="media/image3424.png"/><Relationship Id="rId3433" Type="http://schemas.openxmlformats.org/officeDocument/2006/relationships/image" Target="media/image3425.png"/><Relationship Id="rId3434" Type="http://schemas.openxmlformats.org/officeDocument/2006/relationships/image" Target="media/image3426.png"/><Relationship Id="rId3435" Type="http://schemas.openxmlformats.org/officeDocument/2006/relationships/image" Target="media/image3427.png"/><Relationship Id="rId3436" Type="http://schemas.openxmlformats.org/officeDocument/2006/relationships/image" Target="media/image3428.png"/><Relationship Id="rId3437" Type="http://schemas.openxmlformats.org/officeDocument/2006/relationships/image" Target="media/image3429.png"/><Relationship Id="rId3438" Type="http://schemas.openxmlformats.org/officeDocument/2006/relationships/image" Target="media/image3430.png"/><Relationship Id="rId3439" Type="http://schemas.openxmlformats.org/officeDocument/2006/relationships/image" Target="media/image3431.png"/><Relationship Id="rId3440" Type="http://schemas.openxmlformats.org/officeDocument/2006/relationships/image" Target="media/image3432.png"/><Relationship Id="rId3441" Type="http://schemas.openxmlformats.org/officeDocument/2006/relationships/image" Target="media/image3433.png"/><Relationship Id="rId3442" Type="http://schemas.openxmlformats.org/officeDocument/2006/relationships/image" Target="media/image3434.png"/><Relationship Id="rId3443" Type="http://schemas.openxmlformats.org/officeDocument/2006/relationships/image" Target="media/image3435.png"/><Relationship Id="rId3444" Type="http://schemas.openxmlformats.org/officeDocument/2006/relationships/image" Target="media/image3436.png"/><Relationship Id="rId3445" Type="http://schemas.openxmlformats.org/officeDocument/2006/relationships/image" Target="media/image3437.png"/><Relationship Id="rId3446" Type="http://schemas.openxmlformats.org/officeDocument/2006/relationships/image" Target="media/image3438.png"/><Relationship Id="rId3447" Type="http://schemas.openxmlformats.org/officeDocument/2006/relationships/image" Target="media/image3439.png"/><Relationship Id="rId3448" Type="http://schemas.openxmlformats.org/officeDocument/2006/relationships/image" Target="media/image3440.png"/><Relationship Id="rId3449" Type="http://schemas.openxmlformats.org/officeDocument/2006/relationships/image" Target="media/image3441.png"/><Relationship Id="rId3450" Type="http://schemas.openxmlformats.org/officeDocument/2006/relationships/image" Target="media/image3442.png"/><Relationship Id="rId3451" Type="http://schemas.openxmlformats.org/officeDocument/2006/relationships/image" Target="media/image3443.png"/><Relationship Id="rId3452" Type="http://schemas.openxmlformats.org/officeDocument/2006/relationships/image" Target="media/image3444.png"/><Relationship Id="rId3453" Type="http://schemas.openxmlformats.org/officeDocument/2006/relationships/image" Target="media/image3445.png"/><Relationship Id="rId3454" Type="http://schemas.openxmlformats.org/officeDocument/2006/relationships/image" Target="media/image3446.png"/><Relationship Id="rId3455" Type="http://schemas.openxmlformats.org/officeDocument/2006/relationships/image" Target="media/image3447.png"/><Relationship Id="rId3456" Type="http://schemas.openxmlformats.org/officeDocument/2006/relationships/image" Target="media/image3448.png"/><Relationship Id="rId3457" Type="http://schemas.openxmlformats.org/officeDocument/2006/relationships/image" Target="media/image3449.png"/><Relationship Id="rId3458" Type="http://schemas.openxmlformats.org/officeDocument/2006/relationships/image" Target="media/image3450.png"/><Relationship Id="rId3459" Type="http://schemas.openxmlformats.org/officeDocument/2006/relationships/image" Target="media/image3451.png"/><Relationship Id="rId3460" Type="http://schemas.openxmlformats.org/officeDocument/2006/relationships/image" Target="media/image3452.png"/><Relationship Id="rId3461" Type="http://schemas.openxmlformats.org/officeDocument/2006/relationships/image" Target="media/image3453.png"/><Relationship Id="rId3462" Type="http://schemas.openxmlformats.org/officeDocument/2006/relationships/image" Target="media/image3454.png"/><Relationship Id="rId3463" Type="http://schemas.openxmlformats.org/officeDocument/2006/relationships/image" Target="media/image3455.png"/><Relationship Id="rId3464" Type="http://schemas.openxmlformats.org/officeDocument/2006/relationships/image" Target="media/image3456.png"/><Relationship Id="rId3465" Type="http://schemas.openxmlformats.org/officeDocument/2006/relationships/image" Target="media/image3457.png"/><Relationship Id="rId3466" Type="http://schemas.openxmlformats.org/officeDocument/2006/relationships/image" Target="media/image3458.png"/><Relationship Id="rId3467" Type="http://schemas.openxmlformats.org/officeDocument/2006/relationships/image" Target="media/image3459.png"/><Relationship Id="rId3468" Type="http://schemas.openxmlformats.org/officeDocument/2006/relationships/image" Target="media/image3460.png"/><Relationship Id="rId3469" Type="http://schemas.openxmlformats.org/officeDocument/2006/relationships/image" Target="media/image3461.png"/><Relationship Id="rId3470" Type="http://schemas.openxmlformats.org/officeDocument/2006/relationships/image" Target="media/image3462.png"/><Relationship Id="rId3471" Type="http://schemas.openxmlformats.org/officeDocument/2006/relationships/image" Target="media/image3463.png"/><Relationship Id="rId3472" Type="http://schemas.openxmlformats.org/officeDocument/2006/relationships/image" Target="media/image3464.png"/><Relationship Id="rId3473" Type="http://schemas.openxmlformats.org/officeDocument/2006/relationships/image" Target="media/image3465.png"/><Relationship Id="rId3474" Type="http://schemas.openxmlformats.org/officeDocument/2006/relationships/image" Target="media/image3466.png"/><Relationship Id="rId3475" Type="http://schemas.openxmlformats.org/officeDocument/2006/relationships/image" Target="media/image3467.png"/><Relationship Id="rId3476" Type="http://schemas.openxmlformats.org/officeDocument/2006/relationships/image" Target="media/image3468.png"/><Relationship Id="rId3477" Type="http://schemas.openxmlformats.org/officeDocument/2006/relationships/image" Target="media/image3469.png"/><Relationship Id="rId3478" Type="http://schemas.openxmlformats.org/officeDocument/2006/relationships/image" Target="media/image3470.png"/><Relationship Id="rId3479" Type="http://schemas.openxmlformats.org/officeDocument/2006/relationships/image" Target="media/image3471.png"/><Relationship Id="rId3480" Type="http://schemas.openxmlformats.org/officeDocument/2006/relationships/image" Target="media/image3472.png"/><Relationship Id="rId3481" Type="http://schemas.openxmlformats.org/officeDocument/2006/relationships/image" Target="media/image3473.png"/><Relationship Id="rId3482" Type="http://schemas.openxmlformats.org/officeDocument/2006/relationships/image" Target="media/image3474.png"/><Relationship Id="rId3483" Type="http://schemas.openxmlformats.org/officeDocument/2006/relationships/image" Target="media/image3475.png"/><Relationship Id="rId3484" Type="http://schemas.openxmlformats.org/officeDocument/2006/relationships/image" Target="media/image3476.png"/><Relationship Id="rId3485" Type="http://schemas.openxmlformats.org/officeDocument/2006/relationships/image" Target="media/image3477.png"/><Relationship Id="rId3486" Type="http://schemas.openxmlformats.org/officeDocument/2006/relationships/image" Target="media/image3478.png"/><Relationship Id="rId3487" Type="http://schemas.openxmlformats.org/officeDocument/2006/relationships/image" Target="media/image3479.png"/><Relationship Id="rId3488" Type="http://schemas.openxmlformats.org/officeDocument/2006/relationships/image" Target="media/image3480.png"/><Relationship Id="rId3489" Type="http://schemas.openxmlformats.org/officeDocument/2006/relationships/image" Target="media/image3481.png"/><Relationship Id="rId3490" Type="http://schemas.openxmlformats.org/officeDocument/2006/relationships/image" Target="media/image3482.png"/><Relationship Id="rId3491" Type="http://schemas.openxmlformats.org/officeDocument/2006/relationships/image" Target="media/image3483.png"/><Relationship Id="rId3492" Type="http://schemas.openxmlformats.org/officeDocument/2006/relationships/image" Target="media/image3484.png"/><Relationship Id="rId3493" Type="http://schemas.openxmlformats.org/officeDocument/2006/relationships/image" Target="media/image3485.png"/><Relationship Id="rId3494" Type="http://schemas.openxmlformats.org/officeDocument/2006/relationships/image" Target="media/image3486.png"/><Relationship Id="rId3495" Type="http://schemas.openxmlformats.org/officeDocument/2006/relationships/image" Target="media/image3487.png"/><Relationship Id="rId3496" Type="http://schemas.openxmlformats.org/officeDocument/2006/relationships/image" Target="media/image3488.png"/><Relationship Id="rId3497" Type="http://schemas.openxmlformats.org/officeDocument/2006/relationships/image" Target="media/image3489.png"/><Relationship Id="rId3498" Type="http://schemas.openxmlformats.org/officeDocument/2006/relationships/image" Target="media/image3490.png"/><Relationship Id="rId3499" Type="http://schemas.openxmlformats.org/officeDocument/2006/relationships/image" Target="media/image3491.png"/><Relationship Id="rId3500" Type="http://schemas.openxmlformats.org/officeDocument/2006/relationships/image" Target="media/image3492.png"/><Relationship Id="rId3501" Type="http://schemas.openxmlformats.org/officeDocument/2006/relationships/image" Target="media/image3493.png"/><Relationship Id="rId3502" Type="http://schemas.openxmlformats.org/officeDocument/2006/relationships/image" Target="media/image3494.png"/><Relationship Id="rId3503" Type="http://schemas.openxmlformats.org/officeDocument/2006/relationships/image" Target="media/image3495.png"/><Relationship Id="rId3504" Type="http://schemas.openxmlformats.org/officeDocument/2006/relationships/image" Target="media/image3496.png"/><Relationship Id="rId3505" Type="http://schemas.openxmlformats.org/officeDocument/2006/relationships/image" Target="media/image3497.png"/><Relationship Id="rId3506" Type="http://schemas.openxmlformats.org/officeDocument/2006/relationships/image" Target="media/image3498.png"/><Relationship Id="rId3507" Type="http://schemas.openxmlformats.org/officeDocument/2006/relationships/image" Target="media/image3499.png"/><Relationship Id="rId3508" Type="http://schemas.openxmlformats.org/officeDocument/2006/relationships/image" Target="media/image3500.png"/><Relationship Id="rId3509" Type="http://schemas.openxmlformats.org/officeDocument/2006/relationships/image" Target="media/image3501.png"/><Relationship Id="rId3510" Type="http://schemas.openxmlformats.org/officeDocument/2006/relationships/image" Target="media/image3502.png"/><Relationship Id="rId3511" Type="http://schemas.openxmlformats.org/officeDocument/2006/relationships/image" Target="media/image3503.png"/><Relationship Id="rId3512" Type="http://schemas.openxmlformats.org/officeDocument/2006/relationships/image" Target="media/image3504.png"/><Relationship Id="rId3513" Type="http://schemas.openxmlformats.org/officeDocument/2006/relationships/image" Target="media/image3505.png"/><Relationship Id="rId3514" Type="http://schemas.openxmlformats.org/officeDocument/2006/relationships/image" Target="media/image3506.png"/><Relationship Id="rId3515" Type="http://schemas.openxmlformats.org/officeDocument/2006/relationships/image" Target="media/image3507.png"/><Relationship Id="rId3516" Type="http://schemas.openxmlformats.org/officeDocument/2006/relationships/image" Target="media/image3508.png"/><Relationship Id="rId3517" Type="http://schemas.openxmlformats.org/officeDocument/2006/relationships/image" Target="media/image3509.png"/><Relationship Id="rId3518" Type="http://schemas.openxmlformats.org/officeDocument/2006/relationships/image" Target="media/image3510.png"/><Relationship Id="rId3519" Type="http://schemas.openxmlformats.org/officeDocument/2006/relationships/image" Target="media/image3511.png"/><Relationship Id="rId3520" Type="http://schemas.openxmlformats.org/officeDocument/2006/relationships/image" Target="media/image3512.png"/><Relationship Id="rId3521" Type="http://schemas.openxmlformats.org/officeDocument/2006/relationships/image" Target="media/image3513.png"/><Relationship Id="rId3522" Type="http://schemas.openxmlformats.org/officeDocument/2006/relationships/image" Target="media/image3514.png"/><Relationship Id="rId3523" Type="http://schemas.openxmlformats.org/officeDocument/2006/relationships/image" Target="media/image3515.png"/><Relationship Id="rId3524" Type="http://schemas.openxmlformats.org/officeDocument/2006/relationships/image" Target="media/image3516.png"/><Relationship Id="rId3525" Type="http://schemas.openxmlformats.org/officeDocument/2006/relationships/image" Target="media/image3517.png"/><Relationship Id="rId3526" Type="http://schemas.openxmlformats.org/officeDocument/2006/relationships/image" Target="media/image3518.png"/><Relationship Id="rId3527" Type="http://schemas.openxmlformats.org/officeDocument/2006/relationships/image" Target="media/image3519.png"/><Relationship Id="rId3528" Type="http://schemas.openxmlformats.org/officeDocument/2006/relationships/image" Target="media/image3520.png"/><Relationship Id="rId3529" Type="http://schemas.openxmlformats.org/officeDocument/2006/relationships/image" Target="media/image3521.png"/><Relationship Id="rId3530" Type="http://schemas.openxmlformats.org/officeDocument/2006/relationships/image" Target="media/image3522.png"/><Relationship Id="rId3531" Type="http://schemas.openxmlformats.org/officeDocument/2006/relationships/image" Target="media/image3523.png"/><Relationship Id="rId3532" Type="http://schemas.openxmlformats.org/officeDocument/2006/relationships/image" Target="media/image3524.png"/><Relationship Id="rId3533" Type="http://schemas.openxmlformats.org/officeDocument/2006/relationships/image" Target="media/image3525.png"/><Relationship Id="rId3534" Type="http://schemas.openxmlformats.org/officeDocument/2006/relationships/image" Target="media/image3526.png"/><Relationship Id="rId3535" Type="http://schemas.openxmlformats.org/officeDocument/2006/relationships/image" Target="media/image3527.png"/><Relationship Id="rId3536" Type="http://schemas.openxmlformats.org/officeDocument/2006/relationships/image" Target="media/image3528.png"/><Relationship Id="rId3537" Type="http://schemas.openxmlformats.org/officeDocument/2006/relationships/image" Target="media/image3529.png"/><Relationship Id="rId3538" Type="http://schemas.openxmlformats.org/officeDocument/2006/relationships/image" Target="media/image3530.png"/><Relationship Id="rId3539" Type="http://schemas.openxmlformats.org/officeDocument/2006/relationships/image" Target="media/image3531.png"/><Relationship Id="rId3540" Type="http://schemas.openxmlformats.org/officeDocument/2006/relationships/image" Target="media/image3532.png"/><Relationship Id="rId3541" Type="http://schemas.openxmlformats.org/officeDocument/2006/relationships/image" Target="media/image3533.png"/><Relationship Id="rId3542" Type="http://schemas.openxmlformats.org/officeDocument/2006/relationships/image" Target="media/image3534.png"/><Relationship Id="rId3543" Type="http://schemas.openxmlformats.org/officeDocument/2006/relationships/image" Target="media/image3535.png"/><Relationship Id="rId3544" Type="http://schemas.openxmlformats.org/officeDocument/2006/relationships/image" Target="media/image3536.png"/><Relationship Id="rId3545" Type="http://schemas.openxmlformats.org/officeDocument/2006/relationships/image" Target="media/image3537.png"/><Relationship Id="rId3546" Type="http://schemas.openxmlformats.org/officeDocument/2006/relationships/image" Target="media/image3538.png"/><Relationship Id="rId3547" Type="http://schemas.openxmlformats.org/officeDocument/2006/relationships/image" Target="media/image3539.png"/><Relationship Id="rId3548" Type="http://schemas.openxmlformats.org/officeDocument/2006/relationships/image" Target="media/image3540.png"/><Relationship Id="rId3549" Type="http://schemas.openxmlformats.org/officeDocument/2006/relationships/image" Target="media/image3541.png"/><Relationship Id="rId3550" Type="http://schemas.openxmlformats.org/officeDocument/2006/relationships/image" Target="media/image3542.png"/><Relationship Id="rId3551" Type="http://schemas.openxmlformats.org/officeDocument/2006/relationships/image" Target="media/image3543.png"/><Relationship Id="rId3552" Type="http://schemas.openxmlformats.org/officeDocument/2006/relationships/image" Target="media/image3544.png"/><Relationship Id="rId3553" Type="http://schemas.openxmlformats.org/officeDocument/2006/relationships/image" Target="media/image3545.png"/><Relationship Id="rId3554" Type="http://schemas.openxmlformats.org/officeDocument/2006/relationships/image" Target="media/image3546.png"/><Relationship Id="rId3555" Type="http://schemas.openxmlformats.org/officeDocument/2006/relationships/image" Target="media/image3547.png"/><Relationship Id="rId3556" Type="http://schemas.openxmlformats.org/officeDocument/2006/relationships/image" Target="media/image3548.png"/><Relationship Id="rId3557" Type="http://schemas.openxmlformats.org/officeDocument/2006/relationships/image" Target="media/image3549.png"/><Relationship Id="rId3558" Type="http://schemas.openxmlformats.org/officeDocument/2006/relationships/image" Target="media/image3550.png"/><Relationship Id="rId3559" Type="http://schemas.openxmlformats.org/officeDocument/2006/relationships/image" Target="media/image3551.png"/><Relationship Id="rId3560" Type="http://schemas.openxmlformats.org/officeDocument/2006/relationships/image" Target="media/image3552.png"/><Relationship Id="rId3561" Type="http://schemas.openxmlformats.org/officeDocument/2006/relationships/image" Target="media/image3553.png"/><Relationship Id="rId3562" Type="http://schemas.openxmlformats.org/officeDocument/2006/relationships/image" Target="media/image3554.png"/><Relationship Id="rId3563" Type="http://schemas.openxmlformats.org/officeDocument/2006/relationships/image" Target="media/image3555.png"/><Relationship Id="rId3564" Type="http://schemas.openxmlformats.org/officeDocument/2006/relationships/image" Target="media/image3556.png"/><Relationship Id="rId3565" Type="http://schemas.openxmlformats.org/officeDocument/2006/relationships/image" Target="media/image3557.png"/><Relationship Id="rId3566" Type="http://schemas.openxmlformats.org/officeDocument/2006/relationships/image" Target="media/image3558.png"/><Relationship Id="rId3567" Type="http://schemas.openxmlformats.org/officeDocument/2006/relationships/image" Target="media/image3559.png"/><Relationship Id="rId3568" Type="http://schemas.openxmlformats.org/officeDocument/2006/relationships/image" Target="media/image3560.png"/><Relationship Id="rId3569" Type="http://schemas.openxmlformats.org/officeDocument/2006/relationships/image" Target="media/image3561.png"/><Relationship Id="rId3570" Type="http://schemas.openxmlformats.org/officeDocument/2006/relationships/image" Target="media/image3562.png"/><Relationship Id="rId3571" Type="http://schemas.openxmlformats.org/officeDocument/2006/relationships/image" Target="media/image3563.png"/><Relationship Id="rId3572" Type="http://schemas.openxmlformats.org/officeDocument/2006/relationships/image" Target="media/image3564.png"/><Relationship Id="rId3573" Type="http://schemas.openxmlformats.org/officeDocument/2006/relationships/image" Target="media/image3565.png"/><Relationship Id="rId3574" Type="http://schemas.openxmlformats.org/officeDocument/2006/relationships/image" Target="media/image3566.png"/><Relationship Id="rId3575" Type="http://schemas.openxmlformats.org/officeDocument/2006/relationships/image" Target="media/image3567.png"/><Relationship Id="rId3576" Type="http://schemas.openxmlformats.org/officeDocument/2006/relationships/image" Target="media/image3568.png"/><Relationship Id="rId3577" Type="http://schemas.openxmlformats.org/officeDocument/2006/relationships/image" Target="media/image3569.png"/><Relationship Id="rId3578" Type="http://schemas.openxmlformats.org/officeDocument/2006/relationships/image" Target="media/image3570.png"/><Relationship Id="rId3579" Type="http://schemas.openxmlformats.org/officeDocument/2006/relationships/image" Target="media/image3571.png"/><Relationship Id="rId3580" Type="http://schemas.openxmlformats.org/officeDocument/2006/relationships/image" Target="media/image3572.png"/><Relationship Id="rId3581" Type="http://schemas.openxmlformats.org/officeDocument/2006/relationships/image" Target="media/image3573.png"/><Relationship Id="rId3582" Type="http://schemas.openxmlformats.org/officeDocument/2006/relationships/image" Target="media/image3574.png"/><Relationship Id="rId3583" Type="http://schemas.openxmlformats.org/officeDocument/2006/relationships/image" Target="media/image3575.png"/><Relationship Id="rId3584" Type="http://schemas.openxmlformats.org/officeDocument/2006/relationships/image" Target="media/image3576.png"/><Relationship Id="rId3585" Type="http://schemas.openxmlformats.org/officeDocument/2006/relationships/image" Target="media/image3577.png"/><Relationship Id="rId3586" Type="http://schemas.openxmlformats.org/officeDocument/2006/relationships/image" Target="media/image3578.png"/><Relationship Id="rId3587" Type="http://schemas.openxmlformats.org/officeDocument/2006/relationships/image" Target="media/image3579.png"/><Relationship Id="rId3588" Type="http://schemas.openxmlformats.org/officeDocument/2006/relationships/image" Target="media/image3580.png"/><Relationship Id="rId3589" Type="http://schemas.openxmlformats.org/officeDocument/2006/relationships/image" Target="media/image3581.png"/><Relationship Id="rId3590" Type="http://schemas.openxmlformats.org/officeDocument/2006/relationships/image" Target="media/image3582.png"/><Relationship Id="rId3591" Type="http://schemas.openxmlformats.org/officeDocument/2006/relationships/image" Target="media/image3583.png"/><Relationship Id="rId3592" Type="http://schemas.openxmlformats.org/officeDocument/2006/relationships/image" Target="media/image3584.png"/><Relationship Id="rId3593" Type="http://schemas.openxmlformats.org/officeDocument/2006/relationships/image" Target="media/image3585.png"/><Relationship Id="rId3594" Type="http://schemas.openxmlformats.org/officeDocument/2006/relationships/image" Target="media/image3586.png"/><Relationship Id="rId3595" Type="http://schemas.openxmlformats.org/officeDocument/2006/relationships/image" Target="media/image3587.png"/><Relationship Id="rId3596" Type="http://schemas.openxmlformats.org/officeDocument/2006/relationships/image" Target="media/image3588.png"/><Relationship Id="rId3597" Type="http://schemas.openxmlformats.org/officeDocument/2006/relationships/image" Target="media/image3589.png"/><Relationship Id="rId3598" Type="http://schemas.openxmlformats.org/officeDocument/2006/relationships/image" Target="media/image3590.png"/><Relationship Id="rId3599" Type="http://schemas.openxmlformats.org/officeDocument/2006/relationships/image" Target="media/image3591.png"/><Relationship Id="rId3600" Type="http://schemas.openxmlformats.org/officeDocument/2006/relationships/image" Target="media/image3592.png"/><Relationship Id="rId3601" Type="http://schemas.openxmlformats.org/officeDocument/2006/relationships/image" Target="media/image3593.png"/><Relationship Id="rId3602" Type="http://schemas.openxmlformats.org/officeDocument/2006/relationships/image" Target="media/image3594.png"/><Relationship Id="rId3603" Type="http://schemas.openxmlformats.org/officeDocument/2006/relationships/image" Target="media/image3595.png"/><Relationship Id="rId3604" Type="http://schemas.openxmlformats.org/officeDocument/2006/relationships/image" Target="media/image3596.png"/><Relationship Id="rId3605" Type="http://schemas.openxmlformats.org/officeDocument/2006/relationships/image" Target="media/image3597.png"/><Relationship Id="rId3606" Type="http://schemas.openxmlformats.org/officeDocument/2006/relationships/image" Target="media/image3598.png"/><Relationship Id="rId3607" Type="http://schemas.openxmlformats.org/officeDocument/2006/relationships/image" Target="media/image3599.png"/><Relationship Id="rId3608" Type="http://schemas.openxmlformats.org/officeDocument/2006/relationships/image" Target="media/image3600.png"/><Relationship Id="rId3609" Type="http://schemas.openxmlformats.org/officeDocument/2006/relationships/image" Target="media/image3601.png"/><Relationship Id="rId3610" Type="http://schemas.openxmlformats.org/officeDocument/2006/relationships/image" Target="media/image3602.png"/><Relationship Id="rId3611" Type="http://schemas.openxmlformats.org/officeDocument/2006/relationships/image" Target="media/image3603.png"/><Relationship Id="rId3612" Type="http://schemas.openxmlformats.org/officeDocument/2006/relationships/image" Target="media/image3604.png"/><Relationship Id="rId3613" Type="http://schemas.openxmlformats.org/officeDocument/2006/relationships/image" Target="media/image3605.png"/><Relationship Id="rId3614" Type="http://schemas.openxmlformats.org/officeDocument/2006/relationships/image" Target="media/image3606.png"/><Relationship Id="rId3615" Type="http://schemas.openxmlformats.org/officeDocument/2006/relationships/image" Target="media/image3607.png"/><Relationship Id="rId3616" Type="http://schemas.openxmlformats.org/officeDocument/2006/relationships/image" Target="media/image3608.png"/><Relationship Id="rId3617" Type="http://schemas.openxmlformats.org/officeDocument/2006/relationships/image" Target="media/image3609.png"/><Relationship Id="rId3618" Type="http://schemas.openxmlformats.org/officeDocument/2006/relationships/image" Target="media/image3610.png"/><Relationship Id="rId3619" Type="http://schemas.openxmlformats.org/officeDocument/2006/relationships/image" Target="media/image3611.png"/><Relationship Id="rId3620" Type="http://schemas.openxmlformats.org/officeDocument/2006/relationships/image" Target="media/image3612.png"/><Relationship Id="rId3621" Type="http://schemas.openxmlformats.org/officeDocument/2006/relationships/image" Target="media/image3613.png"/><Relationship Id="rId3622" Type="http://schemas.openxmlformats.org/officeDocument/2006/relationships/image" Target="media/image3614.png"/><Relationship Id="rId3623" Type="http://schemas.openxmlformats.org/officeDocument/2006/relationships/image" Target="media/image3615.png"/><Relationship Id="rId3624" Type="http://schemas.openxmlformats.org/officeDocument/2006/relationships/image" Target="media/image3616.png"/><Relationship Id="rId3625" Type="http://schemas.openxmlformats.org/officeDocument/2006/relationships/image" Target="media/image3617.png"/><Relationship Id="rId3626" Type="http://schemas.openxmlformats.org/officeDocument/2006/relationships/image" Target="media/image3618.png"/><Relationship Id="rId3627" Type="http://schemas.openxmlformats.org/officeDocument/2006/relationships/image" Target="media/image3619.png"/><Relationship Id="rId3628" Type="http://schemas.openxmlformats.org/officeDocument/2006/relationships/image" Target="media/image3620.png"/><Relationship Id="rId3629" Type="http://schemas.openxmlformats.org/officeDocument/2006/relationships/image" Target="media/image3621.png"/><Relationship Id="rId3630" Type="http://schemas.openxmlformats.org/officeDocument/2006/relationships/image" Target="media/image3622.png"/><Relationship Id="rId3631" Type="http://schemas.openxmlformats.org/officeDocument/2006/relationships/image" Target="media/image3623.png"/><Relationship Id="rId3632" Type="http://schemas.openxmlformats.org/officeDocument/2006/relationships/image" Target="media/image3624.png"/><Relationship Id="rId3633" Type="http://schemas.openxmlformats.org/officeDocument/2006/relationships/image" Target="media/image3625.png"/><Relationship Id="rId3634" Type="http://schemas.openxmlformats.org/officeDocument/2006/relationships/image" Target="media/image3626.png"/><Relationship Id="rId3635" Type="http://schemas.openxmlformats.org/officeDocument/2006/relationships/image" Target="media/image3627.png"/><Relationship Id="rId3636" Type="http://schemas.openxmlformats.org/officeDocument/2006/relationships/image" Target="media/image3628.png"/><Relationship Id="rId3637" Type="http://schemas.openxmlformats.org/officeDocument/2006/relationships/image" Target="media/image3629.png"/><Relationship Id="rId3638" Type="http://schemas.openxmlformats.org/officeDocument/2006/relationships/image" Target="media/image3630.png"/><Relationship Id="rId3639" Type="http://schemas.openxmlformats.org/officeDocument/2006/relationships/image" Target="media/image3631.png"/><Relationship Id="rId3640" Type="http://schemas.openxmlformats.org/officeDocument/2006/relationships/image" Target="media/image3632.png"/><Relationship Id="rId3641" Type="http://schemas.openxmlformats.org/officeDocument/2006/relationships/image" Target="media/image3633.png"/><Relationship Id="rId3642" Type="http://schemas.openxmlformats.org/officeDocument/2006/relationships/image" Target="media/image3634.png"/><Relationship Id="rId3643" Type="http://schemas.openxmlformats.org/officeDocument/2006/relationships/image" Target="media/image3635.png"/><Relationship Id="rId3644" Type="http://schemas.openxmlformats.org/officeDocument/2006/relationships/image" Target="media/image3636.png"/><Relationship Id="rId3645" Type="http://schemas.openxmlformats.org/officeDocument/2006/relationships/image" Target="media/image3637.png"/><Relationship Id="rId3646" Type="http://schemas.openxmlformats.org/officeDocument/2006/relationships/image" Target="media/image3638.png"/><Relationship Id="rId3647" Type="http://schemas.openxmlformats.org/officeDocument/2006/relationships/image" Target="media/image3639.png"/><Relationship Id="rId3648" Type="http://schemas.openxmlformats.org/officeDocument/2006/relationships/image" Target="media/image3640.png"/><Relationship Id="rId3649" Type="http://schemas.openxmlformats.org/officeDocument/2006/relationships/image" Target="media/image3641.png"/><Relationship Id="rId3650" Type="http://schemas.openxmlformats.org/officeDocument/2006/relationships/image" Target="media/image3642.png"/><Relationship Id="rId3651" Type="http://schemas.openxmlformats.org/officeDocument/2006/relationships/image" Target="media/image3643.png"/><Relationship Id="rId3652" Type="http://schemas.openxmlformats.org/officeDocument/2006/relationships/image" Target="media/image3644.png"/><Relationship Id="rId3653" Type="http://schemas.openxmlformats.org/officeDocument/2006/relationships/image" Target="media/image3645.png"/><Relationship Id="rId3654" Type="http://schemas.openxmlformats.org/officeDocument/2006/relationships/image" Target="media/image3646.png"/><Relationship Id="rId3655" Type="http://schemas.openxmlformats.org/officeDocument/2006/relationships/image" Target="media/image3647.png"/><Relationship Id="rId3656" Type="http://schemas.openxmlformats.org/officeDocument/2006/relationships/image" Target="media/image3648.png"/><Relationship Id="rId3657" Type="http://schemas.openxmlformats.org/officeDocument/2006/relationships/image" Target="media/image3649.png"/><Relationship Id="rId3658" Type="http://schemas.openxmlformats.org/officeDocument/2006/relationships/image" Target="media/image3650.png"/><Relationship Id="rId3659" Type="http://schemas.openxmlformats.org/officeDocument/2006/relationships/image" Target="media/image3651.png"/><Relationship Id="rId3660" Type="http://schemas.openxmlformats.org/officeDocument/2006/relationships/image" Target="media/image3652.png"/><Relationship Id="rId3661" Type="http://schemas.openxmlformats.org/officeDocument/2006/relationships/image" Target="media/image3653.png"/><Relationship Id="rId3662" Type="http://schemas.openxmlformats.org/officeDocument/2006/relationships/image" Target="media/image3654.png"/><Relationship Id="rId3663" Type="http://schemas.openxmlformats.org/officeDocument/2006/relationships/image" Target="media/image3655.png"/><Relationship Id="rId3664" Type="http://schemas.openxmlformats.org/officeDocument/2006/relationships/image" Target="media/image3656.png"/><Relationship Id="rId3665" Type="http://schemas.openxmlformats.org/officeDocument/2006/relationships/image" Target="media/image3657.png"/><Relationship Id="rId3666" Type="http://schemas.openxmlformats.org/officeDocument/2006/relationships/image" Target="media/image3658.png"/><Relationship Id="rId3667" Type="http://schemas.openxmlformats.org/officeDocument/2006/relationships/image" Target="media/image3659.png"/><Relationship Id="rId3668" Type="http://schemas.openxmlformats.org/officeDocument/2006/relationships/image" Target="media/image3660.png"/><Relationship Id="rId3669" Type="http://schemas.openxmlformats.org/officeDocument/2006/relationships/image" Target="media/image3661.png"/><Relationship Id="rId3670" Type="http://schemas.openxmlformats.org/officeDocument/2006/relationships/image" Target="media/image3662.png"/><Relationship Id="rId3671" Type="http://schemas.openxmlformats.org/officeDocument/2006/relationships/image" Target="media/image3663.png"/><Relationship Id="rId3672" Type="http://schemas.openxmlformats.org/officeDocument/2006/relationships/image" Target="media/image3664.png"/><Relationship Id="rId3673" Type="http://schemas.openxmlformats.org/officeDocument/2006/relationships/image" Target="media/image3665.png"/><Relationship Id="rId3674" Type="http://schemas.openxmlformats.org/officeDocument/2006/relationships/image" Target="media/image3666.png"/><Relationship Id="rId3675" Type="http://schemas.openxmlformats.org/officeDocument/2006/relationships/image" Target="media/image3667.png"/><Relationship Id="rId3676" Type="http://schemas.openxmlformats.org/officeDocument/2006/relationships/image" Target="media/image3668.png"/><Relationship Id="rId3677" Type="http://schemas.openxmlformats.org/officeDocument/2006/relationships/image" Target="media/image3669.png"/><Relationship Id="rId3678" Type="http://schemas.openxmlformats.org/officeDocument/2006/relationships/image" Target="media/image3670.png"/><Relationship Id="rId3679" Type="http://schemas.openxmlformats.org/officeDocument/2006/relationships/image" Target="media/image3671.png"/><Relationship Id="rId3680" Type="http://schemas.openxmlformats.org/officeDocument/2006/relationships/image" Target="media/image3672.png"/><Relationship Id="rId3681" Type="http://schemas.openxmlformats.org/officeDocument/2006/relationships/image" Target="media/image3673.png"/><Relationship Id="rId3682" Type="http://schemas.openxmlformats.org/officeDocument/2006/relationships/image" Target="media/image3674.png"/><Relationship Id="rId3683" Type="http://schemas.openxmlformats.org/officeDocument/2006/relationships/image" Target="media/image3675.png"/><Relationship Id="rId3684" Type="http://schemas.openxmlformats.org/officeDocument/2006/relationships/image" Target="media/image3676.png"/><Relationship Id="rId3685" Type="http://schemas.openxmlformats.org/officeDocument/2006/relationships/image" Target="media/image3677.png"/><Relationship Id="rId3686" Type="http://schemas.openxmlformats.org/officeDocument/2006/relationships/image" Target="media/image3678.png"/><Relationship Id="rId3687" Type="http://schemas.openxmlformats.org/officeDocument/2006/relationships/image" Target="media/image3679.png"/><Relationship Id="rId3688" Type="http://schemas.openxmlformats.org/officeDocument/2006/relationships/image" Target="media/image3680.png"/><Relationship Id="rId3689" Type="http://schemas.openxmlformats.org/officeDocument/2006/relationships/image" Target="media/image3681.png"/><Relationship Id="rId3690" Type="http://schemas.openxmlformats.org/officeDocument/2006/relationships/image" Target="media/image3682.png"/><Relationship Id="rId3691" Type="http://schemas.openxmlformats.org/officeDocument/2006/relationships/image" Target="media/image3683.png"/><Relationship Id="rId3692" Type="http://schemas.openxmlformats.org/officeDocument/2006/relationships/image" Target="media/image3684.png"/><Relationship Id="rId3693" Type="http://schemas.openxmlformats.org/officeDocument/2006/relationships/image" Target="media/image3685.png"/><Relationship Id="rId3694" Type="http://schemas.openxmlformats.org/officeDocument/2006/relationships/image" Target="media/image3686.png"/><Relationship Id="rId3695" Type="http://schemas.openxmlformats.org/officeDocument/2006/relationships/image" Target="media/image3687.png"/><Relationship Id="rId3696" Type="http://schemas.openxmlformats.org/officeDocument/2006/relationships/image" Target="media/image3688.png"/><Relationship Id="rId3697" Type="http://schemas.openxmlformats.org/officeDocument/2006/relationships/image" Target="media/image3689.png"/><Relationship Id="rId3698" Type="http://schemas.openxmlformats.org/officeDocument/2006/relationships/image" Target="media/image3690.png"/><Relationship Id="rId3699" Type="http://schemas.openxmlformats.org/officeDocument/2006/relationships/image" Target="media/image3691.png"/><Relationship Id="rId3700" Type="http://schemas.openxmlformats.org/officeDocument/2006/relationships/image" Target="media/image3692.png"/><Relationship Id="rId3701" Type="http://schemas.openxmlformats.org/officeDocument/2006/relationships/image" Target="media/image3693.png"/><Relationship Id="rId3702" Type="http://schemas.openxmlformats.org/officeDocument/2006/relationships/image" Target="media/image3694.png"/><Relationship Id="rId3703" Type="http://schemas.openxmlformats.org/officeDocument/2006/relationships/image" Target="media/image3695.png"/><Relationship Id="rId3704" Type="http://schemas.openxmlformats.org/officeDocument/2006/relationships/image" Target="media/image3696.png"/><Relationship Id="rId3705" Type="http://schemas.openxmlformats.org/officeDocument/2006/relationships/image" Target="media/image3697.png"/><Relationship Id="rId3706" Type="http://schemas.openxmlformats.org/officeDocument/2006/relationships/image" Target="media/image3698.png"/><Relationship Id="rId3707" Type="http://schemas.openxmlformats.org/officeDocument/2006/relationships/image" Target="media/image3699.png"/><Relationship Id="rId3708" Type="http://schemas.openxmlformats.org/officeDocument/2006/relationships/image" Target="media/image3700.png"/><Relationship Id="rId3709" Type="http://schemas.openxmlformats.org/officeDocument/2006/relationships/image" Target="media/image3701.png"/><Relationship Id="rId3710" Type="http://schemas.openxmlformats.org/officeDocument/2006/relationships/image" Target="media/image3702.png"/><Relationship Id="rId3711" Type="http://schemas.openxmlformats.org/officeDocument/2006/relationships/image" Target="media/image3703.png"/><Relationship Id="rId3712" Type="http://schemas.openxmlformats.org/officeDocument/2006/relationships/image" Target="media/image3704.png"/><Relationship Id="rId3713" Type="http://schemas.openxmlformats.org/officeDocument/2006/relationships/image" Target="media/image3705.png"/><Relationship Id="rId3714" Type="http://schemas.openxmlformats.org/officeDocument/2006/relationships/image" Target="media/image3706.png"/><Relationship Id="rId3715" Type="http://schemas.openxmlformats.org/officeDocument/2006/relationships/image" Target="media/image3707.png"/><Relationship Id="rId3716" Type="http://schemas.openxmlformats.org/officeDocument/2006/relationships/image" Target="media/image3708.png"/><Relationship Id="rId3717" Type="http://schemas.openxmlformats.org/officeDocument/2006/relationships/image" Target="media/image3709.png"/><Relationship Id="rId3718" Type="http://schemas.openxmlformats.org/officeDocument/2006/relationships/image" Target="media/image3710.png"/><Relationship Id="rId3719" Type="http://schemas.openxmlformats.org/officeDocument/2006/relationships/image" Target="media/image3711.png"/><Relationship Id="rId3720" Type="http://schemas.openxmlformats.org/officeDocument/2006/relationships/image" Target="media/image3712.png"/><Relationship Id="rId3721" Type="http://schemas.openxmlformats.org/officeDocument/2006/relationships/image" Target="media/image3713.png"/><Relationship Id="rId3722" Type="http://schemas.openxmlformats.org/officeDocument/2006/relationships/image" Target="media/image3714.png"/><Relationship Id="rId3723" Type="http://schemas.openxmlformats.org/officeDocument/2006/relationships/image" Target="media/image3715.png"/><Relationship Id="rId3724" Type="http://schemas.openxmlformats.org/officeDocument/2006/relationships/image" Target="media/image3716.png"/><Relationship Id="rId3725" Type="http://schemas.openxmlformats.org/officeDocument/2006/relationships/image" Target="media/image3717.png"/><Relationship Id="rId3726" Type="http://schemas.openxmlformats.org/officeDocument/2006/relationships/image" Target="media/image3718.png"/><Relationship Id="rId3727" Type="http://schemas.openxmlformats.org/officeDocument/2006/relationships/image" Target="media/image3719.png"/><Relationship Id="rId3728" Type="http://schemas.openxmlformats.org/officeDocument/2006/relationships/image" Target="media/image3720.png"/><Relationship Id="rId3729" Type="http://schemas.openxmlformats.org/officeDocument/2006/relationships/image" Target="media/image3721.png"/><Relationship Id="rId3730" Type="http://schemas.openxmlformats.org/officeDocument/2006/relationships/image" Target="media/image3722.png"/><Relationship Id="rId3731" Type="http://schemas.openxmlformats.org/officeDocument/2006/relationships/image" Target="media/image3723.png"/><Relationship Id="rId3732" Type="http://schemas.openxmlformats.org/officeDocument/2006/relationships/image" Target="media/image3724.png"/><Relationship Id="rId3733" Type="http://schemas.openxmlformats.org/officeDocument/2006/relationships/image" Target="media/image3725.png"/><Relationship Id="rId3734" Type="http://schemas.openxmlformats.org/officeDocument/2006/relationships/image" Target="media/image3726.png"/><Relationship Id="rId3735" Type="http://schemas.openxmlformats.org/officeDocument/2006/relationships/image" Target="media/image3727.png"/><Relationship Id="rId3736" Type="http://schemas.openxmlformats.org/officeDocument/2006/relationships/image" Target="media/image3728.png"/><Relationship Id="rId3737" Type="http://schemas.openxmlformats.org/officeDocument/2006/relationships/image" Target="media/image3729.png"/><Relationship Id="rId3738" Type="http://schemas.openxmlformats.org/officeDocument/2006/relationships/image" Target="media/image3730.png"/><Relationship Id="rId3739" Type="http://schemas.openxmlformats.org/officeDocument/2006/relationships/image" Target="media/image3731.png"/><Relationship Id="rId3740" Type="http://schemas.openxmlformats.org/officeDocument/2006/relationships/image" Target="media/image3732.png"/><Relationship Id="rId3741" Type="http://schemas.openxmlformats.org/officeDocument/2006/relationships/image" Target="media/image3733.png"/><Relationship Id="rId3742" Type="http://schemas.openxmlformats.org/officeDocument/2006/relationships/image" Target="media/image3734.png"/><Relationship Id="rId3743" Type="http://schemas.openxmlformats.org/officeDocument/2006/relationships/image" Target="media/image3735.png"/><Relationship Id="rId3744" Type="http://schemas.openxmlformats.org/officeDocument/2006/relationships/image" Target="media/image3736.png"/><Relationship Id="rId3745" Type="http://schemas.openxmlformats.org/officeDocument/2006/relationships/image" Target="media/image3737.png"/><Relationship Id="rId3746" Type="http://schemas.openxmlformats.org/officeDocument/2006/relationships/image" Target="media/image3738.png"/><Relationship Id="rId3747" Type="http://schemas.openxmlformats.org/officeDocument/2006/relationships/image" Target="media/image3739.png"/><Relationship Id="rId3748" Type="http://schemas.openxmlformats.org/officeDocument/2006/relationships/image" Target="media/image3740.png"/><Relationship Id="rId3749" Type="http://schemas.openxmlformats.org/officeDocument/2006/relationships/image" Target="media/image3741.png"/><Relationship Id="rId3750" Type="http://schemas.openxmlformats.org/officeDocument/2006/relationships/image" Target="media/image3742.png"/><Relationship Id="rId3751" Type="http://schemas.openxmlformats.org/officeDocument/2006/relationships/image" Target="media/image3743.png"/><Relationship Id="rId3752" Type="http://schemas.openxmlformats.org/officeDocument/2006/relationships/image" Target="media/image3744.png"/><Relationship Id="rId3753" Type="http://schemas.openxmlformats.org/officeDocument/2006/relationships/image" Target="media/image3745.png"/><Relationship Id="rId3754" Type="http://schemas.openxmlformats.org/officeDocument/2006/relationships/image" Target="media/image3746.png"/><Relationship Id="rId3755" Type="http://schemas.openxmlformats.org/officeDocument/2006/relationships/image" Target="media/image3747.png"/><Relationship Id="rId3756" Type="http://schemas.openxmlformats.org/officeDocument/2006/relationships/image" Target="media/image3748.png"/><Relationship Id="rId3757" Type="http://schemas.openxmlformats.org/officeDocument/2006/relationships/image" Target="media/image3749.png"/><Relationship Id="rId3758" Type="http://schemas.openxmlformats.org/officeDocument/2006/relationships/image" Target="media/image3750.png"/><Relationship Id="rId3759" Type="http://schemas.openxmlformats.org/officeDocument/2006/relationships/image" Target="media/image3751.png"/><Relationship Id="rId3760" Type="http://schemas.openxmlformats.org/officeDocument/2006/relationships/image" Target="media/image3752.png"/><Relationship Id="rId3761" Type="http://schemas.openxmlformats.org/officeDocument/2006/relationships/image" Target="media/image3753.png"/><Relationship Id="rId3762" Type="http://schemas.openxmlformats.org/officeDocument/2006/relationships/image" Target="media/image3754.png"/><Relationship Id="rId3763" Type="http://schemas.openxmlformats.org/officeDocument/2006/relationships/image" Target="media/image3755.png"/><Relationship Id="rId3764" Type="http://schemas.openxmlformats.org/officeDocument/2006/relationships/image" Target="media/image3756.png"/><Relationship Id="rId3765" Type="http://schemas.openxmlformats.org/officeDocument/2006/relationships/image" Target="media/image3757.png"/><Relationship Id="rId3766" Type="http://schemas.openxmlformats.org/officeDocument/2006/relationships/image" Target="media/image3758.png"/><Relationship Id="rId3767" Type="http://schemas.openxmlformats.org/officeDocument/2006/relationships/image" Target="media/image3759.png"/><Relationship Id="rId3768" Type="http://schemas.openxmlformats.org/officeDocument/2006/relationships/image" Target="media/image3760.png"/><Relationship Id="rId3769" Type="http://schemas.openxmlformats.org/officeDocument/2006/relationships/image" Target="media/image3761.png"/><Relationship Id="rId3770" Type="http://schemas.openxmlformats.org/officeDocument/2006/relationships/image" Target="media/image3762.png"/><Relationship Id="rId3771" Type="http://schemas.openxmlformats.org/officeDocument/2006/relationships/image" Target="media/image3763.png"/><Relationship Id="rId3772" Type="http://schemas.openxmlformats.org/officeDocument/2006/relationships/image" Target="media/image3764.png"/><Relationship Id="rId3773" Type="http://schemas.openxmlformats.org/officeDocument/2006/relationships/image" Target="media/image3765.png"/><Relationship Id="rId3774" Type="http://schemas.openxmlformats.org/officeDocument/2006/relationships/image" Target="media/image3766.png"/><Relationship Id="rId3775" Type="http://schemas.openxmlformats.org/officeDocument/2006/relationships/image" Target="media/image3767.png"/><Relationship Id="rId3776" Type="http://schemas.openxmlformats.org/officeDocument/2006/relationships/image" Target="media/image3768.png"/><Relationship Id="rId3777" Type="http://schemas.openxmlformats.org/officeDocument/2006/relationships/image" Target="media/image3769.png"/><Relationship Id="rId3778" Type="http://schemas.openxmlformats.org/officeDocument/2006/relationships/image" Target="media/image3770.png"/><Relationship Id="rId3779" Type="http://schemas.openxmlformats.org/officeDocument/2006/relationships/image" Target="media/image3771.png"/><Relationship Id="rId3780" Type="http://schemas.openxmlformats.org/officeDocument/2006/relationships/image" Target="media/image3772.png"/><Relationship Id="rId3781" Type="http://schemas.openxmlformats.org/officeDocument/2006/relationships/image" Target="media/image3773.png"/><Relationship Id="rId3782" Type="http://schemas.openxmlformats.org/officeDocument/2006/relationships/image" Target="media/image3774.png"/><Relationship Id="rId3783" Type="http://schemas.openxmlformats.org/officeDocument/2006/relationships/image" Target="media/image3775.png"/><Relationship Id="rId3784" Type="http://schemas.openxmlformats.org/officeDocument/2006/relationships/image" Target="media/image3776.png"/><Relationship Id="rId3785" Type="http://schemas.openxmlformats.org/officeDocument/2006/relationships/image" Target="media/image3777.png"/><Relationship Id="rId3786" Type="http://schemas.openxmlformats.org/officeDocument/2006/relationships/image" Target="media/image3778.png"/><Relationship Id="rId3787" Type="http://schemas.openxmlformats.org/officeDocument/2006/relationships/image" Target="media/image3779.png"/><Relationship Id="rId3788" Type="http://schemas.openxmlformats.org/officeDocument/2006/relationships/image" Target="media/image3780.png"/><Relationship Id="rId3789" Type="http://schemas.openxmlformats.org/officeDocument/2006/relationships/image" Target="media/image3781.png"/><Relationship Id="rId3790" Type="http://schemas.openxmlformats.org/officeDocument/2006/relationships/image" Target="media/image3782.png"/><Relationship Id="rId3791" Type="http://schemas.openxmlformats.org/officeDocument/2006/relationships/image" Target="media/image3783.png"/><Relationship Id="rId3792" Type="http://schemas.openxmlformats.org/officeDocument/2006/relationships/image" Target="media/image3784.png"/><Relationship Id="rId3793" Type="http://schemas.openxmlformats.org/officeDocument/2006/relationships/image" Target="media/image3785.png"/><Relationship Id="rId3794" Type="http://schemas.openxmlformats.org/officeDocument/2006/relationships/image" Target="media/image3786.png"/><Relationship Id="rId3795" Type="http://schemas.openxmlformats.org/officeDocument/2006/relationships/image" Target="media/image3787.png"/><Relationship Id="rId3796" Type="http://schemas.openxmlformats.org/officeDocument/2006/relationships/image" Target="media/image3788.png"/><Relationship Id="rId3797" Type="http://schemas.openxmlformats.org/officeDocument/2006/relationships/image" Target="media/image3789.png"/><Relationship Id="rId3798" Type="http://schemas.openxmlformats.org/officeDocument/2006/relationships/image" Target="media/image3790.png"/><Relationship Id="rId3799" Type="http://schemas.openxmlformats.org/officeDocument/2006/relationships/image" Target="media/image3791.png"/><Relationship Id="rId3800" Type="http://schemas.openxmlformats.org/officeDocument/2006/relationships/image" Target="media/image3792.png"/><Relationship Id="rId3801" Type="http://schemas.openxmlformats.org/officeDocument/2006/relationships/image" Target="media/image3793.png"/><Relationship Id="rId3802" Type="http://schemas.openxmlformats.org/officeDocument/2006/relationships/image" Target="media/image3794.png"/><Relationship Id="rId3803" Type="http://schemas.openxmlformats.org/officeDocument/2006/relationships/image" Target="media/image3795.png"/><Relationship Id="rId3804" Type="http://schemas.openxmlformats.org/officeDocument/2006/relationships/image" Target="media/image3796.png"/><Relationship Id="rId3805" Type="http://schemas.openxmlformats.org/officeDocument/2006/relationships/image" Target="media/image3797.png"/><Relationship Id="rId3806" Type="http://schemas.openxmlformats.org/officeDocument/2006/relationships/image" Target="media/image3798.png"/><Relationship Id="rId3807" Type="http://schemas.openxmlformats.org/officeDocument/2006/relationships/image" Target="media/image3799.png"/><Relationship Id="rId3808" Type="http://schemas.openxmlformats.org/officeDocument/2006/relationships/image" Target="media/image3800.png"/><Relationship Id="rId3809" Type="http://schemas.openxmlformats.org/officeDocument/2006/relationships/image" Target="media/image3801.png"/><Relationship Id="rId3810" Type="http://schemas.openxmlformats.org/officeDocument/2006/relationships/image" Target="media/image3802.png"/><Relationship Id="rId3811" Type="http://schemas.openxmlformats.org/officeDocument/2006/relationships/image" Target="media/image3803.png"/><Relationship Id="rId3812" Type="http://schemas.openxmlformats.org/officeDocument/2006/relationships/image" Target="media/image3804.png"/><Relationship Id="rId3813" Type="http://schemas.openxmlformats.org/officeDocument/2006/relationships/image" Target="media/image3805.png"/><Relationship Id="rId3814" Type="http://schemas.openxmlformats.org/officeDocument/2006/relationships/image" Target="media/image3806.png"/><Relationship Id="rId3815" Type="http://schemas.openxmlformats.org/officeDocument/2006/relationships/image" Target="media/image3807.png"/><Relationship Id="rId3816" Type="http://schemas.openxmlformats.org/officeDocument/2006/relationships/image" Target="media/image3808.png"/><Relationship Id="rId3817" Type="http://schemas.openxmlformats.org/officeDocument/2006/relationships/image" Target="media/image3809.png"/><Relationship Id="rId3818" Type="http://schemas.openxmlformats.org/officeDocument/2006/relationships/image" Target="media/image3810.png"/><Relationship Id="rId3819" Type="http://schemas.openxmlformats.org/officeDocument/2006/relationships/image" Target="media/image3811.png"/><Relationship Id="rId3820" Type="http://schemas.openxmlformats.org/officeDocument/2006/relationships/image" Target="media/image3812.png"/><Relationship Id="rId3821" Type="http://schemas.openxmlformats.org/officeDocument/2006/relationships/image" Target="media/image3813.png"/><Relationship Id="rId3822" Type="http://schemas.openxmlformats.org/officeDocument/2006/relationships/image" Target="media/image3814.png"/><Relationship Id="rId3823" Type="http://schemas.openxmlformats.org/officeDocument/2006/relationships/image" Target="media/image3815.png"/><Relationship Id="rId3824" Type="http://schemas.openxmlformats.org/officeDocument/2006/relationships/image" Target="media/image3816.png"/><Relationship Id="rId3825" Type="http://schemas.openxmlformats.org/officeDocument/2006/relationships/image" Target="media/image3817.png"/><Relationship Id="rId3826" Type="http://schemas.openxmlformats.org/officeDocument/2006/relationships/image" Target="media/image3818.png"/><Relationship Id="rId3827" Type="http://schemas.openxmlformats.org/officeDocument/2006/relationships/image" Target="media/image3819.png"/><Relationship Id="rId3828" Type="http://schemas.openxmlformats.org/officeDocument/2006/relationships/image" Target="media/image3820.png"/><Relationship Id="rId3829" Type="http://schemas.openxmlformats.org/officeDocument/2006/relationships/image" Target="media/image3821.png"/><Relationship Id="rId3830" Type="http://schemas.openxmlformats.org/officeDocument/2006/relationships/image" Target="media/image3822.png"/><Relationship Id="rId3831" Type="http://schemas.openxmlformats.org/officeDocument/2006/relationships/image" Target="media/image3823.png"/><Relationship Id="rId3832" Type="http://schemas.openxmlformats.org/officeDocument/2006/relationships/image" Target="media/image3824.png"/><Relationship Id="rId3833" Type="http://schemas.openxmlformats.org/officeDocument/2006/relationships/image" Target="media/image3825.png"/><Relationship Id="rId3834" Type="http://schemas.openxmlformats.org/officeDocument/2006/relationships/image" Target="media/image3826.png"/><Relationship Id="rId3835" Type="http://schemas.openxmlformats.org/officeDocument/2006/relationships/image" Target="media/image3827.png"/><Relationship Id="rId3836" Type="http://schemas.openxmlformats.org/officeDocument/2006/relationships/image" Target="media/image3828.png"/><Relationship Id="rId3837" Type="http://schemas.openxmlformats.org/officeDocument/2006/relationships/image" Target="media/image3829.png"/><Relationship Id="rId3838" Type="http://schemas.openxmlformats.org/officeDocument/2006/relationships/image" Target="media/image3830.png"/><Relationship Id="rId3839" Type="http://schemas.openxmlformats.org/officeDocument/2006/relationships/image" Target="media/image3831.png"/><Relationship Id="rId3840" Type="http://schemas.openxmlformats.org/officeDocument/2006/relationships/image" Target="media/image3832.png"/><Relationship Id="rId3841" Type="http://schemas.openxmlformats.org/officeDocument/2006/relationships/image" Target="media/image3833.png"/><Relationship Id="rId3842" Type="http://schemas.openxmlformats.org/officeDocument/2006/relationships/image" Target="media/image3834.png"/><Relationship Id="rId3843" Type="http://schemas.openxmlformats.org/officeDocument/2006/relationships/image" Target="media/image3835.png"/><Relationship Id="rId3844" Type="http://schemas.openxmlformats.org/officeDocument/2006/relationships/image" Target="media/image3836.png"/><Relationship Id="rId3845" Type="http://schemas.openxmlformats.org/officeDocument/2006/relationships/image" Target="media/image3837.png"/><Relationship Id="rId3846" Type="http://schemas.openxmlformats.org/officeDocument/2006/relationships/image" Target="media/image3838.png"/><Relationship Id="rId3847" Type="http://schemas.openxmlformats.org/officeDocument/2006/relationships/image" Target="media/image3839.png"/><Relationship Id="rId3848" Type="http://schemas.openxmlformats.org/officeDocument/2006/relationships/image" Target="media/image3840.png"/><Relationship Id="rId3849" Type="http://schemas.openxmlformats.org/officeDocument/2006/relationships/image" Target="media/image3841.png"/><Relationship Id="rId3850" Type="http://schemas.openxmlformats.org/officeDocument/2006/relationships/image" Target="media/image3842.png"/><Relationship Id="rId3851" Type="http://schemas.openxmlformats.org/officeDocument/2006/relationships/image" Target="media/image3843.png"/><Relationship Id="rId3852" Type="http://schemas.openxmlformats.org/officeDocument/2006/relationships/image" Target="media/image3844.png"/><Relationship Id="rId3853" Type="http://schemas.openxmlformats.org/officeDocument/2006/relationships/image" Target="media/image3845.png"/><Relationship Id="rId3854" Type="http://schemas.openxmlformats.org/officeDocument/2006/relationships/image" Target="media/image3846.png"/><Relationship Id="rId3855" Type="http://schemas.openxmlformats.org/officeDocument/2006/relationships/image" Target="media/image3847.png"/><Relationship Id="rId3856" Type="http://schemas.openxmlformats.org/officeDocument/2006/relationships/image" Target="media/image3848.png"/><Relationship Id="rId3857" Type="http://schemas.openxmlformats.org/officeDocument/2006/relationships/image" Target="media/image3849.png"/><Relationship Id="rId3858" Type="http://schemas.openxmlformats.org/officeDocument/2006/relationships/image" Target="media/image3850.png"/><Relationship Id="rId3859" Type="http://schemas.openxmlformats.org/officeDocument/2006/relationships/image" Target="media/image3851.png"/><Relationship Id="rId3860" Type="http://schemas.openxmlformats.org/officeDocument/2006/relationships/image" Target="media/image3852.png"/><Relationship Id="rId3861" Type="http://schemas.openxmlformats.org/officeDocument/2006/relationships/image" Target="media/image3853.png"/><Relationship Id="rId3862" Type="http://schemas.openxmlformats.org/officeDocument/2006/relationships/image" Target="media/image3854.png"/><Relationship Id="rId3863" Type="http://schemas.openxmlformats.org/officeDocument/2006/relationships/image" Target="media/image3855.png"/><Relationship Id="rId3864" Type="http://schemas.openxmlformats.org/officeDocument/2006/relationships/image" Target="media/image3856.png"/><Relationship Id="rId3865" Type="http://schemas.openxmlformats.org/officeDocument/2006/relationships/image" Target="media/image3857.png"/><Relationship Id="rId3866" Type="http://schemas.openxmlformats.org/officeDocument/2006/relationships/image" Target="media/image3858.png"/><Relationship Id="rId3867" Type="http://schemas.openxmlformats.org/officeDocument/2006/relationships/image" Target="media/image3859.png"/><Relationship Id="rId3868" Type="http://schemas.openxmlformats.org/officeDocument/2006/relationships/image" Target="media/image3860.png"/><Relationship Id="rId3869" Type="http://schemas.openxmlformats.org/officeDocument/2006/relationships/image" Target="media/image3861.png"/><Relationship Id="rId3870" Type="http://schemas.openxmlformats.org/officeDocument/2006/relationships/image" Target="media/image3862.png"/><Relationship Id="rId3871" Type="http://schemas.openxmlformats.org/officeDocument/2006/relationships/image" Target="media/image3863.png"/><Relationship Id="rId3872" Type="http://schemas.openxmlformats.org/officeDocument/2006/relationships/image" Target="media/image3864.png"/><Relationship Id="rId3873" Type="http://schemas.openxmlformats.org/officeDocument/2006/relationships/image" Target="media/image3865.png"/><Relationship Id="rId3874" Type="http://schemas.openxmlformats.org/officeDocument/2006/relationships/image" Target="media/image3866.png"/><Relationship Id="rId3875" Type="http://schemas.openxmlformats.org/officeDocument/2006/relationships/image" Target="media/image3867.png"/><Relationship Id="rId3876" Type="http://schemas.openxmlformats.org/officeDocument/2006/relationships/image" Target="media/image3868.png"/><Relationship Id="rId3877" Type="http://schemas.openxmlformats.org/officeDocument/2006/relationships/image" Target="media/image3869.png"/><Relationship Id="rId3878" Type="http://schemas.openxmlformats.org/officeDocument/2006/relationships/image" Target="media/image3870.png"/><Relationship Id="rId3879" Type="http://schemas.openxmlformats.org/officeDocument/2006/relationships/image" Target="media/image3871.png"/><Relationship Id="rId3880" Type="http://schemas.openxmlformats.org/officeDocument/2006/relationships/image" Target="media/image3872.png"/><Relationship Id="rId3881" Type="http://schemas.openxmlformats.org/officeDocument/2006/relationships/image" Target="media/image3873.png"/><Relationship Id="rId3882" Type="http://schemas.openxmlformats.org/officeDocument/2006/relationships/image" Target="media/image3874.png"/><Relationship Id="rId3883" Type="http://schemas.openxmlformats.org/officeDocument/2006/relationships/image" Target="media/image3875.png"/><Relationship Id="rId3884" Type="http://schemas.openxmlformats.org/officeDocument/2006/relationships/image" Target="media/image3876.png"/><Relationship Id="rId3885" Type="http://schemas.openxmlformats.org/officeDocument/2006/relationships/image" Target="media/image3877.png"/><Relationship Id="rId3886" Type="http://schemas.openxmlformats.org/officeDocument/2006/relationships/image" Target="media/image3878.png"/><Relationship Id="rId3887" Type="http://schemas.openxmlformats.org/officeDocument/2006/relationships/image" Target="media/image3879.png"/><Relationship Id="rId3888" Type="http://schemas.openxmlformats.org/officeDocument/2006/relationships/image" Target="media/image3880.png"/><Relationship Id="rId3889" Type="http://schemas.openxmlformats.org/officeDocument/2006/relationships/image" Target="media/image3881.png"/><Relationship Id="rId3890" Type="http://schemas.openxmlformats.org/officeDocument/2006/relationships/image" Target="media/image3882.png"/><Relationship Id="rId3891" Type="http://schemas.openxmlformats.org/officeDocument/2006/relationships/image" Target="media/image3883.png"/><Relationship Id="rId3892" Type="http://schemas.openxmlformats.org/officeDocument/2006/relationships/image" Target="media/image3884.png"/><Relationship Id="rId3893" Type="http://schemas.openxmlformats.org/officeDocument/2006/relationships/image" Target="media/image3885.png"/><Relationship Id="rId3894" Type="http://schemas.openxmlformats.org/officeDocument/2006/relationships/image" Target="media/image3886.png"/><Relationship Id="rId3895" Type="http://schemas.openxmlformats.org/officeDocument/2006/relationships/image" Target="media/image3887.png"/><Relationship Id="rId3896" Type="http://schemas.openxmlformats.org/officeDocument/2006/relationships/image" Target="media/image3888.png"/><Relationship Id="rId3897" Type="http://schemas.openxmlformats.org/officeDocument/2006/relationships/image" Target="media/image3889.png"/><Relationship Id="rId3898" Type="http://schemas.openxmlformats.org/officeDocument/2006/relationships/image" Target="media/image3890.png"/><Relationship Id="rId3899" Type="http://schemas.openxmlformats.org/officeDocument/2006/relationships/image" Target="media/image3891.png"/><Relationship Id="rId3900" Type="http://schemas.openxmlformats.org/officeDocument/2006/relationships/image" Target="media/image3892.png"/><Relationship Id="rId3901" Type="http://schemas.openxmlformats.org/officeDocument/2006/relationships/image" Target="media/image3893.png"/><Relationship Id="rId3902" Type="http://schemas.openxmlformats.org/officeDocument/2006/relationships/image" Target="media/image3894.png"/><Relationship Id="rId3903" Type="http://schemas.openxmlformats.org/officeDocument/2006/relationships/image" Target="media/image3895.png"/><Relationship Id="rId3904" Type="http://schemas.openxmlformats.org/officeDocument/2006/relationships/image" Target="media/image3896.png"/><Relationship Id="rId3905" Type="http://schemas.openxmlformats.org/officeDocument/2006/relationships/image" Target="media/image3897.png"/><Relationship Id="rId3906" Type="http://schemas.openxmlformats.org/officeDocument/2006/relationships/image" Target="media/image3898.png"/><Relationship Id="rId3907" Type="http://schemas.openxmlformats.org/officeDocument/2006/relationships/image" Target="media/image3899.png"/><Relationship Id="rId3908" Type="http://schemas.openxmlformats.org/officeDocument/2006/relationships/image" Target="media/image3900.png"/><Relationship Id="rId3909" Type="http://schemas.openxmlformats.org/officeDocument/2006/relationships/image" Target="media/image3901.png"/><Relationship Id="rId3910" Type="http://schemas.openxmlformats.org/officeDocument/2006/relationships/image" Target="media/image3902.png"/><Relationship Id="rId3911" Type="http://schemas.openxmlformats.org/officeDocument/2006/relationships/image" Target="media/image3903.png"/><Relationship Id="rId3912" Type="http://schemas.openxmlformats.org/officeDocument/2006/relationships/image" Target="media/image3904.png"/><Relationship Id="rId3913" Type="http://schemas.openxmlformats.org/officeDocument/2006/relationships/image" Target="media/image3905.png"/><Relationship Id="rId3914" Type="http://schemas.openxmlformats.org/officeDocument/2006/relationships/image" Target="media/image3906.png"/><Relationship Id="rId3915" Type="http://schemas.openxmlformats.org/officeDocument/2006/relationships/image" Target="media/image3907.png"/><Relationship Id="rId3916" Type="http://schemas.openxmlformats.org/officeDocument/2006/relationships/image" Target="media/image3908.png"/><Relationship Id="rId3917" Type="http://schemas.openxmlformats.org/officeDocument/2006/relationships/image" Target="media/image3909.png"/><Relationship Id="rId3918" Type="http://schemas.openxmlformats.org/officeDocument/2006/relationships/image" Target="media/image3910.png"/><Relationship Id="rId3919" Type="http://schemas.openxmlformats.org/officeDocument/2006/relationships/image" Target="media/image3911.png"/><Relationship Id="rId3920" Type="http://schemas.openxmlformats.org/officeDocument/2006/relationships/image" Target="media/image3912.png"/><Relationship Id="rId3921" Type="http://schemas.openxmlformats.org/officeDocument/2006/relationships/image" Target="media/image3913.png"/><Relationship Id="rId3922" Type="http://schemas.openxmlformats.org/officeDocument/2006/relationships/image" Target="media/image3914.png"/><Relationship Id="rId3923" Type="http://schemas.openxmlformats.org/officeDocument/2006/relationships/image" Target="media/image3915.png"/><Relationship Id="rId3924" Type="http://schemas.openxmlformats.org/officeDocument/2006/relationships/image" Target="media/image3916.png"/><Relationship Id="rId3925" Type="http://schemas.openxmlformats.org/officeDocument/2006/relationships/image" Target="media/image3917.png"/><Relationship Id="rId3926" Type="http://schemas.openxmlformats.org/officeDocument/2006/relationships/image" Target="media/image3918.png"/><Relationship Id="rId3927" Type="http://schemas.openxmlformats.org/officeDocument/2006/relationships/image" Target="media/image3919.png"/><Relationship Id="rId3928" Type="http://schemas.openxmlformats.org/officeDocument/2006/relationships/image" Target="media/image3920.png"/><Relationship Id="rId3929" Type="http://schemas.openxmlformats.org/officeDocument/2006/relationships/image" Target="media/image3921.png"/><Relationship Id="rId3930" Type="http://schemas.openxmlformats.org/officeDocument/2006/relationships/image" Target="media/image3922.png"/><Relationship Id="rId3931" Type="http://schemas.openxmlformats.org/officeDocument/2006/relationships/image" Target="media/image3923.png"/><Relationship Id="rId3932" Type="http://schemas.openxmlformats.org/officeDocument/2006/relationships/image" Target="media/image3924.png"/><Relationship Id="rId3933" Type="http://schemas.openxmlformats.org/officeDocument/2006/relationships/image" Target="media/image3925.png"/><Relationship Id="rId3934" Type="http://schemas.openxmlformats.org/officeDocument/2006/relationships/image" Target="media/image3926.png"/><Relationship Id="rId3935" Type="http://schemas.openxmlformats.org/officeDocument/2006/relationships/image" Target="media/image3927.png"/><Relationship Id="rId3936" Type="http://schemas.openxmlformats.org/officeDocument/2006/relationships/image" Target="media/image3928.png"/><Relationship Id="rId3937" Type="http://schemas.openxmlformats.org/officeDocument/2006/relationships/image" Target="media/image3929.png"/><Relationship Id="rId3938" Type="http://schemas.openxmlformats.org/officeDocument/2006/relationships/image" Target="media/image3930.png"/><Relationship Id="rId3939" Type="http://schemas.openxmlformats.org/officeDocument/2006/relationships/image" Target="media/image3931.png"/><Relationship Id="rId3940" Type="http://schemas.openxmlformats.org/officeDocument/2006/relationships/image" Target="media/image3932.png"/><Relationship Id="rId3941" Type="http://schemas.openxmlformats.org/officeDocument/2006/relationships/image" Target="media/image3933.png"/><Relationship Id="rId3942" Type="http://schemas.openxmlformats.org/officeDocument/2006/relationships/image" Target="media/image3934.png"/><Relationship Id="rId3943" Type="http://schemas.openxmlformats.org/officeDocument/2006/relationships/image" Target="media/image3935.png"/><Relationship Id="rId3944" Type="http://schemas.openxmlformats.org/officeDocument/2006/relationships/image" Target="media/image3936.png"/><Relationship Id="rId3945" Type="http://schemas.openxmlformats.org/officeDocument/2006/relationships/image" Target="media/image3937.png"/><Relationship Id="rId3946" Type="http://schemas.openxmlformats.org/officeDocument/2006/relationships/image" Target="media/image3938.png"/><Relationship Id="rId3947" Type="http://schemas.openxmlformats.org/officeDocument/2006/relationships/image" Target="media/image3939.png"/><Relationship Id="rId3948" Type="http://schemas.openxmlformats.org/officeDocument/2006/relationships/image" Target="media/image3940.png"/><Relationship Id="rId3949" Type="http://schemas.openxmlformats.org/officeDocument/2006/relationships/image" Target="media/image3941.png"/><Relationship Id="rId3950" Type="http://schemas.openxmlformats.org/officeDocument/2006/relationships/image" Target="media/image3942.png"/><Relationship Id="rId3951" Type="http://schemas.openxmlformats.org/officeDocument/2006/relationships/image" Target="media/image3943.png"/><Relationship Id="rId3952" Type="http://schemas.openxmlformats.org/officeDocument/2006/relationships/image" Target="media/image3944.png"/><Relationship Id="rId3953" Type="http://schemas.openxmlformats.org/officeDocument/2006/relationships/image" Target="media/image3945.png"/><Relationship Id="rId3954" Type="http://schemas.openxmlformats.org/officeDocument/2006/relationships/image" Target="media/image3946.png"/><Relationship Id="rId3955" Type="http://schemas.openxmlformats.org/officeDocument/2006/relationships/image" Target="media/image3947.png"/><Relationship Id="rId3956" Type="http://schemas.openxmlformats.org/officeDocument/2006/relationships/image" Target="media/image3948.png"/><Relationship Id="rId3957" Type="http://schemas.openxmlformats.org/officeDocument/2006/relationships/image" Target="media/image3949.png"/><Relationship Id="rId3958" Type="http://schemas.openxmlformats.org/officeDocument/2006/relationships/image" Target="media/image3950.png"/><Relationship Id="rId3959" Type="http://schemas.openxmlformats.org/officeDocument/2006/relationships/image" Target="media/image3951.png"/><Relationship Id="rId3960" Type="http://schemas.openxmlformats.org/officeDocument/2006/relationships/image" Target="media/image3952.png"/><Relationship Id="rId3961" Type="http://schemas.openxmlformats.org/officeDocument/2006/relationships/image" Target="media/image3953.png"/><Relationship Id="rId3962" Type="http://schemas.openxmlformats.org/officeDocument/2006/relationships/image" Target="media/image3954.png"/><Relationship Id="rId3963" Type="http://schemas.openxmlformats.org/officeDocument/2006/relationships/image" Target="media/image3955.png"/><Relationship Id="rId3964" Type="http://schemas.openxmlformats.org/officeDocument/2006/relationships/image" Target="media/image3956.png"/><Relationship Id="rId3965" Type="http://schemas.openxmlformats.org/officeDocument/2006/relationships/image" Target="media/image3957.png"/><Relationship Id="rId3966" Type="http://schemas.openxmlformats.org/officeDocument/2006/relationships/image" Target="media/image3958.png"/><Relationship Id="rId3967" Type="http://schemas.openxmlformats.org/officeDocument/2006/relationships/image" Target="media/image3959.png"/><Relationship Id="rId3968" Type="http://schemas.openxmlformats.org/officeDocument/2006/relationships/image" Target="media/image3960.png"/><Relationship Id="rId3969" Type="http://schemas.openxmlformats.org/officeDocument/2006/relationships/image" Target="media/image3961.png"/><Relationship Id="rId3970" Type="http://schemas.openxmlformats.org/officeDocument/2006/relationships/image" Target="media/image3962.png"/><Relationship Id="rId3971" Type="http://schemas.openxmlformats.org/officeDocument/2006/relationships/image" Target="media/image3963.png"/><Relationship Id="rId3972" Type="http://schemas.openxmlformats.org/officeDocument/2006/relationships/image" Target="media/image3964.png"/><Relationship Id="rId3973" Type="http://schemas.openxmlformats.org/officeDocument/2006/relationships/image" Target="media/image3965.png"/><Relationship Id="rId3974" Type="http://schemas.openxmlformats.org/officeDocument/2006/relationships/image" Target="media/image3966.png"/><Relationship Id="rId3975" Type="http://schemas.openxmlformats.org/officeDocument/2006/relationships/image" Target="media/image3967.png"/><Relationship Id="rId3976" Type="http://schemas.openxmlformats.org/officeDocument/2006/relationships/image" Target="media/image3968.png"/><Relationship Id="rId3977" Type="http://schemas.openxmlformats.org/officeDocument/2006/relationships/image" Target="media/image3969.png"/><Relationship Id="rId3978" Type="http://schemas.openxmlformats.org/officeDocument/2006/relationships/image" Target="media/image3970.png"/><Relationship Id="rId3979" Type="http://schemas.openxmlformats.org/officeDocument/2006/relationships/image" Target="media/image3971.png"/><Relationship Id="rId3980" Type="http://schemas.openxmlformats.org/officeDocument/2006/relationships/image" Target="media/image3972.png"/><Relationship Id="rId3981" Type="http://schemas.openxmlformats.org/officeDocument/2006/relationships/image" Target="media/image3973.png"/><Relationship Id="rId3982" Type="http://schemas.openxmlformats.org/officeDocument/2006/relationships/image" Target="media/image3974.png"/><Relationship Id="rId3983" Type="http://schemas.openxmlformats.org/officeDocument/2006/relationships/image" Target="media/image3975.png"/><Relationship Id="rId3984" Type="http://schemas.openxmlformats.org/officeDocument/2006/relationships/image" Target="media/image3976.png"/><Relationship Id="rId3985" Type="http://schemas.openxmlformats.org/officeDocument/2006/relationships/image" Target="media/image3977.png"/><Relationship Id="rId3986" Type="http://schemas.openxmlformats.org/officeDocument/2006/relationships/image" Target="media/image3978.png"/><Relationship Id="rId3987" Type="http://schemas.openxmlformats.org/officeDocument/2006/relationships/image" Target="media/image3979.png"/><Relationship Id="rId3988" Type="http://schemas.openxmlformats.org/officeDocument/2006/relationships/image" Target="media/image3980.png"/><Relationship Id="rId3989" Type="http://schemas.openxmlformats.org/officeDocument/2006/relationships/image" Target="media/image3981.png"/><Relationship Id="rId3990" Type="http://schemas.openxmlformats.org/officeDocument/2006/relationships/image" Target="media/image3982.png"/><Relationship Id="rId3991" Type="http://schemas.openxmlformats.org/officeDocument/2006/relationships/image" Target="media/image3983.png"/><Relationship Id="rId3992" Type="http://schemas.openxmlformats.org/officeDocument/2006/relationships/image" Target="media/image3984.png"/><Relationship Id="rId3993" Type="http://schemas.openxmlformats.org/officeDocument/2006/relationships/image" Target="media/image3985.png"/><Relationship Id="rId3994" Type="http://schemas.openxmlformats.org/officeDocument/2006/relationships/image" Target="media/image3986.png"/><Relationship Id="rId3995" Type="http://schemas.openxmlformats.org/officeDocument/2006/relationships/image" Target="media/image3987.png"/><Relationship Id="rId3996" Type="http://schemas.openxmlformats.org/officeDocument/2006/relationships/image" Target="media/image3988.png"/><Relationship Id="rId3997" Type="http://schemas.openxmlformats.org/officeDocument/2006/relationships/image" Target="media/image3989.png"/><Relationship Id="rId3998" Type="http://schemas.openxmlformats.org/officeDocument/2006/relationships/image" Target="media/image3990.png"/><Relationship Id="rId3999" Type="http://schemas.openxmlformats.org/officeDocument/2006/relationships/image" Target="media/image3991.png"/><Relationship Id="rId4000" Type="http://schemas.openxmlformats.org/officeDocument/2006/relationships/image" Target="media/image3992.png"/><Relationship Id="rId4001" Type="http://schemas.openxmlformats.org/officeDocument/2006/relationships/image" Target="media/image3993.png"/><Relationship Id="rId4002" Type="http://schemas.openxmlformats.org/officeDocument/2006/relationships/image" Target="media/image3994.png"/><Relationship Id="rId4003" Type="http://schemas.openxmlformats.org/officeDocument/2006/relationships/image" Target="media/image3995.png"/><Relationship Id="rId4004" Type="http://schemas.openxmlformats.org/officeDocument/2006/relationships/image" Target="media/image3996.png"/><Relationship Id="rId4005" Type="http://schemas.openxmlformats.org/officeDocument/2006/relationships/image" Target="media/image3997.png"/><Relationship Id="rId4006" Type="http://schemas.openxmlformats.org/officeDocument/2006/relationships/image" Target="media/image3998.png"/><Relationship Id="rId4007" Type="http://schemas.openxmlformats.org/officeDocument/2006/relationships/image" Target="media/image3999.png"/><Relationship Id="rId4008" Type="http://schemas.openxmlformats.org/officeDocument/2006/relationships/image" Target="media/image4000.png"/><Relationship Id="rId4009" Type="http://schemas.openxmlformats.org/officeDocument/2006/relationships/image" Target="media/image4001.png"/><Relationship Id="rId4010" Type="http://schemas.openxmlformats.org/officeDocument/2006/relationships/image" Target="media/image4002.png"/><Relationship Id="rId4011" Type="http://schemas.openxmlformats.org/officeDocument/2006/relationships/image" Target="media/image4003.png"/><Relationship Id="rId4012" Type="http://schemas.openxmlformats.org/officeDocument/2006/relationships/image" Target="media/image4004.png"/><Relationship Id="rId4013" Type="http://schemas.openxmlformats.org/officeDocument/2006/relationships/image" Target="media/image4005.png"/><Relationship Id="rId4014" Type="http://schemas.openxmlformats.org/officeDocument/2006/relationships/image" Target="media/image4006.png"/><Relationship Id="rId4015" Type="http://schemas.openxmlformats.org/officeDocument/2006/relationships/image" Target="media/image4007.png"/><Relationship Id="rId4016" Type="http://schemas.openxmlformats.org/officeDocument/2006/relationships/image" Target="media/image4008.png"/><Relationship Id="rId4017" Type="http://schemas.openxmlformats.org/officeDocument/2006/relationships/image" Target="media/image4009.png"/><Relationship Id="rId4018" Type="http://schemas.openxmlformats.org/officeDocument/2006/relationships/image" Target="media/image4010.png"/><Relationship Id="rId4019" Type="http://schemas.openxmlformats.org/officeDocument/2006/relationships/image" Target="media/image4011.png"/><Relationship Id="rId4020" Type="http://schemas.openxmlformats.org/officeDocument/2006/relationships/image" Target="media/image4012.png"/><Relationship Id="rId4021" Type="http://schemas.openxmlformats.org/officeDocument/2006/relationships/image" Target="media/image4013.png"/><Relationship Id="rId4022" Type="http://schemas.openxmlformats.org/officeDocument/2006/relationships/image" Target="media/image4014.png"/><Relationship Id="rId4023" Type="http://schemas.openxmlformats.org/officeDocument/2006/relationships/image" Target="media/image4015.png"/><Relationship Id="rId4024" Type="http://schemas.openxmlformats.org/officeDocument/2006/relationships/image" Target="media/image4016.png"/><Relationship Id="rId4025" Type="http://schemas.openxmlformats.org/officeDocument/2006/relationships/image" Target="media/image4017.png"/><Relationship Id="rId4026" Type="http://schemas.openxmlformats.org/officeDocument/2006/relationships/image" Target="media/image4018.png"/><Relationship Id="rId4027" Type="http://schemas.openxmlformats.org/officeDocument/2006/relationships/image" Target="media/image4019.png"/><Relationship Id="rId4028" Type="http://schemas.openxmlformats.org/officeDocument/2006/relationships/image" Target="media/image4020.png"/><Relationship Id="rId4029" Type="http://schemas.openxmlformats.org/officeDocument/2006/relationships/image" Target="media/image4021.png"/><Relationship Id="rId4030" Type="http://schemas.openxmlformats.org/officeDocument/2006/relationships/image" Target="media/image4022.png"/><Relationship Id="rId4031" Type="http://schemas.openxmlformats.org/officeDocument/2006/relationships/image" Target="media/image4023.png"/><Relationship Id="rId4032" Type="http://schemas.openxmlformats.org/officeDocument/2006/relationships/image" Target="media/image4024.png"/><Relationship Id="rId4033" Type="http://schemas.openxmlformats.org/officeDocument/2006/relationships/image" Target="media/image4025.png"/><Relationship Id="rId4034" Type="http://schemas.openxmlformats.org/officeDocument/2006/relationships/image" Target="media/image4026.png"/><Relationship Id="rId4035" Type="http://schemas.openxmlformats.org/officeDocument/2006/relationships/image" Target="media/image4027.png"/><Relationship Id="rId4036" Type="http://schemas.openxmlformats.org/officeDocument/2006/relationships/image" Target="media/image4028.png"/><Relationship Id="rId4037" Type="http://schemas.openxmlformats.org/officeDocument/2006/relationships/image" Target="media/image4029.png"/><Relationship Id="rId4038" Type="http://schemas.openxmlformats.org/officeDocument/2006/relationships/image" Target="media/image4030.png"/><Relationship Id="rId4039" Type="http://schemas.openxmlformats.org/officeDocument/2006/relationships/image" Target="media/image4031.png"/><Relationship Id="rId4040" Type="http://schemas.openxmlformats.org/officeDocument/2006/relationships/image" Target="media/image4032.png"/><Relationship Id="rId4041" Type="http://schemas.openxmlformats.org/officeDocument/2006/relationships/image" Target="media/image4033.png"/><Relationship Id="rId4042" Type="http://schemas.openxmlformats.org/officeDocument/2006/relationships/image" Target="media/image4034.png"/><Relationship Id="rId4043" Type="http://schemas.openxmlformats.org/officeDocument/2006/relationships/image" Target="media/image4035.png"/><Relationship Id="rId4044" Type="http://schemas.openxmlformats.org/officeDocument/2006/relationships/image" Target="media/image4036.png"/><Relationship Id="rId4045" Type="http://schemas.openxmlformats.org/officeDocument/2006/relationships/image" Target="media/image4037.png"/><Relationship Id="rId4046" Type="http://schemas.openxmlformats.org/officeDocument/2006/relationships/image" Target="media/image4038.png"/><Relationship Id="rId4047" Type="http://schemas.openxmlformats.org/officeDocument/2006/relationships/image" Target="media/image4039.png"/><Relationship Id="rId4048" Type="http://schemas.openxmlformats.org/officeDocument/2006/relationships/image" Target="media/image4040.png"/><Relationship Id="rId4049" Type="http://schemas.openxmlformats.org/officeDocument/2006/relationships/image" Target="media/image4041.png"/><Relationship Id="rId4050" Type="http://schemas.openxmlformats.org/officeDocument/2006/relationships/image" Target="media/image4042.png"/><Relationship Id="rId4051" Type="http://schemas.openxmlformats.org/officeDocument/2006/relationships/image" Target="media/image4043.png"/><Relationship Id="rId4052" Type="http://schemas.openxmlformats.org/officeDocument/2006/relationships/image" Target="media/image4044.png"/><Relationship Id="rId4053" Type="http://schemas.openxmlformats.org/officeDocument/2006/relationships/image" Target="media/image4045.png"/><Relationship Id="rId4054" Type="http://schemas.openxmlformats.org/officeDocument/2006/relationships/image" Target="media/image4046.png"/><Relationship Id="rId4055" Type="http://schemas.openxmlformats.org/officeDocument/2006/relationships/image" Target="media/image4047.png"/><Relationship Id="rId4056" Type="http://schemas.openxmlformats.org/officeDocument/2006/relationships/image" Target="media/image4048.png"/><Relationship Id="rId4057" Type="http://schemas.openxmlformats.org/officeDocument/2006/relationships/image" Target="media/image4049.png"/><Relationship Id="rId4058" Type="http://schemas.openxmlformats.org/officeDocument/2006/relationships/image" Target="media/image4050.png"/><Relationship Id="rId4059" Type="http://schemas.openxmlformats.org/officeDocument/2006/relationships/image" Target="media/image4051.png"/><Relationship Id="rId4060" Type="http://schemas.openxmlformats.org/officeDocument/2006/relationships/image" Target="media/image4052.png"/><Relationship Id="rId4061" Type="http://schemas.openxmlformats.org/officeDocument/2006/relationships/image" Target="media/image4053.png"/><Relationship Id="rId4062" Type="http://schemas.openxmlformats.org/officeDocument/2006/relationships/image" Target="media/image4054.png"/><Relationship Id="rId4063" Type="http://schemas.openxmlformats.org/officeDocument/2006/relationships/image" Target="media/image4055.png"/><Relationship Id="rId4064" Type="http://schemas.openxmlformats.org/officeDocument/2006/relationships/image" Target="media/image4056.png"/><Relationship Id="rId4065" Type="http://schemas.openxmlformats.org/officeDocument/2006/relationships/image" Target="media/image4057.png"/><Relationship Id="rId4066" Type="http://schemas.openxmlformats.org/officeDocument/2006/relationships/image" Target="media/image4058.png"/><Relationship Id="rId4067" Type="http://schemas.openxmlformats.org/officeDocument/2006/relationships/image" Target="media/image4059.png"/><Relationship Id="rId4068" Type="http://schemas.openxmlformats.org/officeDocument/2006/relationships/image" Target="media/image4060.png"/><Relationship Id="rId4069" Type="http://schemas.openxmlformats.org/officeDocument/2006/relationships/image" Target="media/image4061.png"/><Relationship Id="rId4070" Type="http://schemas.openxmlformats.org/officeDocument/2006/relationships/image" Target="media/image4062.png"/><Relationship Id="rId4071" Type="http://schemas.openxmlformats.org/officeDocument/2006/relationships/image" Target="media/image4063.png"/><Relationship Id="rId4072" Type="http://schemas.openxmlformats.org/officeDocument/2006/relationships/image" Target="media/image4064.png"/><Relationship Id="rId4073" Type="http://schemas.openxmlformats.org/officeDocument/2006/relationships/image" Target="media/image4065.png"/><Relationship Id="rId4074" Type="http://schemas.openxmlformats.org/officeDocument/2006/relationships/image" Target="media/image4066.png"/><Relationship Id="rId4075" Type="http://schemas.openxmlformats.org/officeDocument/2006/relationships/image" Target="media/image4067.png"/><Relationship Id="rId4076" Type="http://schemas.openxmlformats.org/officeDocument/2006/relationships/image" Target="media/image4068.png"/><Relationship Id="rId4077" Type="http://schemas.openxmlformats.org/officeDocument/2006/relationships/image" Target="media/image4069.png"/><Relationship Id="rId4078" Type="http://schemas.openxmlformats.org/officeDocument/2006/relationships/image" Target="media/image4070.png"/><Relationship Id="rId4079" Type="http://schemas.openxmlformats.org/officeDocument/2006/relationships/image" Target="media/image4071.png"/><Relationship Id="rId4080" Type="http://schemas.openxmlformats.org/officeDocument/2006/relationships/image" Target="media/image4072.png"/><Relationship Id="rId4081" Type="http://schemas.openxmlformats.org/officeDocument/2006/relationships/image" Target="media/image4073.png"/><Relationship Id="rId4082" Type="http://schemas.openxmlformats.org/officeDocument/2006/relationships/image" Target="media/image4074.png"/><Relationship Id="rId4083" Type="http://schemas.openxmlformats.org/officeDocument/2006/relationships/image" Target="media/image4075.png"/><Relationship Id="rId4084" Type="http://schemas.openxmlformats.org/officeDocument/2006/relationships/image" Target="media/image4076.png"/><Relationship Id="rId4085" Type="http://schemas.openxmlformats.org/officeDocument/2006/relationships/image" Target="media/image4077.png"/><Relationship Id="rId4086" Type="http://schemas.openxmlformats.org/officeDocument/2006/relationships/image" Target="media/image4078.png"/><Relationship Id="rId4087" Type="http://schemas.openxmlformats.org/officeDocument/2006/relationships/image" Target="media/image4079.png"/><Relationship Id="rId4088" Type="http://schemas.openxmlformats.org/officeDocument/2006/relationships/image" Target="media/image4080.png"/><Relationship Id="rId4089" Type="http://schemas.openxmlformats.org/officeDocument/2006/relationships/image" Target="media/image4081.png"/><Relationship Id="rId4090" Type="http://schemas.openxmlformats.org/officeDocument/2006/relationships/image" Target="media/image4082.png"/><Relationship Id="rId4091" Type="http://schemas.openxmlformats.org/officeDocument/2006/relationships/image" Target="media/image4083.png"/><Relationship Id="rId4092" Type="http://schemas.openxmlformats.org/officeDocument/2006/relationships/image" Target="media/image4084.png"/><Relationship Id="rId4093" Type="http://schemas.openxmlformats.org/officeDocument/2006/relationships/image" Target="media/image4085.png"/><Relationship Id="rId4094" Type="http://schemas.openxmlformats.org/officeDocument/2006/relationships/image" Target="media/image4086.png"/><Relationship Id="rId4095" Type="http://schemas.openxmlformats.org/officeDocument/2006/relationships/image" Target="media/image4087.png"/><Relationship Id="rId4096" Type="http://schemas.openxmlformats.org/officeDocument/2006/relationships/image" Target="media/image4088.png"/><Relationship Id="rId4097" Type="http://schemas.openxmlformats.org/officeDocument/2006/relationships/image" Target="media/image4089.png"/><Relationship Id="rId4098" Type="http://schemas.openxmlformats.org/officeDocument/2006/relationships/image" Target="media/image4090.png"/><Relationship Id="rId4099" Type="http://schemas.openxmlformats.org/officeDocument/2006/relationships/image" Target="media/image4091.png"/><Relationship Id="rId4100" Type="http://schemas.openxmlformats.org/officeDocument/2006/relationships/image" Target="media/image4092.png"/><Relationship Id="rId4101" Type="http://schemas.openxmlformats.org/officeDocument/2006/relationships/image" Target="media/image4093.png"/><Relationship Id="rId4102" Type="http://schemas.openxmlformats.org/officeDocument/2006/relationships/image" Target="media/image4094.png"/><Relationship Id="rId4103" Type="http://schemas.openxmlformats.org/officeDocument/2006/relationships/image" Target="media/image4095.png"/><Relationship Id="rId4104" Type="http://schemas.openxmlformats.org/officeDocument/2006/relationships/image" Target="media/image4096.png"/><Relationship Id="rId4105" Type="http://schemas.openxmlformats.org/officeDocument/2006/relationships/image" Target="media/image4097.png"/><Relationship Id="rId4106" Type="http://schemas.openxmlformats.org/officeDocument/2006/relationships/image" Target="media/image4098.png"/><Relationship Id="rId4107" Type="http://schemas.openxmlformats.org/officeDocument/2006/relationships/image" Target="media/image4099.png"/><Relationship Id="rId4108" Type="http://schemas.openxmlformats.org/officeDocument/2006/relationships/image" Target="media/image4100.png"/><Relationship Id="rId4109" Type="http://schemas.openxmlformats.org/officeDocument/2006/relationships/image" Target="media/image4101.png"/><Relationship Id="rId4110" Type="http://schemas.openxmlformats.org/officeDocument/2006/relationships/image" Target="media/image4102.png"/><Relationship Id="rId4111" Type="http://schemas.openxmlformats.org/officeDocument/2006/relationships/image" Target="media/image4103.png"/><Relationship Id="rId4112" Type="http://schemas.openxmlformats.org/officeDocument/2006/relationships/image" Target="media/image4104.png"/><Relationship Id="rId4113" Type="http://schemas.openxmlformats.org/officeDocument/2006/relationships/image" Target="media/image4105.png"/><Relationship Id="rId4114" Type="http://schemas.openxmlformats.org/officeDocument/2006/relationships/image" Target="media/image4106.png"/><Relationship Id="rId4115" Type="http://schemas.openxmlformats.org/officeDocument/2006/relationships/image" Target="media/image4107.png"/><Relationship Id="rId4116" Type="http://schemas.openxmlformats.org/officeDocument/2006/relationships/image" Target="media/image4108.png"/><Relationship Id="rId4117" Type="http://schemas.openxmlformats.org/officeDocument/2006/relationships/image" Target="media/image4109.png"/><Relationship Id="rId4118" Type="http://schemas.openxmlformats.org/officeDocument/2006/relationships/image" Target="media/image4110.png"/><Relationship Id="rId4119" Type="http://schemas.openxmlformats.org/officeDocument/2006/relationships/image" Target="media/image4111.png"/><Relationship Id="rId4120" Type="http://schemas.openxmlformats.org/officeDocument/2006/relationships/image" Target="media/image4112.png"/><Relationship Id="rId4121" Type="http://schemas.openxmlformats.org/officeDocument/2006/relationships/image" Target="media/image4113.png"/><Relationship Id="rId4122" Type="http://schemas.openxmlformats.org/officeDocument/2006/relationships/image" Target="media/image4114.png"/><Relationship Id="rId4123" Type="http://schemas.openxmlformats.org/officeDocument/2006/relationships/image" Target="media/image4115.png"/><Relationship Id="rId4124" Type="http://schemas.openxmlformats.org/officeDocument/2006/relationships/image" Target="media/image4116.png"/><Relationship Id="rId4125" Type="http://schemas.openxmlformats.org/officeDocument/2006/relationships/image" Target="media/image4117.png"/><Relationship Id="rId4126" Type="http://schemas.openxmlformats.org/officeDocument/2006/relationships/image" Target="media/image4118.png"/><Relationship Id="rId4127" Type="http://schemas.openxmlformats.org/officeDocument/2006/relationships/image" Target="media/image4119.png"/><Relationship Id="rId4128" Type="http://schemas.openxmlformats.org/officeDocument/2006/relationships/image" Target="media/image4120.png"/><Relationship Id="rId4129" Type="http://schemas.openxmlformats.org/officeDocument/2006/relationships/image" Target="media/image4121.png"/><Relationship Id="rId4130" Type="http://schemas.openxmlformats.org/officeDocument/2006/relationships/image" Target="media/image4122.png"/><Relationship Id="rId4131" Type="http://schemas.openxmlformats.org/officeDocument/2006/relationships/image" Target="media/image4123.png"/><Relationship Id="rId4132" Type="http://schemas.openxmlformats.org/officeDocument/2006/relationships/image" Target="media/image4124.png"/><Relationship Id="rId4133" Type="http://schemas.openxmlformats.org/officeDocument/2006/relationships/image" Target="media/image4125.png"/><Relationship Id="rId4134" Type="http://schemas.openxmlformats.org/officeDocument/2006/relationships/image" Target="media/image4126.png"/><Relationship Id="rId4135" Type="http://schemas.openxmlformats.org/officeDocument/2006/relationships/image" Target="media/image4127.png"/><Relationship Id="rId4136" Type="http://schemas.openxmlformats.org/officeDocument/2006/relationships/image" Target="media/image4128.png"/><Relationship Id="rId4137" Type="http://schemas.openxmlformats.org/officeDocument/2006/relationships/image" Target="media/image4129.png"/><Relationship Id="rId4138" Type="http://schemas.openxmlformats.org/officeDocument/2006/relationships/image" Target="media/image4130.png"/><Relationship Id="rId4139" Type="http://schemas.openxmlformats.org/officeDocument/2006/relationships/image" Target="media/image4131.png"/><Relationship Id="rId4140" Type="http://schemas.openxmlformats.org/officeDocument/2006/relationships/image" Target="media/image4132.png"/><Relationship Id="rId4141" Type="http://schemas.openxmlformats.org/officeDocument/2006/relationships/image" Target="media/image4133.png"/><Relationship Id="rId4142" Type="http://schemas.openxmlformats.org/officeDocument/2006/relationships/image" Target="media/image4134.png"/><Relationship Id="rId4143" Type="http://schemas.openxmlformats.org/officeDocument/2006/relationships/image" Target="media/image4135.png"/><Relationship Id="rId4144" Type="http://schemas.openxmlformats.org/officeDocument/2006/relationships/image" Target="media/image4136.png"/><Relationship Id="rId4145" Type="http://schemas.openxmlformats.org/officeDocument/2006/relationships/image" Target="media/image4137.png"/><Relationship Id="rId4146" Type="http://schemas.openxmlformats.org/officeDocument/2006/relationships/image" Target="media/image4138.png"/><Relationship Id="rId4147" Type="http://schemas.openxmlformats.org/officeDocument/2006/relationships/image" Target="media/image4139.png"/><Relationship Id="rId4148" Type="http://schemas.openxmlformats.org/officeDocument/2006/relationships/image" Target="media/image4140.png"/><Relationship Id="rId4149" Type="http://schemas.openxmlformats.org/officeDocument/2006/relationships/image" Target="media/image4141.png"/><Relationship Id="rId4150" Type="http://schemas.openxmlformats.org/officeDocument/2006/relationships/image" Target="media/image4142.png"/><Relationship Id="rId4151" Type="http://schemas.openxmlformats.org/officeDocument/2006/relationships/image" Target="media/image4143.png"/><Relationship Id="rId4152" Type="http://schemas.openxmlformats.org/officeDocument/2006/relationships/image" Target="media/image4144.png"/><Relationship Id="rId4153" Type="http://schemas.openxmlformats.org/officeDocument/2006/relationships/image" Target="media/image4145.png"/><Relationship Id="rId4154" Type="http://schemas.openxmlformats.org/officeDocument/2006/relationships/image" Target="media/image4146.png"/><Relationship Id="rId4155" Type="http://schemas.openxmlformats.org/officeDocument/2006/relationships/image" Target="media/image4147.png"/><Relationship Id="rId4156" Type="http://schemas.openxmlformats.org/officeDocument/2006/relationships/image" Target="media/image4148.png"/><Relationship Id="rId4157" Type="http://schemas.openxmlformats.org/officeDocument/2006/relationships/image" Target="media/image4149.png"/><Relationship Id="rId4158" Type="http://schemas.openxmlformats.org/officeDocument/2006/relationships/image" Target="media/image4150.png"/><Relationship Id="rId4159" Type="http://schemas.openxmlformats.org/officeDocument/2006/relationships/image" Target="media/image4151.png"/><Relationship Id="rId4160" Type="http://schemas.openxmlformats.org/officeDocument/2006/relationships/image" Target="media/image4152.png"/><Relationship Id="rId4161" Type="http://schemas.openxmlformats.org/officeDocument/2006/relationships/image" Target="media/image4153.png"/><Relationship Id="rId4162" Type="http://schemas.openxmlformats.org/officeDocument/2006/relationships/image" Target="media/image4154.png"/><Relationship Id="rId4163" Type="http://schemas.openxmlformats.org/officeDocument/2006/relationships/image" Target="media/image4155.png"/><Relationship Id="rId4164" Type="http://schemas.openxmlformats.org/officeDocument/2006/relationships/image" Target="media/image4156.png"/><Relationship Id="rId4165" Type="http://schemas.openxmlformats.org/officeDocument/2006/relationships/image" Target="media/image4157.png"/><Relationship Id="rId4166" Type="http://schemas.openxmlformats.org/officeDocument/2006/relationships/image" Target="media/image4158.png"/><Relationship Id="rId4167" Type="http://schemas.openxmlformats.org/officeDocument/2006/relationships/image" Target="media/image4159.png"/><Relationship Id="rId4168" Type="http://schemas.openxmlformats.org/officeDocument/2006/relationships/image" Target="media/image4160.png"/><Relationship Id="rId4169" Type="http://schemas.openxmlformats.org/officeDocument/2006/relationships/image" Target="media/image4161.png"/><Relationship Id="rId4170" Type="http://schemas.openxmlformats.org/officeDocument/2006/relationships/image" Target="media/image4162.png"/><Relationship Id="rId4171" Type="http://schemas.openxmlformats.org/officeDocument/2006/relationships/image" Target="media/image4163.png"/><Relationship Id="rId4172" Type="http://schemas.openxmlformats.org/officeDocument/2006/relationships/image" Target="media/image4164.png"/><Relationship Id="rId4173" Type="http://schemas.openxmlformats.org/officeDocument/2006/relationships/image" Target="media/image4165.png"/><Relationship Id="rId4174" Type="http://schemas.openxmlformats.org/officeDocument/2006/relationships/image" Target="media/image4166.png"/><Relationship Id="rId4175" Type="http://schemas.openxmlformats.org/officeDocument/2006/relationships/image" Target="media/image4167.png"/><Relationship Id="rId4176" Type="http://schemas.openxmlformats.org/officeDocument/2006/relationships/image" Target="media/image4168.png"/><Relationship Id="rId4177" Type="http://schemas.openxmlformats.org/officeDocument/2006/relationships/image" Target="media/image4169.png"/><Relationship Id="rId4178" Type="http://schemas.openxmlformats.org/officeDocument/2006/relationships/image" Target="media/image4170.png"/><Relationship Id="rId4179" Type="http://schemas.openxmlformats.org/officeDocument/2006/relationships/image" Target="media/image4171.png"/><Relationship Id="rId4180" Type="http://schemas.openxmlformats.org/officeDocument/2006/relationships/image" Target="media/image4172.png"/><Relationship Id="rId4181" Type="http://schemas.openxmlformats.org/officeDocument/2006/relationships/image" Target="media/image4173.png"/><Relationship Id="rId4182" Type="http://schemas.openxmlformats.org/officeDocument/2006/relationships/image" Target="media/image4174.png"/><Relationship Id="rId4183" Type="http://schemas.openxmlformats.org/officeDocument/2006/relationships/image" Target="media/image4175.png"/><Relationship Id="rId4184" Type="http://schemas.openxmlformats.org/officeDocument/2006/relationships/image" Target="media/image4176.png"/><Relationship Id="rId4185" Type="http://schemas.openxmlformats.org/officeDocument/2006/relationships/image" Target="media/image4177.png"/><Relationship Id="rId4186" Type="http://schemas.openxmlformats.org/officeDocument/2006/relationships/image" Target="media/image4178.png"/><Relationship Id="rId4187" Type="http://schemas.openxmlformats.org/officeDocument/2006/relationships/image" Target="media/image4179.png"/><Relationship Id="rId4188" Type="http://schemas.openxmlformats.org/officeDocument/2006/relationships/image" Target="media/image4180.png"/><Relationship Id="rId4189" Type="http://schemas.openxmlformats.org/officeDocument/2006/relationships/image" Target="media/image4181.png"/><Relationship Id="rId4190" Type="http://schemas.openxmlformats.org/officeDocument/2006/relationships/image" Target="media/image4182.png"/><Relationship Id="rId4191" Type="http://schemas.openxmlformats.org/officeDocument/2006/relationships/image" Target="media/image4183.png"/><Relationship Id="rId4192" Type="http://schemas.openxmlformats.org/officeDocument/2006/relationships/image" Target="media/image4184.png"/><Relationship Id="rId4193" Type="http://schemas.openxmlformats.org/officeDocument/2006/relationships/image" Target="media/image4185.png"/><Relationship Id="rId4194" Type="http://schemas.openxmlformats.org/officeDocument/2006/relationships/image" Target="media/image4186.png"/><Relationship Id="rId4195" Type="http://schemas.openxmlformats.org/officeDocument/2006/relationships/image" Target="media/image4187.png"/><Relationship Id="rId4196" Type="http://schemas.openxmlformats.org/officeDocument/2006/relationships/image" Target="media/image4188.png"/><Relationship Id="rId4197" Type="http://schemas.openxmlformats.org/officeDocument/2006/relationships/image" Target="media/image4189.png"/><Relationship Id="rId4198" Type="http://schemas.openxmlformats.org/officeDocument/2006/relationships/image" Target="media/image4190.png"/><Relationship Id="rId4199" Type="http://schemas.openxmlformats.org/officeDocument/2006/relationships/image" Target="media/image4191.png"/><Relationship Id="rId4200" Type="http://schemas.openxmlformats.org/officeDocument/2006/relationships/image" Target="media/image4192.png"/><Relationship Id="rId4201" Type="http://schemas.openxmlformats.org/officeDocument/2006/relationships/image" Target="media/image4193.png"/><Relationship Id="rId4202" Type="http://schemas.openxmlformats.org/officeDocument/2006/relationships/image" Target="media/image4194.png"/><Relationship Id="rId4203" Type="http://schemas.openxmlformats.org/officeDocument/2006/relationships/image" Target="media/image4195.png"/><Relationship Id="rId4204" Type="http://schemas.openxmlformats.org/officeDocument/2006/relationships/image" Target="media/image4196.png"/><Relationship Id="rId4205" Type="http://schemas.openxmlformats.org/officeDocument/2006/relationships/image" Target="media/image4197.png"/><Relationship Id="rId4206" Type="http://schemas.openxmlformats.org/officeDocument/2006/relationships/image" Target="media/image4198.png"/><Relationship Id="rId4207" Type="http://schemas.openxmlformats.org/officeDocument/2006/relationships/image" Target="media/image4199.png"/><Relationship Id="rId4208" Type="http://schemas.openxmlformats.org/officeDocument/2006/relationships/image" Target="media/image4200.png"/><Relationship Id="rId4209" Type="http://schemas.openxmlformats.org/officeDocument/2006/relationships/image" Target="media/image4201.png"/><Relationship Id="rId4210" Type="http://schemas.openxmlformats.org/officeDocument/2006/relationships/image" Target="media/image4202.png"/><Relationship Id="rId4211" Type="http://schemas.openxmlformats.org/officeDocument/2006/relationships/image" Target="media/image4203.png"/><Relationship Id="rId4212" Type="http://schemas.openxmlformats.org/officeDocument/2006/relationships/image" Target="media/image4204.png"/><Relationship Id="rId4213" Type="http://schemas.openxmlformats.org/officeDocument/2006/relationships/image" Target="media/image4205.png"/><Relationship Id="rId4214" Type="http://schemas.openxmlformats.org/officeDocument/2006/relationships/image" Target="media/image4206.png"/><Relationship Id="rId4215" Type="http://schemas.openxmlformats.org/officeDocument/2006/relationships/image" Target="media/image4207.png"/><Relationship Id="rId4216" Type="http://schemas.openxmlformats.org/officeDocument/2006/relationships/image" Target="media/image4208.png"/><Relationship Id="rId4217" Type="http://schemas.openxmlformats.org/officeDocument/2006/relationships/image" Target="media/image4209.png"/><Relationship Id="rId4218" Type="http://schemas.openxmlformats.org/officeDocument/2006/relationships/image" Target="media/image4210.png"/><Relationship Id="rId4219" Type="http://schemas.openxmlformats.org/officeDocument/2006/relationships/image" Target="media/image4211.png"/><Relationship Id="rId4220" Type="http://schemas.openxmlformats.org/officeDocument/2006/relationships/image" Target="media/image4212.png"/><Relationship Id="rId4221" Type="http://schemas.openxmlformats.org/officeDocument/2006/relationships/image" Target="media/image4213.png"/><Relationship Id="rId4222" Type="http://schemas.openxmlformats.org/officeDocument/2006/relationships/image" Target="media/image4214.png"/><Relationship Id="rId4223" Type="http://schemas.openxmlformats.org/officeDocument/2006/relationships/image" Target="media/image4215.png"/><Relationship Id="rId4224" Type="http://schemas.openxmlformats.org/officeDocument/2006/relationships/image" Target="media/image4216.png"/><Relationship Id="rId4225" Type="http://schemas.openxmlformats.org/officeDocument/2006/relationships/image" Target="media/image4217.png"/><Relationship Id="rId4226" Type="http://schemas.openxmlformats.org/officeDocument/2006/relationships/image" Target="media/image4218.png"/><Relationship Id="rId4227" Type="http://schemas.openxmlformats.org/officeDocument/2006/relationships/image" Target="media/image4219.png"/><Relationship Id="rId4228" Type="http://schemas.openxmlformats.org/officeDocument/2006/relationships/image" Target="media/image4220.png"/><Relationship Id="rId4229" Type="http://schemas.openxmlformats.org/officeDocument/2006/relationships/image" Target="media/image4221.png"/><Relationship Id="rId4230" Type="http://schemas.openxmlformats.org/officeDocument/2006/relationships/image" Target="media/image4222.png"/><Relationship Id="rId4231" Type="http://schemas.openxmlformats.org/officeDocument/2006/relationships/image" Target="media/image4223.png"/><Relationship Id="rId4232" Type="http://schemas.openxmlformats.org/officeDocument/2006/relationships/image" Target="media/image4224.png"/><Relationship Id="rId4233" Type="http://schemas.openxmlformats.org/officeDocument/2006/relationships/image" Target="media/image4225.png"/><Relationship Id="rId4234" Type="http://schemas.openxmlformats.org/officeDocument/2006/relationships/image" Target="media/image4226.png"/><Relationship Id="rId4235" Type="http://schemas.openxmlformats.org/officeDocument/2006/relationships/image" Target="media/image4227.png"/><Relationship Id="rId4236" Type="http://schemas.openxmlformats.org/officeDocument/2006/relationships/image" Target="media/image4228.png"/><Relationship Id="rId4237" Type="http://schemas.openxmlformats.org/officeDocument/2006/relationships/image" Target="media/image4229.png"/><Relationship Id="rId4238" Type="http://schemas.openxmlformats.org/officeDocument/2006/relationships/image" Target="media/image4230.png"/><Relationship Id="rId4239" Type="http://schemas.openxmlformats.org/officeDocument/2006/relationships/image" Target="media/image4231.png"/><Relationship Id="rId4240" Type="http://schemas.openxmlformats.org/officeDocument/2006/relationships/image" Target="media/image4232.png"/><Relationship Id="rId4241" Type="http://schemas.openxmlformats.org/officeDocument/2006/relationships/image" Target="media/image4233.png"/><Relationship Id="rId4242" Type="http://schemas.openxmlformats.org/officeDocument/2006/relationships/image" Target="media/image4234.png"/><Relationship Id="rId4243" Type="http://schemas.openxmlformats.org/officeDocument/2006/relationships/image" Target="media/image4235.png"/><Relationship Id="rId4244" Type="http://schemas.openxmlformats.org/officeDocument/2006/relationships/image" Target="media/image4236.png"/><Relationship Id="rId4245" Type="http://schemas.openxmlformats.org/officeDocument/2006/relationships/image" Target="media/image4237.png"/><Relationship Id="rId4246" Type="http://schemas.openxmlformats.org/officeDocument/2006/relationships/image" Target="media/image4238.png"/><Relationship Id="rId4247" Type="http://schemas.openxmlformats.org/officeDocument/2006/relationships/image" Target="media/image4239.png"/><Relationship Id="rId4248" Type="http://schemas.openxmlformats.org/officeDocument/2006/relationships/image" Target="media/image4240.png"/><Relationship Id="rId4249" Type="http://schemas.openxmlformats.org/officeDocument/2006/relationships/image" Target="media/image4241.png"/><Relationship Id="rId4250" Type="http://schemas.openxmlformats.org/officeDocument/2006/relationships/image" Target="media/image4242.png"/><Relationship Id="rId4251" Type="http://schemas.openxmlformats.org/officeDocument/2006/relationships/image" Target="media/image4243.png"/><Relationship Id="rId4252" Type="http://schemas.openxmlformats.org/officeDocument/2006/relationships/image" Target="media/image4244.png"/><Relationship Id="rId4253" Type="http://schemas.openxmlformats.org/officeDocument/2006/relationships/image" Target="media/image4245.png"/><Relationship Id="rId4254" Type="http://schemas.openxmlformats.org/officeDocument/2006/relationships/image" Target="media/image4246.png"/><Relationship Id="rId4255" Type="http://schemas.openxmlformats.org/officeDocument/2006/relationships/image" Target="media/image4247.png"/><Relationship Id="rId4256" Type="http://schemas.openxmlformats.org/officeDocument/2006/relationships/image" Target="media/image4248.png"/><Relationship Id="rId4257" Type="http://schemas.openxmlformats.org/officeDocument/2006/relationships/image" Target="media/image4249.png"/><Relationship Id="rId4258" Type="http://schemas.openxmlformats.org/officeDocument/2006/relationships/image" Target="media/image4250.png"/><Relationship Id="rId4259" Type="http://schemas.openxmlformats.org/officeDocument/2006/relationships/image" Target="media/image4251.png"/><Relationship Id="rId4260" Type="http://schemas.openxmlformats.org/officeDocument/2006/relationships/image" Target="media/image4252.png"/><Relationship Id="rId4261" Type="http://schemas.openxmlformats.org/officeDocument/2006/relationships/image" Target="media/image4253.png"/><Relationship Id="rId109" Type="http://schemas.openxmlformats.org/officeDocument/2006/relationships/hyperlink" Target="https://www.sec.gov/Archives/edgar/data/1103982/000162828026009018/mondelez-364xdayrevolving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2026-04-28T16:08:29Z</dcterms:created>
  <dcterms:modified xsi:type="dcterms:W3CDTF">2026-04-28T16:08:29Z</dcterms:modified>
</cp:coreProperties>
</file>