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FF"/>
        </w:rPr>
        <w:t>Table of Contents</w:t>
      </w:r>
    </w:p>
    <w:p>
      <w:pPr>
        <w:spacing w:after="0" w:line="33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UNITED STATES</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10-Q</w:t>
      </w:r>
    </w:p>
    <w:p>
      <w:pPr>
        <w:spacing w:after="0" w:line="3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140" w:lineRule="exact"/>
        <w:rPr>
          <w:sz w:val="24"/>
          <w:szCs w:val="24"/>
          <w:color w:val="auto"/>
        </w:rPr>
      </w:pPr>
    </w:p>
    <w:p>
      <w:pPr>
        <w:ind w:left="1020" w:hanging="330"/>
        <w:spacing w:after="0"/>
        <w:tabs>
          <w:tab w:leader="none" w:pos="1020" w:val="left"/>
        </w:tabs>
        <w:numPr>
          <w:ilvl w:val="0"/>
          <w:numId w:val="1"/>
        </w:numPr>
        <w:rPr>
          <w:rFonts w:ascii="MS PGothic" w:cs="MS PGothic" w:eastAsia="MS PGothic" w:hAnsi="MS PGothic"/>
          <w:sz w:val="18"/>
          <w:szCs w:val="18"/>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quarterly period ended September 30, 2025</w:t>
      </w:r>
    </w:p>
    <w:p>
      <w:pPr>
        <w:spacing w:after="0" w:line="6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145" w:lineRule="exact"/>
        <w:rPr>
          <w:sz w:val="24"/>
          <w:szCs w:val="24"/>
          <w:color w:val="auto"/>
        </w:rPr>
      </w:pPr>
    </w:p>
    <w:p>
      <w:pPr>
        <w:ind w:left="1040" w:hanging="337"/>
        <w:spacing w:after="0"/>
        <w:tabs>
          <w:tab w:leader="none" w:pos="104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00" w:lineRule="exact"/>
        <w:rPr>
          <w:sz w:val="24"/>
          <w:szCs w:val="24"/>
          <w:color w:val="auto"/>
        </w:rPr>
      </w:pPr>
    </w:p>
    <w:p>
      <w:pPr>
        <w:jc w:val="right"/>
        <w:ind w:right="4400"/>
        <w:spacing w:after="0"/>
        <w:tabs>
          <w:tab w:leader="none" w:pos="454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73" w:lineRule="exact"/>
        <w:rPr>
          <w:sz w:val="24"/>
          <w:szCs w:val="24"/>
          <w:color w:val="auto"/>
        </w:rPr>
      </w:pPr>
    </w:p>
    <w:p>
      <w:pPr>
        <w:jc w:val="right"/>
        <w:ind w:right="4360"/>
        <w:spacing w:after="0"/>
        <w:rPr>
          <w:sz w:val="20"/>
          <w:szCs w:val="20"/>
          <w:color w:val="auto"/>
        </w:rPr>
      </w:pPr>
      <w:r>
        <w:rPr>
          <w:rFonts w:ascii="Arial" w:cs="Arial" w:eastAsia="Arial" w:hAnsi="Arial"/>
          <w:sz w:val="16"/>
          <w:szCs w:val="16"/>
          <w:b w:val="1"/>
          <w:bCs w:val="1"/>
          <w:color w:val="auto"/>
        </w:rPr>
        <w:t>Commission file number 1-16483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3116580</wp:posOffset>
            </wp:positionH>
            <wp:positionV relativeFrom="paragraph">
              <wp:posOffset>46355</wp:posOffset>
            </wp:positionV>
            <wp:extent cx="908685" cy="2228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08685" cy="222885"/>
                    </a:xfrm>
                    <a:prstGeom prst="rect">
                      <a:avLst/>
                    </a:prstGeom>
                    <a:noFill/>
                  </pic:spPr>
                </pic:pic>
              </a:graphicData>
            </a:graphic>
          </wp:anchor>
        </w:drawing>
      </w:r>
    </w:p>
    <w:p>
      <w:pPr>
        <w:spacing w:after="0" w:line="200" w:lineRule="exact"/>
        <w:rPr>
          <w:sz w:val="24"/>
          <w:szCs w:val="24"/>
          <w:color w:val="auto"/>
        </w:rPr>
      </w:pPr>
    </w:p>
    <w:p>
      <w:pPr>
        <w:spacing w:after="0" w:line="32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Mondelēz International, Inc.</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48" w:lineRule="exact"/>
        <w:rPr>
          <w:sz w:val="24"/>
          <w:szCs w:val="24"/>
          <w:color w:val="auto"/>
        </w:rPr>
      </w:pPr>
    </w:p>
    <w:tbl>
      <w:tblPr>
        <w:tblLayout w:type="fixed"/>
        <w:tblInd w:w="960" w:type="dxa"/>
        <w:tblCellMar>
          <w:top w:w="0" w:type="dxa"/>
          <w:left w:w="0" w:type="dxa"/>
          <w:bottom w:w="0" w:type="dxa"/>
          <w:right w:w="0" w:type="dxa"/>
        </w:tblCellMar>
      </w:tblPr>
      <w:tr>
        <w:trPr>
          <w:trHeight w:val="196"/>
        </w:trPr>
        <w:tc>
          <w:tcPr>
            <w:tcW w:w="5040" w:type="dxa"/>
            <w:vAlign w:val="bottom"/>
          </w:tcPr>
          <w:p>
            <w:pPr>
              <w:jc w:val="center"/>
              <w:ind w:right="1248"/>
              <w:spacing w:after="0"/>
              <w:rPr>
                <w:sz w:val="20"/>
                <w:szCs w:val="20"/>
                <w:color w:val="auto"/>
              </w:rPr>
            </w:pPr>
            <w:r>
              <w:rPr>
                <w:rFonts w:ascii="Arial" w:cs="Arial" w:eastAsia="Arial" w:hAnsi="Arial"/>
                <w:sz w:val="14"/>
                <w:szCs w:val="14"/>
                <w:b w:val="1"/>
                <w:bCs w:val="1"/>
                <w:color w:val="auto"/>
              </w:rPr>
              <w:t>Virginia</w:t>
            </w:r>
          </w:p>
        </w:tc>
        <w:tc>
          <w:tcPr>
            <w:tcW w:w="3540" w:type="dxa"/>
            <w:vAlign w:val="bottom"/>
          </w:tcPr>
          <w:p>
            <w:pPr>
              <w:jc w:val="right"/>
              <w:ind w:right="668"/>
              <w:spacing w:after="0"/>
              <w:rPr>
                <w:sz w:val="20"/>
                <w:szCs w:val="20"/>
                <w:color w:val="auto"/>
              </w:rPr>
            </w:pPr>
            <w:r>
              <w:rPr>
                <w:rFonts w:ascii="Arial" w:cs="Arial" w:eastAsia="Arial" w:hAnsi="Arial"/>
                <w:sz w:val="14"/>
                <w:szCs w:val="14"/>
                <w:b w:val="1"/>
                <w:bCs w:val="1"/>
                <w:color w:val="auto"/>
              </w:rPr>
              <w:t>52-2284372</w:t>
            </w:r>
          </w:p>
        </w:tc>
      </w:tr>
      <w:tr>
        <w:trPr>
          <w:trHeight w:val="197"/>
        </w:trPr>
        <w:tc>
          <w:tcPr>
            <w:tcW w:w="5040" w:type="dxa"/>
            <w:vAlign w:val="bottom"/>
          </w:tcPr>
          <w:p>
            <w:pPr>
              <w:jc w:val="center"/>
              <w:ind w:right="1248"/>
              <w:spacing w:after="0"/>
              <w:rPr>
                <w:sz w:val="20"/>
                <w:szCs w:val="20"/>
                <w:color w:val="auto"/>
              </w:rPr>
            </w:pPr>
            <w:r>
              <w:rPr>
                <w:rFonts w:ascii="Arial" w:cs="Arial" w:eastAsia="Arial" w:hAnsi="Arial"/>
                <w:sz w:val="14"/>
                <w:szCs w:val="14"/>
                <w:color w:val="auto"/>
              </w:rPr>
              <w:t>(State or other jurisdiction of incorporation or organization)</w:t>
            </w:r>
          </w:p>
        </w:tc>
        <w:tc>
          <w:tcPr>
            <w:tcW w:w="3540" w:type="dxa"/>
            <w:vAlign w:val="bottom"/>
          </w:tcPr>
          <w:p>
            <w:pPr>
              <w:jc w:val="center"/>
              <w:ind w:left="1248"/>
              <w:spacing w:after="0"/>
              <w:rPr>
                <w:sz w:val="20"/>
                <w:szCs w:val="20"/>
                <w:color w:val="auto"/>
              </w:rPr>
            </w:pPr>
            <w:r>
              <w:rPr>
                <w:rFonts w:ascii="Arial" w:cs="Arial" w:eastAsia="Arial" w:hAnsi="Arial"/>
                <w:sz w:val="14"/>
                <w:szCs w:val="14"/>
                <w:color w:val="auto"/>
              </w:rPr>
              <w:t>(I.R.S. Employer Identification No.)</w:t>
            </w:r>
          </w:p>
        </w:tc>
      </w:tr>
      <w:tr>
        <w:trPr>
          <w:trHeight w:val="262"/>
        </w:trPr>
        <w:tc>
          <w:tcPr>
            <w:tcW w:w="5040" w:type="dxa"/>
            <w:vAlign w:val="bottom"/>
          </w:tcPr>
          <w:p>
            <w:pPr>
              <w:jc w:val="center"/>
              <w:ind w:right="1248"/>
              <w:spacing w:after="0"/>
              <w:rPr>
                <w:sz w:val="20"/>
                <w:szCs w:val="20"/>
                <w:color w:val="auto"/>
              </w:rPr>
            </w:pPr>
            <w:r>
              <w:rPr>
                <w:rFonts w:ascii="Arial" w:cs="Arial" w:eastAsia="Arial" w:hAnsi="Arial"/>
                <w:sz w:val="14"/>
                <w:szCs w:val="14"/>
                <w:b w:val="1"/>
                <w:bCs w:val="1"/>
                <w:color w:val="auto"/>
              </w:rPr>
              <w:t>905 West Fulton Market, Suite 200</w:t>
            </w:r>
          </w:p>
        </w:tc>
        <w:tc>
          <w:tcPr>
            <w:tcW w:w="3540" w:type="dxa"/>
            <w:vAlign w:val="bottom"/>
          </w:tcPr>
          <w:p>
            <w:pPr>
              <w:spacing w:after="0"/>
              <w:rPr>
                <w:sz w:val="22"/>
                <w:szCs w:val="22"/>
                <w:color w:val="auto"/>
              </w:rPr>
            </w:pPr>
          </w:p>
        </w:tc>
      </w:tr>
      <w:tr>
        <w:trPr>
          <w:trHeight w:val="203"/>
        </w:trPr>
        <w:tc>
          <w:tcPr>
            <w:tcW w:w="5040" w:type="dxa"/>
            <w:vAlign w:val="bottom"/>
          </w:tcPr>
          <w:p>
            <w:pPr>
              <w:ind w:left="1240"/>
              <w:spacing w:after="0"/>
              <w:rPr>
                <w:sz w:val="20"/>
                <w:szCs w:val="20"/>
                <w:color w:val="auto"/>
              </w:rPr>
            </w:pPr>
            <w:r>
              <w:rPr>
                <w:rFonts w:ascii="Arial" w:cs="Arial" w:eastAsia="Arial" w:hAnsi="Arial"/>
                <w:sz w:val="14"/>
                <w:szCs w:val="14"/>
                <w:b w:val="1"/>
                <w:bCs w:val="1"/>
                <w:color w:val="auto"/>
              </w:rPr>
              <w:t>Chicago, Illinois</w:t>
            </w:r>
          </w:p>
        </w:tc>
        <w:tc>
          <w:tcPr>
            <w:tcW w:w="3540" w:type="dxa"/>
            <w:vAlign w:val="bottom"/>
          </w:tcPr>
          <w:p>
            <w:pPr>
              <w:jc w:val="right"/>
              <w:ind w:right="848"/>
              <w:spacing w:after="0"/>
              <w:rPr>
                <w:sz w:val="20"/>
                <w:szCs w:val="20"/>
                <w:color w:val="auto"/>
              </w:rPr>
            </w:pPr>
            <w:r>
              <w:rPr>
                <w:rFonts w:ascii="Arial" w:cs="Arial" w:eastAsia="Arial" w:hAnsi="Arial"/>
                <w:sz w:val="14"/>
                <w:szCs w:val="14"/>
                <w:b w:val="1"/>
                <w:bCs w:val="1"/>
                <w:color w:val="auto"/>
              </w:rPr>
              <w:t>60607</w:t>
            </w:r>
          </w:p>
        </w:tc>
      </w:tr>
      <w:tr>
        <w:trPr>
          <w:trHeight w:val="197"/>
        </w:trPr>
        <w:tc>
          <w:tcPr>
            <w:tcW w:w="5040" w:type="dxa"/>
            <w:vAlign w:val="bottom"/>
          </w:tcPr>
          <w:p>
            <w:pPr>
              <w:jc w:val="center"/>
              <w:ind w:right="1228"/>
              <w:spacing w:after="0"/>
              <w:rPr>
                <w:sz w:val="20"/>
                <w:szCs w:val="20"/>
                <w:color w:val="auto"/>
              </w:rPr>
            </w:pPr>
            <w:r>
              <w:rPr>
                <w:rFonts w:ascii="Arial" w:cs="Arial" w:eastAsia="Arial" w:hAnsi="Arial"/>
                <w:sz w:val="14"/>
                <w:szCs w:val="14"/>
                <w:color w:val="auto"/>
              </w:rPr>
              <w:t>(Address of principal executive offices)</w:t>
            </w:r>
          </w:p>
        </w:tc>
        <w:tc>
          <w:tcPr>
            <w:tcW w:w="3540" w:type="dxa"/>
            <w:vAlign w:val="bottom"/>
          </w:tcPr>
          <w:p>
            <w:pPr>
              <w:jc w:val="center"/>
              <w:ind w:left="1228"/>
              <w:spacing w:after="0"/>
              <w:rPr>
                <w:sz w:val="20"/>
                <w:szCs w:val="20"/>
                <w:color w:val="auto"/>
              </w:rPr>
            </w:pPr>
            <w:r>
              <w:rPr>
                <w:rFonts w:ascii="Arial" w:cs="Arial" w:eastAsia="Arial" w:hAnsi="Arial"/>
                <w:sz w:val="14"/>
                <w:szCs w:val="14"/>
                <w:color w:val="auto"/>
              </w:rPr>
              <w:t>(Zip Code)</w:t>
            </w:r>
          </w:p>
        </w:tc>
      </w:tr>
    </w:tbl>
    <w:p>
      <w:pPr>
        <w:spacing w:after="0" w:line="80" w:lineRule="exact"/>
        <w:rPr>
          <w:sz w:val="24"/>
          <w:szCs w:val="24"/>
          <w:color w:val="auto"/>
        </w:rPr>
      </w:pPr>
    </w:p>
    <w:p>
      <w:pPr>
        <w:ind w:left="3420"/>
        <w:spacing w:after="0"/>
        <w:rPr>
          <w:sz w:val="20"/>
          <w:szCs w:val="20"/>
          <w:color w:val="auto"/>
        </w:rPr>
      </w:pPr>
      <w:r>
        <w:rPr>
          <w:rFonts w:ascii="Arial" w:cs="Arial" w:eastAsia="Arial" w:hAnsi="Arial"/>
          <w:sz w:val="14"/>
          <w:szCs w:val="14"/>
          <w:color w:val="auto"/>
        </w:rPr>
        <w:t xml:space="preserve">(Registrant’s telephone number, including area code) </w:t>
      </w:r>
      <w:r>
        <w:rPr>
          <w:rFonts w:ascii="Arial" w:cs="Arial" w:eastAsia="Arial" w:hAnsi="Arial"/>
          <w:sz w:val="14"/>
          <w:szCs w:val="14"/>
          <w:b w:val="1"/>
          <w:bCs w:val="1"/>
          <w:color w:val="auto"/>
        </w:rPr>
        <w:t>(847) 943-4000</w:t>
      </w:r>
    </w:p>
    <w:p>
      <w:pPr>
        <w:spacing w:after="0" w:line="69" w:lineRule="exact"/>
        <w:rPr>
          <w:sz w:val="24"/>
          <w:szCs w:val="24"/>
          <w:color w:val="auto"/>
        </w:rPr>
      </w:pPr>
    </w:p>
    <w:p>
      <w:pPr>
        <w:ind w:left="5120"/>
        <w:spacing w:after="0"/>
        <w:rPr>
          <w:sz w:val="20"/>
          <w:szCs w:val="20"/>
          <w:color w:val="auto"/>
        </w:rPr>
      </w:pPr>
      <w:r>
        <w:rPr>
          <w:rFonts w:ascii="Arial" w:cs="Arial" w:eastAsia="Arial" w:hAnsi="Arial"/>
          <w:sz w:val="14"/>
          <w:szCs w:val="14"/>
          <w:b w:val="1"/>
          <w:bCs w:val="1"/>
          <w:color w:val="auto"/>
        </w:rPr>
        <w:t>Not Applicable</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(Former name, former address and former fiscal year, if changed since last report)</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Securities registered pursuant to Section 12(b) of the Act:</w:t>
      </w:r>
    </w:p>
    <w:p>
      <w:pPr>
        <w:spacing w:after="0" w:line="110" w:lineRule="exact"/>
        <w:rPr>
          <w:sz w:val="24"/>
          <w:szCs w:val="24"/>
          <w:color w:val="auto"/>
        </w:rPr>
      </w:pPr>
    </w:p>
    <w:tbl>
      <w:tblPr>
        <w:tblLayout w:type="fixed"/>
        <w:tblInd w:w="40" w:type="dxa"/>
        <w:tblCellMar>
          <w:top w:w="0" w:type="dxa"/>
          <w:left w:w="0" w:type="dxa"/>
          <w:bottom w:w="0" w:type="dxa"/>
          <w:right w:w="0" w:type="dxa"/>
        </w:tblCellMar>
      </w:tblPr>
      <w:tr>
        <w:trPr>
          <w:trHeight w:val="161"/>
        </w:trPr>
        <w:tc>
          <w:tcPr>
            <w:tcW w:w="45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100" w:type="dxa"/>
            <w:vAlign w:val="bottom"/>
            <w:vMerge w:val="restart"/>
          </w:tcPr>
          <w:p>
            <w:pPr>
              <w:spacing w:after="0"/>
              <w:rPr>
                <w:sz w:val="14"/>
                <w:szCs w:val="14"/>
                <w:color w:val="auto"/>
              </w:rPr>
            </w:pPr>
          </w:p>
        </w:tc>
        <w:tc>
          <w:tcPr>
            <w:tcW w:w="19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Trading</w:t>
            </w:r>
          </w:p>
        </w:tc>
        <w:tc>
          <w:tcPr>
            <w:tcW w:w="46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5"/>
        </w:trPr>
        <w:tc>
          <w:tcPr>
            <w:tcW w:w="45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Symbol(s)</w:t>
            </w:r>
          </w:p>
        </w:tc>
        <w:tc>
          <w:tcPr>
            <w:tcW w:w="100" w:type="dxa"/>
            <w:vAlign w:val="bottom"/>
          </w:tcPr>
          <w:p>
            <w:pPr>
              <w:spacing w:after="0"/>
              <w:rPr>
                <w:sz w:val="16"/>
                <w:szCs w:val="16"/>
                <w:color w:val="auto"/>
              </w:rPr>
            </w:pPr>
          </w:p>
        </w:tc>
        <w:tc>
          <w:tcPr>
            <w:tcW w:w="46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600" w:type="dxa"/>
            <w:vAlign w:val="bottom"/>
            <w:gridSpan w:val="2"/>
          </w:tcPr>
          <w:p>
            <w:pPr>
              <w:jc w:val="center"/>
              <w:ind w:right="120"/>
              <w:spacing w:after="0"/>
              <w:rPr>
                <w:sz w:val="20"/>
                <w:szCs w:val="20"/>
                <w:color w:val="auto"/>
              </w:rPr>
            </w:pPr>
            <w:r>
              <w:rPr>
                <w:rFonts w:ascii="Arial" w:cs="Arial" w:eastAsia="Arial" w:hAnsi="Arial"/>
                <w:sz w:val="14"/>
                <w:szCs w:val="14"/>
                <w:color w:val="auto"/>
              </w:rPr>
              <w:t>Class A Common Stock, no par value</w:t>
            </w:r>
          </w:p>
        </w:tc>
        <w:tc>
          <w:tcPr>
            <w:tcW w:w="190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MDLZ</w:t>
            </w:r>
          </w:p>
        </w:tc>
        <w:tc>
          <w:tcPr>
            <w:tcW w:w="4680" w:type="dxa"/>
            <w:vAlign w:val="bottom"/>
          </w:tcPr>
          <w:p>
            <w:pPr>
              <w:jc w:val="center"/>
              <w:spacing w:after="0"/>
              <w:rPr>
                <w:sz w:val="20"/>
                <w:szCs w:val="20"/>
                <w:color w:val="auto"/>
              </w:rPr>
            </w:pPr>
            <w:r>
              <w:rPr>
                <w:rFonts w:ascii="Arial" w:cs="Arial" w:eastAsia="Arial" w:hAnsi="Arial"/>
                <w:sz w:val="14"/>
                <w:szCs w:val="14"/>
                <w:color w:val="auto"/>
              </w:rPr>
              <w:t>The Nasdaq Global Select Market</w:t>
            </w:r>
          </w:p>
        </w:tc>
        <w:tc>
          <w:tcPr>
            <w:tcW w:w="0" w:type="dxa"/>
            <w:vAlign w:val="bottom"/>
          </w:tcPr>
          <w:p>
            <w:pPr>
              <w:spacing w:after="0"/>
              <w:rPr>
                <w:sz w:val="1"/>
                <w:szCs w:val="1"/>
                <w:color w:val="auto"/>
              </w:rPr>
            </w:pPr>
          </w:p>
        </w:tc>
      </w:tr>
      <w:tr>
        <w:trPr>
          <w:trHeight w:val="203"/>
        </w:trPr>
        <w:tc>
          <w:tcPr>
            <w:tcW w:w="4600" w:type="dxa"/>
            <w:vAlign w:val="bottom"/>
            <w:gridSpan w:val="2"/>
          </w:tcPr>
          <w:p>
            <w:pPr>
              <w:jc w:val="center"/>
              <w:ind w:right="140"/>
              <w:spacing w:after="0"/>
              <w:rPr>
                <w:sz w:val="20"/>
                <w:szCs w:val="20"/>
                <w:color w:val="auto"/>
              </w:rPr>
            </w:pPr>
            <w:r>
              <w:rPr>
                <w:rFonts w:ascii="Arial" w:cs="Arial" w:eastAsia="Arial" w:hAnsi="Arial"/>
                <w:sz w:val="14"/>
                <w:szCs w:val="14"/>
                <w:color w:val="auto"/>
              </w:rPr>
              <w:t>1.625% Notes due 2027</w:t>
            </w:r>
          </w:p>
        </w:tc>
        <w:tc>
          <w:tcPr>
            <w:tcW w:w="1900" w:type="dxa"/>
            <w:vAlign w:val="bottom"/>
            <w:gridSpan w:val="2"/>
          </w:tcPr>
          <w:p>
            <w:pPr>
              <w:jc w:val="center"/>
              <w:ind w:right="120"/>
              <w:spacing w:after="0"/>
              <w:rPr>
                <w:sz w:val="20"/>
                <w:szCs w:val="20"/>
                <w:color w:val="auto"/>
              </w:rPr>
            </w:pPr>
            <w:r>
              <w:rPr>
                <w:rFonts w:ascii="Arial" w:cs="Arial" w:eastAsia="Arial" w:hAnsi="Arial"/>
                <w:sz w:val="14"/>
                <w:szCs w:val="14"/>
                <w:color w:val="auto"/>
              </w:rPr>
              <w:t>MDLZ27</w:t>
            </w:r>
          </w:p>
        </w:tc>
        <w:tc>
          <w:tcPr>
            <w:tcW w:w="4680" w:type="dxa"/>
            <w:vAlign w:val="bottom"/>
          </w:tcPr>
          <w:p>
            <w:pPr>
              <w:jc w:val="center"/>
              <w:spacing w:after="0"/>
              <w:rPr>
                <w:sz w:val="20"/>
                <w:szCs w:val="20"/>
                <w:color w:val="auto"/>
              </w:rPr>
            </w:pPr>
            <w:r>
              <w:rPr>
                <w:rFonts w:ascii="Arial" w:cs="Arial" w:eastAsia="Arial" w:hAnsi="Arial"/>
                <w:sz w:val="14"/>
                <w:szCs w:val="14"/>
                <w:color w:val="auto"/>
              </w:rPr>
              <w:t>The Nasdaq Stock Market LLC</w:t>
            </w:r>
          </w:p>
        </w:tc>
        <w:tc>
          <w:tcPr>
            <w:tcW w:w="0" w:type="dxa"/>
            <w:vAlign w:val="bottom"/>
          </w:tcPr>
          <w:p>
            <w:pPr>
              <w:spacing w:after="0"/>
              <w:rPr>
                <w:sz w:val="1"/>
                <w:szCs w:val="1"/>
                <w:color w:val="auto"/>
              </w:rPr>
            </w:pPr>
          </w:p>
        </w:tc>
      </w:tr>
      <w:tr>
        <w:trPr>
          <w:trHeight w:val="203"/>
        </w:trPr>
        <w:tc>
          <w:tcPr>
            <w:tcW w:w="4600" w:type="dxa"/>
            <w:vAlign w:val="bottom"/>
            <w:gridSpan w:val="2"/>
          </w:tcPr>
          <w:p>
            <w:pPr>
              <w:jc w:val="center"/>
              <w:ind w:right="140"/>
              <w:spacing w:after="0"/>
              <w:rPr>
                <w:sz w:val="20"/>
                <w:szCs w:val="20"/>
                <w:color w:val="auto"/>
              </w:rPr>
            </w:pPr>
            <w:r>
              <w:rPr>
                <w:rFonts w:ascii="Arial" w:cs="Arial" w:eastAsia="Arial" w:hAnsi="Arial"/>
                <w:sz w:val="14"/>
                <w:szCs w:val="14"/>
                <w:color w:val="auto"/>
              </w:rPr>
              <w:t>0.250% Notes due 2028</w:t>
            </w:r>
          </w:p>
        </w:tc>
        <w:tc>
          <w:tcPr>
            <w:tcW w:w="1900" w:type="dxa"/>
            <w:vAlign w:val="bottom"/>
            <w:gridSpan w:val="2"/>
          </w:tcPr>
          <w:p>
            <w:pPr>
              <w:jc w:val="center"/>
              <w:ind w:right="120"/>
              <w:spacing w:after="0"/>
              <w:rPr>
                <w:sz w:val="20"/>
                <w:szCs w:val="20"/>
                <w:color w:val="auto"/>
              </w:rPr>
            </w:pPr>
            <w:r>
              <w:rPr>
                <w:rFonts w:ascii="Arial" w:cs="Arial" w:eastAsia="Arial" w:hAnsi="Arial"/>
                <w:sz w:val="14"/>
                <w:szCs w:val="14"/>
                <w:color w:val="auto"/>
              </w:rPr>
              <w:t>MDLZ28</w:t>
            </w:r>
          </w:p>
        </w:tc>
        <w:tc>
          <w:tcPr>
            <w:tcW w:w="4680" w:type="dxa"/>
            <w:vAlign w:val="bottom"/>
          </w:tcPr>
          <w:p>
            <w:pPr>
              <w:jc w:val="center"/>
              <w:spacing w:after="0"/>
              <w:rPr>
                <w:sz w:val="20"/>
                <w:szCs w:val="20"/>
                <w:color w:val="auto"/>
              </w:rPr>
            </w:pPr>
            <w:r>
              <w:rPr>
                <w:rFonts w:ascii="Arial" w:cs="Arial" w:eastAsia="Arial" w:hAnsi="Arial"/>
                <w:sz w:val="14"/>
                <w:szCs w:val="14"/>
                <w:color w:val="auto"/>
              </w:rPr>
              <w:t>The Nasdaq Stock Market LLC</w:t>
            </w:r>
          </w:p>
        </w:tc>
        <w:tc>
          <w:tcPr>
            <w:tcW w:w="0" w:type="dxa"/>
            <w:vAlign w:val="bottom"/>
          </w:tcPr>
          <w:p>
            <w:pPr>
              <w:spacing w:after="0"/>
              <w:rPr>
                <w:sz w:val="1"/>
                <w:szCs w:val="1"/>
                <w:color w:val="auto"/>
              </w:rPr>
            </w:pPr>
          </w:p>
        </w:tc>
      </w:tr>
      <w:tr>
        <w:trPr>
          <w:trHeight w:val="203"/>
        </w:trPr>
        <w:tc>
          <w:tcPr>
            <w:tcW w:w="4600" w:type="dxa"/>
            <w:vAlign w:val="bottom"/>
            <w:gridSpan w:val="2"/>
          </w:tcPr>
          <w:p>
            <w:pPr>
              <w:jc w:val="center"/>
              <w:ind w:right="140"/>
              <w:spacing w:after="0"/>
              <w:rPr>
                <w:sz w:val="20"/>
                <w:szCs w:val="20"/>
                <w:color w:val="auto"/>
              </w:rPr>
            </w:pPr>
            <w:r>
              <w:rPr>
                <w:rFonts w:ascii="Arial" w:cs="Arial" w:eastAsia="Arial" w:hAnsi="Arial"/>
                <w:sz w:val="14"/>
                <w:szCs w:val="14"/>
                <w:color w:val="auto"/>
              </w:rPr>
              <w:t>0.750% Notes due 2033</w:t>
            </w:r>
          </w:p>
        </w:tc>
        <w:tc>
          <w:tcPr>
            <w:tcW w:w="1900" w:type="dxa"/>
            <w:vAlign w:val="bottom"/>
            <w:gridSpan w:val="2"/>
          </w:tcPr>
          <w:p>
            <w:pPr>
              <w:jc w:val="center"/>
              <w:ind w:right="120"/>
              <w:spacing w:after="0"/>
              <w:rPr>
                <w:sz w:val="20"/>
                <w:szCs w:val="20"/>
                <w:color w:val="auto"/>
              </w:rPr>
            </w:pPr>
            <w:r>
              <w:rPr>
                <w:rFonts w:ascii="Arial" w:cs="Arial" w:eastAsia="Arial" w:hAnsi="Arial"/>
                <w:sz w:val="14"/>
                <w:szCs w:val="14"/>
                <w:color w:val="auto"/>
              </w:rPr>
              <w:t>MDLZ33</w:t>
            </w:r>
          </w:p>
        </w:tc>
        <w:tc>
          <w:tcPr>
            <w:tcW w:w="4680" w:type="dxa"/>
            <w:vAlign w:val="bottom"/>
          </w:tcPr>
          <w:p>
            <w:pPr>
              <w:jc w:val="center"/>
              <w:spacing w:after="0"/>
              <w:rPr>
                <w:sz w:val="20"/>
                <w:szCs w:val="20"/>
                <w:color w:val="auto"/>
              </w:rPr>
            </w:pPr>
            <w:r>
              <w:rPr>
                <w:rFonts w:ascii="Arial" w:cs="Arial" w:eastAsia="Arial" w:hAnsi="Arial"/>
                <w:sz w:val="14"/>
                <w:szCs w:val="14"/>
                <w:color w:val="auto"/>
              </w:rPr>
              <w:t>The Nasdaq Stock Market LLC</w:t>
            </w:r>
          </w:p>
        </w:tc>
        <w:tc>
          <w:tcPr>
            <w:tcW w:w="0" w:type="dxa"/>
            <w:vAlign w:val="bottom"/>
          </w:tcPr>
          <w:p>
            <w:pPr>
              <w:spacing w:after="0"/>
              <w:rPr>
                <w:sz w:val="1"/>
                <w:szCs w:val="1"/>
                <w:color w:val="auto"/>
              </w:rPr>
            </w:pPr>
          </w:p>
        </w:tc>
      </w:tr>
      <w:tr>
        <w:trPr>
          <w:trHeight w:val="203"/>
        </w:trPr>
        <w:tc>
          <w:tcPr>
            <w:tcW w:w="4600" w:type="dxa"/>
            <w:vAlign w:val="bottom"/>
            <w:gridSpan w:val="2"/>
          </w:tcPr>
          <w:p>
            <w:pPr>
              <w:jc w:val="center"/>
              <w:ind w:right="140"/>
              <w:spacing w:after="0"/>
              <w:rPr>
                <w:sz w:val="20"/>
                <w:szCs w:val="20"/>
                <w:color w:val="auto"/>
              </w:rPr>
            </w:pPr>
            <w:r>
              <w:rPr>
                <w:rFonts w:ascii="Arial" w:cs="Arial" w:eastAsia="Arial" w:hAnsi="Arial"/>
                <w:sz w:val="14"/>
                <w:szCs w:val="14"/>
                <w:color w:val="auto"/>
              </w:rPr>
              <w:t>2.375% Notes due 2035</w:t>
            </w:r>
          </w:p>
        </w:tc>
        <w:tc>
          <w:tcPr>
            <w:tcW w:w="1900" w:type="dxa"/>
            <w:vAlign w:val="bottom"/>
            <w:gridSpan w:val="2"/>
          </w:tcPr>
          <w:p>
            <w:pPr>
              <w:jc w:val="center"/>
              <w:ind w:right="120"/>
              <w:spacing w:after="0"/>
              <w:rPr>
                <w:sz w:val="20"/>
                <w:szCs w:val="20"/>
                <w:color w:val="auto"/>
              </w:rPr>
            </w:pPr>
            <w:r>
              <w:rPr>
                <w:rFonts w:ascii="Arial" w:cs="Arial" w:eastAsia="Arial" w:hAnsi="Arial"/>
                <w:sz w:val="14"/>
                <w:szCs w:val="14"/>
                <w:color w:val="auto"/>
              </w:rPr>
              <w:t>MDLZ35</w:t>
            </w:r>
          </w:p>
        </w:tc>
        <w:tc>
          <w:tcPr>
            <w:tcW w:w="4680" w:type="dxa"/>
            <w:vAlign w:val="bottom"/>
          </w:tcPr>
          <w:p>
            <w:pPr>
              <w:jc w:val="center"/>
              <w:spacing w:after="0"/>
              <w:rPr>
                <w:sz w:val="20"/>
                <w:szCs w:val="20"/>
                <w:color w:val="auto"/>
              </w:rPr>
            </w:pPr>
            <w:r>
              <w:rPr>
                <w:rFonts w:ascii="Arial" w:cs="Arial" w:eastAsia="Arial" w:hAnsi="Arial"/>
                <w:sz w:val="14"/>
                <w:szCs w:val="14"/>
                <w:color w:val="auto"/>
              </w:rPr>
              <w:t>The Nasdaq Stock Market LLC</w:t>
            </w:r>
          </w:p>
        </w:tc>
        <w:tc>
          <w:tcPr>
            <w:tcW w:w="0" w:type="dxa"/>
            <w:vAlign w:val="bottom"/>
          </w:tcPr>
          <w:p>
            <w:pPr>
              <w:spacing w:after="0"/>
              <w:rPr>
                <w:sz w:val="1"/>
                <w:szCs w:val="1"/>
                <w:color w:val="auto"/>
              </w:rPr>
            </w:pPr>
          </w:p>
        </w:tc>
      </w:tr>
      <w:tr>
        <w:trPr>
          <w:trHeight w:val="203"/>
        </w:trPr>
        <w:tc>
          <w:tcPr>
            <w:tcW w:w="4600" w:type="dxa"/>
            <w:vAlign w:val="bottom"/>
            <w:gridSpan w:val="2"/>
          </w:tcPr>
          <w:p>
            <w:pPr>
              <w:jc w:val="center"/>
              <w:ind w:right="140"/>
              <w:spacing w:after="0"/>
              <w:rPr>
                <w:sz w:val="20"/>
                <w:szCs w:val="20"/>
                <w:color w:val="auto"/>
              </w:rPr>
            </w:pPr>
            <w:r>
              <w:rPr>
                <w:rFonts w:ascii="Arial" w:cs="Arial" w:eastAsia="Arial" w:hAnsi="Arial"/>
                <w:sz w:val="14"/>
                <w:szCs w:val="14"/>
                <w:color w:val="auto"/>
              </w:rPr>
              <w:t>4.500% Notes due 2035</w:t>
            </w:r>
          </w:p>
        </w:tc>
        <w:tc>
          <w:tcPr>
            <w:tcW w:w="1900" w:type="dxa"/>
            <w:vAlign w:val="bottom"/>
            <w:gridSpan w:val="2"/>
          </w:tcPr>
          <w:p>
            <w:pPr>
              <w:jc w:val="center"/>
              <w:ind w:right="120"/>
              <w:spacing w:after="0"/>
              <w:rPr>
                <w:sz w:val="20"/>
                <w:szCs w:val="20"/>
                <w:color w:val="auto"/>
              </w:rPr>
            </w:pPr>
            <w:r>
              <w:rPr>
                <w:rFonts w:ascii="Arial" w:cs="Arial" w:eastAsia="Arial" w:hAnsi="Arial"/>
                <w:sz w:val="14"/>
                <w:szCs w:val="14"/>
                <w:color w:val="auto"/>
              </w:rPr>
              <w:t>MDLZ35A</w:t>
            </w:r>
          </w:p>
        </w:tc>
        <w:tc>
          <w:tcPr>
            <w:tcW w:w="4680" w:type="dxa"/>
            <w:vAlign w:val="bottom"/>
          </w:tcPr>
          <w:p>
            <w:pPr>
              <w:jc w:val="center"/>
              <w:spacing w:after="0"/>
              <w:rPr>
                <w:sz w:val="20"/>
                <w:szCs w:val="20"/>
                <w:color w:val="auto"/>
              </w:rPr>
            </w:pPr>
            <w:r>
              <w:rPr>
                <w:rFonts w:ascii="Arial" w:cs="Arial" w:eastAsia="Arial" w:hAnsi="Arial"/>
                <w:sz w:val="14"/>
                <w:szCs w:val="14"/>
                <w:color w:val="auto"/>
              </w:rPr>
              <w:t>The Nasdaq Stock Market LLC</w:t>
            </w:r>
          </w:p>
        </w:tc>
        <w:tc>
          <w:tcPr>
            <w:tcW w:w="0" w:type="dxa"/>
            <w:vAlign w:val="bottom"/>
          </w:tcPr>
          <w:p>
            <w:pPr>
              <w:spacing w:after="0"/>
              <w:rPr>
                <w:sz w:val="1"/>
                <w:szCs w:val="1"/>
                <w:color w:val="auto"/>
              </w:rPr>
            </w:pPr>
          </w:p>
        </w:tc>
      </w:tr>
      <w:tr>
        <w:trPr>
          <w:trHeight w:val="202"/>
        </w:trPr>
        <w:tc>
          <w:tcPr>
            <w:tcW w:w="4600" w:type="dxa"/>
            <w:vAlign w:val="bottom"/>
            <w:gridSpan w:val="2"/>
          </w:tcPr>
          <w:p>
            <w:pPr>
              <w:jc w:val="center"/>
              <w:ind w:right="140"/>
              <w:spacing w:after="0"/>
              <w:rPr>
                <w:sz w:val="20"/>
                <w:szCs w:val="20"/>
                <w:color w:val="auto"/>
              </w:rPr>
            </w:pPr>
            <w:r>
              <w:rPr>
                <w:rFonts w:ascii="Arial" w:cs="Arial" w:eastAsia="Arial" w:hAnsi="Arial"/>
                <w:sz w:val="14"/>
                <w:szCs w:val="14"/>
                <w:color w:val="auto"/>
              </w:rPr>
              <w:t>1.375% Notes due 2041</w:t>
            </w:r>
          </w:p>
        </w:tc>
        <w:tc>
          <w:tcPr>
            <w:tcW w:w="1900" w:type="dxa"/>
            <w:vAlign w:val="bottom"/>
            <w:gridSpan w:val="2"/>
          </w:tcPr>
          <w:p>
            <w:pPr>
              <w:jc w:val="center"/>
              <w:ind w:right="120"/>
              <w:spacing w:after="0"/>
              <w:rPr>
                <w:sz w:val="20"/>
                <w:szCs w:val="20"/>
                <w:color w:val="auto"/>
              </w:rPr>
            </w:pPr>
            <w:r>
              <w:rPr>
                <w:rFonts w:ascii="Arial" w:cs="Arial" w:eastAsia="Arial" w:hAnsi="Arial"/>
                <w:sz w:val="14"/>
                <w:szCs w:val="14"/>
                <w:color w:val="auto"/>
              </w:rPr>
              <w:t>MDLZ41</w:t>
            </w:r>
          </w:p>
        </w:tc>
        <w:tc>
          <w:tcPr>
            <w:tcW w:w="4680" w:type="dxa"/>
            <w:vAlign w:val="bottom"/>
          </w:tcPr>
          <w:p>
            <w:pPr>
              <w:jc w:val="center"/>
              <w:spacing w:after="0"/>
              <w:rPr>
                <w:sz w:val="20"/>
                <w:szCs w:val="20"/>
                <w:color w:val="auto"/>
              </w:rPr>
            </w:pPr>
            <w:r>
              <w:rPr>
                <w:rFonts w:ascii="Arial" w:cs="Arial" w:eastAsia="Arial" w:hAnsi="Arial"/>
                <w:sz w:val="14"/>
                <w:szCs w:val="14"/>
                <w:color w:val="auto"/>
              </w:rPr>
              <w:t>The Nasdaq Stock Market LLC</w:t>
            </w:r>
          </w:p>
        </w:tc>
        <w:tc>
          <w:tcPr>
            <w:tcW w:w="0" w:type="dxa"/>
            <w:vAlign w:val="bottom"/>
          </w:tcPr>
          <w:p>
            <w:pPr>
              <w:spacing w:after="0"/>
              <w:rPr>
                <w:sz w:val="1"/>
                <w:szCs w:val="1"/>
                <w:color w:val="auto"/>
              </w:rPr>
            </w:pPr>
          </w:p>
        </w:tc>
      </w:tr>
      <w:tr>
        <w:trPr>
          <w:trHeight w:val="203"/>
        </w:trPr>
        <w:tc>
          <w:tcPr>
            <w:tcW w:w="4600" w:type="dxa"/>
            <w:vAlign w:val="bottom"/>
            <w:gridSpan w:val="2"/>
          </w:tcPr>
          <w:p>
            <w:pPr>
              <w:jc w:val="center"/>
              <w:ind w:right="140"/>
              <w:spacing w:after="0"/>
              <w:rPr>
                <w:sz w:val="20"/>
                <w:szCs w:val="20"/>
                <w:color w:val="auto"/>
              </w:rPr>
            </w:pPr>
            <w:r>
              <w:rPr>
                <w:rFonts w:ascii="Arial" w:cs="Arial" w:eastAsia="Arial" w:hAnsi="Arial"/>
                <w:sz w:val="14"/>
                <w:szCs w:val="14"/>
                <w:color w:val="auto"/>
              </w:rPr>
              <w:t>3.875% Notes due 2045</w:t>
            </w:r>
          </w:p>
        </w:tc>
        <w:tc>
          <w:tcPr>
            <w:tcW w:w="1900" w:type="dxa"/>
            <w:vAlign w:val="bottom"/>
            <w:gridSpan w:val="2"/>
          </w:tcPr>
          <w:p>
            <w:pPr>
              <w:jc w:val="center"/>
              <w:ind w:right="120"/>
              <w:spacing w:after="0"/>
              <w:rPr>
                <w:sz w:val="20"/>
                <w:szCs w:val="20"/>
                <w:color w:val="auto"/>
              </w:rPr>
            </w:pPr>
            <w:r>
              <w:rPr>
                <w:rFonts w:ascii="Arial" w:cs="Arial" w:eastAsia="Arial" w:hAnsi="Arial"/>
                <w:sz w:val="14"/>
                <w:szCs w:val="14"/>
                <w:color w:val="auto"/>
              </w:rPr>
              <w:t>MDLZ45</w:t>
            </w:r>
          </w:p>
        </w:tc>
        <w:tc>
          <w:tcPr>
            <w:tcW w:w="4680" w:type="dxa"/>
            <w:vAlign w:val="bottom"/>
          </w:tcPr>
          <w:p>
            <w:pPr>
              <w:jc w:val="center"/>
              <w:spacing w:after="0"/>
              <w:rPr>
                <w:sz w:val="20"/>
                <w:szCs w:val="20"/>
                <w:color w:val="auto"/>
              </w:rPr>
            </w:pPr>
            <w:r>
              <w:rPr>
                <w:rFonts w:ascii="Arial" w:cs="Arial" w:eastAsia="Arial" w:hAnsi="Arial"/>
                <w:sz w:val="14"/>
                <w:szCs w:val="14"/>
                <w:color w:val="auto"/>
              </w:rPr>
              <w:t>The Nasdaq Stock Market LLC</w:t>
            </w:r>
          </w:p>
        </w:tc>
        <w:tc>
          <w:tcPr>
            <w:tcW w:w="0" w:type="dxa"/>
            <w:vAlign w:val="bottom"/>
          </w:tcPr>
          <w:p>
            <w:pPr>
              <w:spacing w:after="0"/>
              <w:rPr>
                <w:sz w:val="1"/>
                <w:szCs w:val="1"/>
                <w:color w:val="auto"/>
              </w:rPr>
            </w:pPr>
          </w:p>
        </w:tc>
      </w:tr>
    </w:tbl>
    <w:p>
      <w:pPr>
        <w:spacing w:after="0" w:line="107" w:lineRule="exact"/>
        <w:rPr>
          <w:sz w:val="24"/>
          <w:szCs w:val="24"/>
          <w:color w:val="auto"/>
        </w:rPr>
      </w:pPr>
    </w:p>
    <w:p>
      <w:pPr>
        <w:jc w:val="both"/>
        <w:spacing w:after="0" w:line="213"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4"/>
          <w:szCs w:val="14"/>
          <w:b w:val="1"/>
          <w:bCs w:val="1"/>
          <w:color w:val="auto"/>
        </w:rPr>
        <w:t>x</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69" w:lineRule="exact"/>
        <w:rPr>
          <w:sz w:val="24"/>
          <w:szCs w:val="24"/>
          <w:color w:val="auto"/>
        </w:rPr>
      </w:pPr>
    </w:p>
    <w:p>
      <w:pPr>
        <w:jc w:val="both"/>
        <w:spacing w:after="0" w:line="193"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 w:cs="Wingdings" w:eastAsia="Wingdings" w:hAnsi="Wingdings"/>
          <w:sz w:val="14"/>
          <w:szCs w:val="14"/>
          <w:b w:val="1"/>
          <w:bCs w:val="1"/>
          <w:color w:val="auto"/>
        </w:rPr>
        <w:t>x</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33" w:lineRule="exact"/>
        <w:rPr>
          <w:sz w:val="24"/>
          <w:szCs w:val="24"/>
          <w:color w:val="auto"/>
        </w:rPr>
      </w:pPr>
    </w:p>
    <w:p>
      <w:pPr>
        <w:jc w:val="both"/>
        <w:ind w:right="20"/>
        <w:spacing w:after="0" w:line="285"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203"/>
        </w:trPr>
        <w:tc>
          <w:tcPr>
            <w:tcW w:w="236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000" w:type="dxa"/>
            <w:vAlign w:val="bottom"/>
          </w:tcPr>
          <w:p>
            <w:pPr>
              <w:ind w:left="920"/>
              <w:spacing w:after="0"/>
              <w:rPr>
                <w:sz w:val="20"/>
                <w:szCs w:val="20"/>
                <w:color w:val="auto"/>
              </w:rPr>
            </w:pPr>
            <w:r>
              <w:rPr>
                <w:rFonts w:ascii="Wingdings" w:cs="Wingdings" w:eastAsia="Wingdings" w:hAnsi="Wingdings"/>
                <w:sz w:val="14"/>
                <w:szCs w:val="14"/>
                <w:b w:val="1"/>
                <w:bCs w:val="1"/>
                <w:color w:val="auto"/>
              </w:rPr>
              <w:t>x</w:t>
            </w:r>
          </w:p>
        </w:tc>
        <w:tc>
          <w:tcPr>
            <w:tcW w:w="4420" w:type="dxa"/>
            <w:vAlign w:val="bottom"/>
          </w:tcPr>
          <w:p>
            <w:pPr>
              <w:ind w:left="1920"/>
              <w:spacing w:after="0"/>
              <w:rPr>
                <w:sz w:val="20"/>
                <w:szCs w:val="20"/>
                <w:color w:val="auto"/>
              </w:rPr>
            </w:pPr>
            <w:r>
              <w:rPr>
                <w:rFonts w:ascii="Arial" w:cs="Arial" w:eastAsia="Arial" w:hAnsi="Arial"/>
                <w:sz w:val="14"/>
                <w:szCs w:val="14"/>
                <w:color w:val="auto"/>
              </w:rPr>
              <w:t>Accelerated filer</w:t>
            </w:r>
          </w:p>
        </w:tc>
        <w:tc>
          <w:tcPr>
            <w:tcW w:w="920" w:type="dxa"/>
            <w:vAlign w:val="bottom"/>
          </w:tcPr>
          <w:p>
            <w:pPr>
              <w:ind w:left="8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03"/>
        </w:trPr>
        <w:tc>
          <w:tcPr>
            <w:tcW w:w="2360" w:type="dxa"/>
            <w:vAlign w:val="bottom"/>
          </w:tcPr>
          <w:p>
            <w:pPr>
              <w:spacing w:after="0"/>
              <w:rPr>
                <w:sz w:val="20"/>
                <w:szCs w:val="20"/>
                <w:color w:val="auto"/>
              </w:rPr>
            </w:pPr>
            <w:r>
              <w:rPr>
                <w:rFonts w:ascii="Arial" w:cs="Arial" w:eastAsia="Arial" w:hAnsi="Arial"/>
                <w:sz w:val="14"/>
                <w:szCs w:val="14"/>
                <w:color w:val="auto"/>
              </w:rPr>
              <w:t>Non-accelerated filer</w:t>
            </w:r>
          </w:p>
        </w:tc>
        <w:tc>
          <w:tcPr>
            <w:tcW w:w="3000" w:type="dxa"/>
            <w:vAlign w:val="bottom"/>
          </w:tcPr>
          <w:p>
            <w:pPr>
              <w:ind w:left="920"/>
              <w:spacing w:after="0" w:line="141" w:lineRule="exact"/>
              <w:rPr>
                <w:sz w:val="20"/>
                <w:szCs w:val="20"/>
                <w:color w:val="auto"/>
              </w:rPr>
            </w:pPr>
            <w:r>
              <w:rPr>
                <w:rFonts w:ascii="MS PGothic" w:cs="MS PGothic" w:eastAsia="MS PGothic" w:hAnsi="MS PGothic"/>
                <w:sz w:val="14"/>
                <w:szCs w:val="14"/>
                <w:color w:val="auto"/>
              </w:rPr>
              <w:t>☐</w:t>
            </w:r>
          </w:p>
        </w:tc>
        <w:tc>
          <w:tcPr>
            <w:tcW w:w="4420" w:type="dxa"/>
            <w:vAlign w:val="bottom"/>
          </w:tcPr>
          <w:p>
            <w:pPr>
              <w:ind w:left="1920"/>
              <w:spacing w:after="0"/>
              <w:rPr>
                <w:sz w:val="20"/>
                <w:szCs w:val="20"/>
                <w:color w:val="auto"/>
              </w:rPr>
            </w:pPr>
            <w:r>
              <w:rPr>
                <w:rFonts w:ascii="Arial" w:cs="Arial" w:eastAsia="Arial" w:hAnsi="Arial"/>
                <w:sz w:val="14"/>
                <w:szCs w:val="14"/>
                <w:color w:val="auto"/>
              </w:rPr>
              <w:t>Smaller reporting company</w:t>
            </w:r>
          </w:p>
        </w:tc>
        <w:tc>
          <w:tcPr>
            <w:tcW w:w="920" w:type="dxa"/>
            <w:vAlign w:val="bottom"/>
          </w:tcPr>
          <w:p>
            <w:pPr>
              <w:ind w:left="8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2"/>
        </w:trPr>
        <w:tc>
          <w:tcPr>
            <w:tcW w:w="2360" w:type="dxa"/>
            <w:vAlign w:val="bottom"/>
          </w:tcPr>
          <w:p>
            <w:pPr>
              <w:spacing w:after="0"/>
              <w:rPr>
                <w:sz w:val="21"/>
                <w:szCs w:val="21"/>
                <w:color w:val="auto"/>
              </w:rPr>
            </w:pPr>
          </w:p>
        </w:tc>
        <w:tc>
          <w:tcPr>
            <w:tcW w:w="3000" w:type="dxa"/>
            <w:vAlign w:val="bottom"/>
          </w:tcPr>
          <w:p>
            <w:pPr>
              <w:spacing w:after="0"/>
              <w:rPr>
                <w:sz w:val="21"/>
                <w:szCs w:val="21"/>
                <w:color w:val="auto"/>
              </w:rPr>
            </w:pPr>
          </w:p>
        </w:tc>
        <w:tc>
          <w:tcPr>
            <w:tcW w:w="4420" w:type="dxa"/>
            <w:vAlign w:val="bottom"/>
          </w:tcPr>
          <w:p>
            <w:pPr>
              <w:ind w:left="1920"/>
              <w:spacing w:after="0"/>
              <w:rPr>
                <w:sz w:val="20"/>
                <w:szCs w:val="20"/>
                <w:color w:val="auto"/>
              </w:rPr>
            </w:pPr>
            <w:r>
              <w:rPr>
                <w:rFonts w:ascii="Arial" w:cs="Arial" w:eastAsia="Arial" w:hAnsi="Arial"/>
                <w:sz w:val="14"/>
                <w:szCs w:val="14"/>
                <w:color w:val="auto"/>
              </w:rPr>
              <w:t>Emerging growth company</w:t>
            </w:r>
          </w:p>
        </w:tc>
        <w:tc>
          <w:tcPr>
            <w:tcW w:w="920" w:type="dxa"/>
            <w:vAlign w:val="bottom"/>
          </w:tcPr>
          <w:p>
            <w:pPr>
              <w:ind w:left="80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87" w:lineRule="exact"/>
        <w:rPr>
          <w:sz w:val="24"/>
          <w:szCs w:val="24"/>
          <w:color w:val="auto"/>
        </w:rPr>
      </w:pPr>
    </w:p>
    <w:p>
      <w:pPr>
        <w:spacing w:after="0" w:line="193"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Wingdings" w:cs="Wingdings" w:eastAsia="Wingdings" w:hAnsi="Wingdings"/>
          <w:sz w:val="14"/>
          <w:szCs w:val="14"/>
          <w:b w:val="1"/>
          <w:bCs w:val="1"/>
          <w:color w:val="auto"/>
        </w:rPr>
        <w:t>x</w:t>
      </w: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Arial" w:cs="Arial" w:eastAsia="Arial" w:hAnsi="Arial"/>
          <w:sz w:val="14"/>
          <w:szCs w:val="14"/>
          <w:color w:val="auto"/>
        </w:rPr>
        <w:t>At October 24, 2025, there were 1,290,358,492 shares of the registrant’s Class A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559435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Mondelēz International,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388" w:lineRule="exact"/>
        <w:rPr>
          <w:sz w:val="20"/>
          <w:szCs w:val="20"/>
          <w:color w:val="auto"/>
        </w:rPr>
      </w:pPr>
    </w:p>
    <w:tbl>
      <w:tblPr>
        <w:tblLayout w:type="fixed"/>
        <w:tblInd w:w="20" w:type="dxa"/>
        <w:tblCellMar>
          <w:top w:w="0" w:type="dxa"/>
          <w:left w:w="0" w:type="dxa"/>
          <w:bottom w:w="0" w:type="dxa"/>
          <w:right w:w="0" w:type="dxa"/>
        </w:tblCellMar>
      </w:tblPr>
      <w:tr>
        <w:trPr>
          <w:trHeight w:val="173"/>
        </w:trPr>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6"/>
              </w:rPr>
              <w:t>Page No.</w:t>
            </w:r>
          </w:p>
        </w:tc>
        <w:tc>
          <w:tcPr>
            <w:tcW w:w="0" w:type="dxa"/>
            <w:vAlign w:val="bottom"/>
          </w:tcPr>
          <w:p>
            <w:pPr>
              <w:spacing w:after="0"/>
              <w:rPr>
                <w:sz w:val="1"/>
                <w:szCs w:val="1"/>
                <w:color w:val="auto"/>
              </w:rPr>
            </w:pPr>
          </w:p>
        </w:tc>
      </w:tr>
      <w:tr>
        <w:trPr>
          <w:trHeight w:val="148"/>
        </w:trPr>
        <w:tc>
          <w:tcPr>
            <w:tcW w:w="800" w:type="dxa"/>
            <w:vAlign w:val="bottom"/>
            <w:gridSpan w:val="3"/>
          </w:tcPr>
          <w:p>
            <w:pPr>
              <w:spacing w:after="0" w:line="149" w:lineRule="exact"/>
              <w:rPr>
                <w:sz w:val="20"/>
                <w:szCs w:val="20"/>
                <w:color w:val="auto"/>
              </w:rPr>
            </w:pPr>
            <w:r>
              <w:rPr>
                <w:rFonts w:ascii="Arial" w:cs="Arial" w:eastAsia="Arial" w:hAnsi="Arial"/>
                <w:sz w:val="14"/>
                <w:szCs w:val="14"/>
                <w:b w:val="1"/>
                <w:bCs w:val="1"/>
                <w:color w:val="0000FF"/>
              </w:rPr>
              <w:t>PART I</w:t>
            </w:r>
          </w:p>
        </w:tc>
        <w:tc>
          <w:tcPr>
            <w:tcW w:w="9840" w:type="dxa"/>
            <w:vAlign w:val="bottom"/>
            <w:gridSpan w:val="16"/>
          </w:tcPr>
          <w:p>
            <w:pPr>
              <w:spacing w:after="0" w:line="149" w:lineRule="exact"/>
              <w:rPr>
                <w:sz w:val="20"/>
                <w:szCs w:val="20"/>
                <w:color w:val="auto"/>
              </w:rPr>
            </w:pPr>
            <w:r>
              <w:rPr>
                <w:rFonts w:ascii="Arial" w:cs="Arial" w:eastAsia="Arial" w:hAnsi="Arial"/>
                <w:sz w:val="14"/>
                <w:szCs w:val="14"/>
                <w:b w:val="1"/>
                <w:bCs w:val="1"/>
                <w:color w:val="auto"/>
              </w:rPr>
              <w:t>FINANCIAL INFORMATION</w:t>
            </w: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9"/>
        </w:trPr>
        <w:tc>
          <w:tcPr>
            <w:tcW w:w="460" w:type="dxa"/>
            <w:vAlign w:val="bottom"/>
            <w:tcBorders>
              <w:top w:val="single" w:sz="8" w:color="0000FF"/>
            </w:tcBorders>
          </w:tcPr>
          <w:p>
            <w:pPr>
              <w:spacing w:after="0"/>
              <w:rPr>
                <w:sz w:val="20"/>
                <w:szCs w:val="20"/>
                <w:color w:val="auto"/>
              </w:rPr>
            </w:pPr>
            <w:r>
              <w:rPr>
                <w:rFonts w:ascii="Arial" w:cs="Arial" w:eastAsia="Arial" w:hAnsi="Arial"/>
                <w:sz w:val="14"/>
                <w:szCs w:val="14"/>
                <w:color w:val="auto"/>
              </w:rPr>
              <w:t>Item 1.</w:t>
            </w:r>
          </w:p>
        </w:tc>
        <w:tc>
          <w:tcPr>
            <w:tcW w:w="340" w:type="dxa"/>
            <w:vAlign w:val="bottom"/>
            <w:gridSpan w:val="2"/>
          </w:tcPr>
          <w:p>
            <w:pPr>
              <w:spacing w:after="0"/>
              <w:rPr>
                <w:sz w:val="23"/>
                <w:szCs w:val="23"/>
                <w:color w:val="auto"/>
              </w:rPr>
            </w:pPr>
          </w:p>
        </w:tc>
        <w:tc>
          <w:tcPr>
            <w:tcW w:w="9840" w:type="dxa"/>
            <w:vAlign w:val="bottom"/>
            <w:gridSpan w:val="16"/>
          </w:tcPr>
          <w:p>
            <w:pPr>
              <w:spacing w:after="0"/>
              <w:rPr>
                <w:sz w:val="20"/>
                <w:szCs w:val="20"/>
                <w:color w:val="auto"/>
              </w:rPr>
            </w:pPr>
            <w:r>
              <w:rPr>
                <w:rFonts w:ascii="Arial" w:cs="Arial" w:eastAsia="Arial" w:hAnsi="Arial"/>
                <w:sz w:val="14"/>
                <w:szCs w:val="14"/>
                <w:color w:val="auto"/>
              </w:rPr>
              <w:t>Financial Statements (Unaudited)</w:t>
            </w:r>
          </w:p>
        </w:tc>
        <w:tc>
          <w:tcPr>
            <w:tcW w:w="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4"/>
        </w:trPr>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60" w:type="dxa"/>
            <w:vAlign w:val="bottom"/>
            <w:tcBorders>
              <w:bottom w:val="single" w:sz="8" w:color="0000FF"/>
            </w:tcBorders>
            <w:gridSpan w:val="14"/>
          </w:tcPr>
          <w:p>
            <w:pPr>
              <w:spacing w:after="0"/>
              <w:rPr>
                <w:sz w:val="20"/>
                <w:szCs w:val="20"/>
                <w:color w:val="auto"/>
              </w:rPr>
            </w:pPr>
            <w:r>
              <w:rPr>
                <w:rFonts w:ascii="Arial" w:cs="Arial" w:eastAsia="Arial" w:hAnsi="Arial"/>
                <w:sz w:val="14"/>
                <w:szCs w:val="14"/>
                <w:color w:val="0000FF"/>
              </w:rPr>
              <w:t>Condensed Consolidated Statements of Earnings for the Three and Nine Months Ended September 30, 2025 and 2024</w:t>
            </w:r>
          </w:p>
        </w:tc>
        <w:tc>
          <w:tcPr>
            <w:tcW w:w="2380" w:type="dxa"/>
            <w:vAlign w:val="bottom"/>
            <w:gridSpan w:val="2"/>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3"/>
        </w:trPr>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500" w:type="dxa"/>
            <w:vAlign w:val="bottom"/>
            <w:tcBorders>
              <w:bottom w:val="single" w:sz="8" w:color="0000FF"/>
            </w:tcBorders>
            <w:gridSpan w:val="15"/>
          </w:tcPr>
          <w:p>
            <w:pPr>
              <w:spacing w:after="0"/>
              <w:rPr>
                <w:sz w:val="20"/>
                <w:szCs w:val="20"/>
                <w:color w:val="auto"/>
              </w:rPr>
            </w:pPr>
            <w:r>
              <w:rPr>
                <w:rFonts w:ascii="Arial" w:cs="Arial" w:eastAsia="Arial" w:hAnsi="Arial"/>
                <w:sz w:val="14"/>
                <w:szCs w:val="14"/>
                <w:color w:val="0000FF"/>
              </w:rPr>
              <w:t>Condensed Consolidated Statements of Comprehensive Earnings for the Three and Nine Months Ended September 30, 2025 and 2024</w:t>
            </w:r>
          </w:p>
        </w:tc>
        <w:tc>
          <w:tcPr>
            <w:tcW w:w="13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83"/>
        </w:trPr>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60" w:type="dxa"/>
            <w:vAlign w:val="bottom"/>
            <w:tcBorders>
              <w:bottom w:val="single" w:sz="8" w:color="0000FF"/>
            </w:tcBorders>
            <w:gridSpan w:val="11"/>
          </w:tcPr>
          <w:p>
            <w:pPr>
              <w:spacing w:after="0"/>
              <w:rPr>
                <w:sz w:val="20"/>
                <w:szCs w:val="20"/>
                <w:color w:val="auto"/>
              </w:rPr>
            </w:pPr>
            <w:r>
              <w:rPr>
                <w:rFonts w:ascii="Arial" w:cs="Arial" w:eastAsia="Arial" w:hAnsi="Arial"/>
                <w:sz w:val="14"/>
                <w:szCs w:val="14"/>
                <w:color w:val="0000FF"/>
              </w:rPr>
              <w:t>Condensed Consolidated Balance Sheets at September 30, 2025 and December 31, 2024</w:t>
            </w:r>
          </w:p>
        </w:tc>
        <w:tc>
          <w:tcPr>
            <w:tcW w:w="4180" w:type="dxa"/>
            <w:vAlign w:val="bottom"/>
            <w:gridSpan w:val="5"/>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83"/>
        </w:trPr>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300" w:type="dxa"/>
            <w:vAlign w:val="bottom"/>
            <w:tcBorders>
              <w:bottom w:val="single" w:sz="8" w:color="0000FF"/>
            </w:tcBorders>
            <w:gridSpan w:val="13"/>
          </w:tcPr>
          <w:p>
            <w:pPr>
              <w:spacing w:after="0"/>
              <w:rPr>
                <w:sz w:val="20"/>
                <w:szCs w:val="20"/>
                <w:color w:val="auto"/>
              </w:rPr>
            </w:pPr>
            <w:r>
              <w:rPr>
                <w:rFonts w:ascii="Arial" w:cs="Arial" w:eastAsia="Arial" w:hAnsi="Arial"/>
                <w:sz w:val="14"/>
                <w:szCs w:val="14"/>
                <w:color w:val="0000FF"/>
              </w:rPr>
              <w:t>Condensed Consolidated Statements of Equity for the Three and Nine Months Ended September 30, 2025 and 2024</w:t>
            </w:r>
          </w:p>
        </w:tc>
        <w:tc>
          <w:tcPr>
            <w:tcW w:w="2540" w:type="dxa"/>
            <w:vAlign w:val="bottom"/>
            <w:gridSpan w:val="3"/>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83"/>
        </w:trPr>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960" w:type="dxa"/>
            <w:vAlign w:val="bottom"/>
            <w:tcBorders>
              <w:bottom w:val="single" w:sz="8" w:color="0000FF"/>
            </w:tcBorders>
            <w:gridSpan w:val="12"/>
          </w:tcPr>
          <w:p>
            <w:pPr>
              <w:spacing w:after="0"/>
              <w:rPr>
                <w:sz w:val="20"/>
                <w:szCs w:val="20"/>
                <w:color w:val="auto"/>
              </w:rPr>
            </w:pPr>
            <w:r>
              <w:rPr>
                <w:rFonts w:ascii="Arial" w:cs="Arial" w:eastAsia="Arial" w:hAnsi="Arial"/>
                <w:sz w:val="14"/>
                <w:szCs w:val="14"/>
                <w:color w:val="0000FF"/>
              </w:rPr>
              <w:t>Condensed Consolidated Statements of Cash Flows for the Nine Months Ended September 30, 2025 and 2024</w:t>
            </w:r>
          </w:p>
        </w:tc>
        <w:tc>
          <w:tcPr>
            <w:tcW w:w="2880" w:type="dxa"/>
            <w:vAlign w:val="bottom"/>
            <w:gridSpan w:val="4"/>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83"/>
        </w:trPr>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40" w:type="dxa"/>
            <w:vAlign w:val="bottom"/>
            <w:gridSpan w:val="16"/>
          </w:tcPr>
          <w:p>
            <w:pPr>
              <w:spacing w:after="0"/>
              <w:rPr>
                <w:sz w:val="20"/>
                <w:szCs w:val="20"/>
                <w:color w:val="auto"/>
              </w:rPr>
            </w:pPr>
            <w:r>
              <w:rPr>
                <w:rFonts w:ascii="Arial" w:cs="Arial" w:eastAsia="Arial" w:hAnsi="Arial"/>
                <w:sz w:val="14"/>
                <w:szCs w:val="14"/>
                <w:color w:val="0000FF"/>
              </w:rPr>
              <w:t>Notes to Condensed Consolidated Financial Statements</w:t>
            </w:r>
          </w:p>
        </w:tc>
        <w:tc>
          <w:tcPr>
            <w:tcW w:w="580" w:type="dxa"/>
            <w:vAlign w:val="bottom"/>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20"/>
        </w:trPr>
        <w:tc>
          <w:tcPr>
            <w:tcW w:w="500" w:type="dxa"/>
            <w:vAlign w:val="bottom"/>
            <w:gridSpan w:val="2"/>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280" w:type="dxa"/>
            <w:vAlign w:val="bottom"/>
            <w:gridSpan w:val="6"/>
          </w:tcPr>
          <w:p>
            <w:pPr>
              <w:spacing w:after="0" w:line="20" w:lineRule="exact"/>
              <w:rPr>
                <w:sz w:val="1"/>
                <w:szCs w:val="1"/>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line="20" w:lineRule="exact"/>
              <w:rPr>
                <w:sz w:val="1"/>
                <w:szCs w:val="1"/>
                <w:color w:val="auto"/>
              </w:rPr>
            </w:pPr>
          </w:p>
        </w:tc>
      </w:tr>
      <w:tr>
        <w:trPr>
          <w:trHeight w:val="183"/>
        </w:trPr>
        <w:tc>
          <w:tcPr>
            <w:tcW w:w="800" w:type="dxa"/>
            <w:vAlign w:val="bottom"/>
            <w:gridSpan w:val="3"/>
          </w:tcPr>
          <w:p>
            <w:pPr>
              <w:spacing w:after="0"/>
              <w:rPr>
                <w:sz w:val="20"/>
                <w:szCs w:val="20"/>
                <w:color w:val="auto"/>
              </w:rPr>
            </w:pPr>
            <w:r>
              <w:rPr>
                <w:rFonts w:ascii="Arial" w:cs="Arial" w:eastAsia="Arial" w:hAnsi="Arial"/>
                <w:sz w:val="14"/>
                <w:szCs w:val="14"/>
                <w:color w:val="auto"/>
              </w:rPr>
              <w:t>Item 2.</w:t>
            </w:r>
          </w:p>
        </w:tc>
        <w:tc>
          <w:tcPr>
            <w:tcW w:w="5560" w:type="dxa"/>
            <w:vAlign w:val="bottom"/>
            <w:tcBorders>
              <w:bottom w:val="single" w:sz="8" w:color="0000FF"/>
            </w:tcBorders>
            <w:gridSpan w:val="10"/>
          </w:tcPr>
          <w:p>
            <w:pPr>
              <w:spacing w:after="0"/>
              <w:rPr>
                <w:sz w:val="20"/>
                <w:szCs w:val="20"/>
                <w:color w:val="auto"/>
              </w:rPr>
            </w:pPr>
            <w:r>
              <w:rPr>
                <w:rFonts w:ascii="Arial" w:cs="Arial" w:eastAsia="Arial" w:hAnsi="Arial"/>
                <w:sz w:val="14"/>
                <w:szCs w:val="14"/>
                <w:color w:val="0000FF"/>
              </w:rPr>
              <w:t>Management’s Discussion and Analysis of Financial Condition and Results of Operations</w:t>
            </w:r>
          </w:p>
        </w:tc>
        <w:tc>
          <w:tcPr>
            <w:tcW w:w="4280" w:type="dxa"/>
            <w:vAlign w:val="bottom"/>
            <w:gridSpan w:val="6"/>
          </w:tcPr>
          <w:p>
            <w:pPr>
              <w:spacing w:after="0"/>
              <w:rPr>
                <w:sz w:val="15"/>
                <w:szCs w:val="15"/>
                <w:color w:val="auto"/>
              </w:rPr>
            </w:pPr>
          </w:p>
        </w:tc>
        <w:tc>
          <w:tcPr>
            <w:tcW w:w="5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00" w:type="dxa"/>
            <w:vAlign w:val="bottom"/>
            <w:gridSpan w:val="3"/>
          </w:tcPr>
          <w:p>
            <w:pPr>
              <w:spacing w:after="0"/>
              <w:rPr>
                <w:sz w:val="20"/>
                <w:szCs w:val="20"/>
                <w:color w:val="auto"/>
              </w:rPr>
            </w:pPr>
            <w:r>
              <w:rPr>
                <w:rFonts w:ascii="Arial" w:cs="Arial" w:eastAsia="Arial" w:hAnsi="Arial"/>
                <w:sz w:val="14"/>
                <w:szCs w:val="14"/>
                <w:color w:val="auto"/>
              </w:rPr>
              <w:t>Item 3.</w:t>
            </w:r>
          </w:p>
        </w:tc>
        <w:tc>
          <w:tcPr>
            <w:tcW w:w="3680" w:type="dxa"/>
            <w:vAlign w:val="bottom"/>
            <w:tcBorders>
              <w:bottom w:val="single" w:sz="8" w:color="0000FF"/>
            </w:tcBorders>
            <w:gridSpan w:val="8"/>
          </w:tcPr>
          <w:p>
            <w:pPr>
              <w:spacing w:after="0"/>
              <w:rPr>
                <w:sz w:val="20"/>
                <w:szCs w:val="20"/>
                <w:color w:val="auto"/>
              </w:rPr>
            </w:pPr>
            <w:r>
              <w:rPr>
                <w:rFonts w:ascii="Arial" w:cs="Arial" w:eastAsia="Arial" w:hAnsi="Arial"/>
                <w:sz w:val="14"/>
                <w:szCs w:val="14"/>
                <w:color w:val="0000FF"/>
              </w:rPr>
              <w:t>Quantitative and Qualitative Disclosures about Market Risk</w:t>
            </w:r>
          </w:p>
        </w:tc>
        <w:tc>
          <w:tcPr>
            <w:tcW w:w="6160" w:type="dxa"/>
            <w:vAlign w:val="bottom"/>
            <w:gridSpan w:val="8"/>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237"/>
        </w:trPr>
        <w:tc>
          <w:tcPr>
            <w:tcW w:w="800" w:type="dxa"/>
            <w:vAlign w:val="bottom"/>
            <w:gridSpan w:val="3"/>
          </w:tcPr>
          <w:p>
            <w:pPr>
              <w:spacing w:after="0"/>
              <w:rPr>
                <w:sz w:val="20"/>
                <w:szCs w:val="20"/>
                <w:color w:val="auto"/>
              </w:rPr>
            </w:pPr>
            <w:r>
              <w:rPr>
                <w:rFonts w:ascii="Arial" w:cs="Arial" w:eastAsia="Arial" w:hAnsi="Arial"/>
                <w:sz w:val="14"/>
                <w:szCs w:val="14"/>
                <w:color w:val="auto"/>
              </w:rPr>
              <w:t>Item 4.</w:t>
            </w:r>
          </w:p>
        </w:tc>
        <w:tc>
          <w:tcPr>
            <w:tcW w:w="9840" w:type="dxa"/>
            <w:vAlign w:val="bottom"/>
            <w:gridSpan w:val="16"/>
          </w:tcPr>
          <w:p>
            <w:pPr>
              <w:spacing w:after="0"/>
              <w:rPr>
                <w:sz w:val="20"/>
                <w:szCs w:val="20"/>
                <w:color w:val="auto"/>
              </w:rPr>
            </w:pPr>
            <w:r>
              <w:rPr>
                <w:rFonts w:ascii="Arial" w:cs="Arial" w:eastAsia="Arial" w:hAnsi="Arial"/>
                <w:sz w:val="14"/>
                <w:szCs w:val="14"/>
                <w:color w:val="0000FF"/>
              </w:rPr>
              <w:t>Controls and Procedures</w:t>
            </w:r>
          </w:p>
        </w:tc>
        <w:tc>
          <w:tcPr>
            <w:tcW w:w="580" w:type="dxa"/>
            <w:vAlign w:val="bottom"/>
          </w:tcPr>
          <w:p>
            <w:pPr>
              <w:jc w:val="right"/>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237"/>
        </w:trPr>
        <w:tc>
          <w:tcPr>
            <w:tcW w:w="800" w:type="dxa"/>
            <w:vAlign w:val="bottom"/>
            <w:gridSpan w:val="3"/>
          </w:tcPr>
          <w:p>
            <w:pPr>
              <w:spacing w:after="0"/>
              <w:rPr>
                <w:sz w:val="20"/>
                <w:szCs w:val="20"/>
                <w:color w:val="auto"/>
              </w:rPr>
            </w:pPr>
            <w:r>
              <w:rPr>
                <w:rFonts w:ascii="Arial" w:cs="Arial" w:eastAsia="Arial" w:hAnsi="Arial"/>
                <w:sz w:val="14"/>
                <w:szCs w:val="14"/>
                <w:b w:val="1"/>
                <w:bCs w:val="1"/>
                <w:color w:val="0000FF"/>
              </w:rPr>
              <w:t>PART II</w:t>
            </w:r>
          </w:p>
        </w:tc>
        <w:tc>
          <w:tcPr>
            <w:tcW w:w="1540" w:type="dxa"/>
            <w:vAlign w:val="bottom"/>
            <w:tcBorders>
              <w:top w:val="single" w:sz="8" w:color="0000FF"/>
            </w:tcBorders>
            <w:gridSpan w:val="6"/>
          </w:tcPr>
          <w:p>
            <w:pPr>
              <w:spacing w:after="0"/>
              <w:rPr>
                <w:sz w:val="20"/>
                <w:szCs w:val="20"/>
                <w:color w:val="auto"/>
              </w:rPr>
            </w:pPr>
            <w:r>
              <w:rPr>
                <w:rFonts w:ascii="Arial" w:cs="Arial" w:eastAsia="Arial" w:hAnsi="Arial"/>
                <w:sz w:val="14"/>
                <w:szCs w:val="14"/>
                <w:b w:val="1"/>
                <w:bCs w:val="1"/>
                <w:color w:val="auto"/>
              </w:rPr>
              <w:t>OTHER INFORMATION</w:t>
            </w:r>
          </w:p>
        </w:tc>
        <w:tc>
          <w:tcPr>
            <w:tcW w:w="8300" w:type="dxa"/>
            <w:vAlign w:val="bottom"/>
            <w:gridSpan w:val="10"/>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00" w:type="dxa"/>
            <w:vAlign w:val="bottom"/>
            <w:tcBorders>
              <w:top w:val="single" w:sz="8" w:color="0000FF"/>
            </w:tcBorders>
            <w:gridSpan w:val="2"/>
          </w:tcPr>
          <w:p>
            <w:pPr>
              <w:spacing w:after="0"/>
              <w:rPr>
                <w:sz w:val="20"/>
                <w:szCs w:val="20"/>
                <w:color w:val="auto"/>
              </w:rPr>
            </w:pPr>
            <w:r>
              <w:rPr>
                <w:rFonts w:ascii="Arial" w:cs="Arial" w:eastAsia="Arial" w:hAnsi="Arial"/>
                <w:sz w:val="14"/>
                <w:szCs w:val="14"/>
                <w:color w:val="auto"/>
              </w:rPr>
              <w:t>Item 1.</w:t>
            </w:r>
          </w:p>
        </w:tc>
        <w:tc>
          <w:tcPr>
            <w:tcW w:w="300" w:type="dxa"/>
            <w:vAlign w:val="bottom"/>
          </w:tcPr>
          <w:p>
            <w:pPr>
              <w:spacing w:after="0"/>
              <w:rPr>
                <w:sz w:val="20"/>
                <w:szCs w:val="20"/>
                <w:color w:val="auto"/>
              </w:rPr>
            </w:pPr>
          </w:p>
        </w:tc>
        <w:tc>
          <w:tcPr>
            <w:tcW w:w="1160" w:type="dxa"/>
            <w:vAlign w:val="bottom"/>
            <w:tcBorders>
              <w:bottom w:val="single" w:sz="8" w:color="0000FF"/>
            </w:tcBorders>
            <w:gridSpan w:val="5"/>
          </w:tcPr>
          <w:p>
            <w:pPr>
              <w:spacing w:after="0"/>
              <w:rPr>
                <w:sz w:val="20"/>
                <w:szCs w:val="20"/>
                <w:color w:val="auto"/>
              </w:rPr>
            </w:pPr>
            <w:r>
              <w:rPr>
                <w:rFonts w:ascii="Arial" w:cs="Arial" w:eastAsia="Arial" w:hAnsi="Arial"/>
                <w:sz w:val="14"/>
                <w:szCs w:val="14"/>
                <w:color w:val="0000FF"/>
                <w:w w:val="98"/>
              </w:rPr>
              <w:t>Legal Proceedings</w:t>
            </w:r>
          </w:p>
        </w:tc>
        <w:tc>
          <w:tcPr>
            <w:tcW w:w="8680" w:type="dxa"/>
            <w:vAlign w:val="bottom"/>
            <w:gridSpan w:val="11"/>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183"/>
        </w:trPr>
        <w:tc>
          <w:tcPr>
            <w:tcW w:w="800" w:type="dxa"/>
            <w:vAlign w:val="bottom"/>
            <w:gridSpan w:val="3"/>
          </w:tcPr>
          <w:p>
            <w:pPr>
              <w:spacing w:after="0"/>
              <w:rPr>
                <w:sz w:val="20"/>
                <w:szCs w:val="20"/>
                <w:color w:val="auto"/>
              </w:rPr>
            </w:pPr>
            <w:r>
              <w:rPr>
                <w:rFonts w:ascii="Arial" w:cs="Arial" w:eastAsia="Arial" w:hAnsi="Arial"/>
                <w:sz w:val="14"/>
                <w:szCs w:val="14"/>
                <w:color w:val="auto"/>
              </w:rPr>
              <w:t>Item 1A.</w:t>
            </w:r>
          </w:p>
        </w:tc>
        <w:tc>
          <w:tcPr>
            <w:tcW w:w="9840" w:type="dxa"/>
            <w:vAlign w:val="bottom"/>
            <w:gridSpan w:val="16"/>
          </w:tcPr>
          <w:p>
            <w:pPr>
              <w:spacing w:after="0"/>
              <w:rPr>
                <w:sz w:val="20"/>
                <w:szCs w:val="20"/>
                <w:color w:val="auto"/>
              </w:rPr>
            </w:pPr>
            <w:r>
              <w:rPr>
                <w:rFonts w:ascii="Arial" w:cs="Arial" w:eastAsia="Arial" w:hAnsi="Arial"/>
                <w:sz w:val="14"/>
                <w:szCs w:val="14"/>
                <w:color w:val="0000FF"/>
              </w:rPr>
              <w:t>Risk Factors</w:t>
            </w:r>
          </w:p>
        </w:tc>
        <w:tc>
          <w:tcPr>
            <w:tcW w:w="580" w:type="dxa"/>
            <w:vAlign w:val="bottom"/>
          </w:tcPr>
          <w:p>
            <w:pPr>
              <w:jc w:val="right"/>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20"/>
        </w:trPr>
        <w:tc>
          <w:tcPr>
            <w:tcW w:w="800" w:type="dxa"/>
            <w:vAlign w:val="bottom"/>
            <w:tcBorders>
              <w:right w:val="single" w:sz="8" w:color="0000FF"/>
            </w:tcBorders>
            <w:gridSpan w:val="3"/>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720" w:type="dxa"/>
            <w:vAlign w:val="bottom"/>
            <w:gridSpan w:val="5"/>
          </w:tcPr>
          <w:p>
            <w:pPr>
              <w:spacing w:after="0" w:line="20" w:lineRule="exact"/>
              <w:rPr>
                <w:sz w:val="1"/>
                <w:szCs w:val="1"/>
                <w:color w:val="auto"/>
              </w:rPr>
            </w:pPr>
          </w:p>
        </w:tc>
        <w:tc>
          <w:tcPr>
            <w:tcW w:w="6040" w:type="dxa"/>
            <w:vAlign w:val="bottom"/>
            <w:gridSpan w:val="7"/>
          </w:tcPr>
          <w:p>
            <w:pPr>
              <w:spacing w:after="0" w:line="20" w:lineRule="exact"/>
              <w:rPr>
                <w:sz w:val="1"/>
                <w:szCs w:val="1"/>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53</w:t>
            </w:r>
          </w:p>
        </w:tc>
        <w:tc>
          <w:tcPr>
            <w:tcW w:w="0" w:type="dxa"/>
            <w:vAlign w:val="bottom"/>
          </w:tcPr>
          <w:p>
            <w:pPr>
              <w:spacing w:after="0" w:line="20" w:lineRule="exact"/>
              <w:rPr>
                <w:sz w:val="1"/>
                <w:szCs w:val="1"/>
                <w:color w:val="auto"/>
              </w:rPr>
            </w:pPr>
          </w:p>
        </w:tc>
      </w:tr>
      <w:tr>
        <w:trPr>
          <w:trHeight w:val="236"/>
        </w:trPr>
        <w:tc>
          <w:tcPr>
            <w:tcW w:w="800" w:type="dxa"/>
            <w:vAlign w:val="bottom"/>
            <w:gridSpan w:val="3"/>
          </w:tcPr>
          <w:p>
            <w:pPr>
              <w:spacing w:after="0"/>
              <w:rPr>
                <w:sz w:val="20"/>
                <w:szCs w:val="20"/>
                <w:color w:val="auto"/>
              </w:rPr>
            </w:pPr>
            <w:r>
              <w:rPr>
                <w:rFonts w:ascii="Arial" w:cs="Arial" w:eastAsia="Arial" w:hAnsi="Arial"/>
                <w:sz w:val="14"/>
                <w:szCs w:val="14"/>
                <w:color w:val="auto"/>
              </w:rPr>
              <w:t>Item 2.</w:t>
            </w:r>
          </w:p>
        </w:tc>
        <w:tc>
          <w:tcPr>
            <w:tcW w:w="9840" w:type="dxa"/>
            <w:vAlign w:val="bottom"/>
            <w:gridSpan w:val="16"/>
          </w:tcPr>
          <w:p>
            <w:pPr>
              <w:spacing w:after="0"/>
              <w:rPr>
                <w:sz w:val="20"/>
                <w:szCs w:val="20"/>
                <w:color w:val="auto"/>
              </w:rPr>
            </w:pPr>
            <w:r>
              <w:rPr>
                <w:rFonts w:ascii="Arial" w:cs="Arial" w:eastAsia="Arial" w:hAnsi="Arial"/>
                <w:sz w:val="14"/>
                <w:szCs w:val="14"/>
                <w:color w:val="0000FF"/>
              </w:rPr>
              <w:t>Unregistered Sales of Equity Securities and Use of Proceeds</w:t>
            </w:r>
          </w:p>
        </w:tc>
        <w:tc>
          <w:tcPr>
            <w:tcW w:w="5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800" w:type="dxa"/>
            <w:vAlign w:val="bottom"/>
            <w:gridSpan w:val="3"/>
          </w:tcPr>
          <w:p>
            <w:pPr>
              <w:spacing w:after="0"/>
              <w:rPr>
                <w:sz w:val="20"/>
                <w:szCs w:val="20"/>
                <w:color w:val="auto"/>
              </w:rPr>
            </w:pPr>
            <w:r>
              <w:rPr>
                <w:rFonts w:ascii="Arial" w:cs="Arial" w:eastAsia="Arial" w:hAnsi="Arial"/>
                <w:sz w:val="14"/>
                <w:szCs w:val="14"/>
                <w:color w:val="auto"/>
              </w:rPr>
              <w:t>Item 5.</w:t>
            </w:r>
          </w:p>
        </w:tc>
        <w:tc>
          <w:tcPr>
            <w:tcW w:w="3800" w:type="dxa"/>
            <w:vAlign w:val="bottom"/>
            <w:tcBorders>
              <w:top w:val="single" w:sz="8" w:color="0000FF"/>
            </w:tcBorders>
            <w:gridSpan w:val="9"/>
          </w:tcPr>
          <w:p>
            <w:pPr>
              <w:spacing w:after="0"/>
              <w:rPr>
                <w:sz w:val="20"/>
                <w:szCs w:val="20"/>
                <w:color w:val="auto"/>
              </w:rPr>
            </w:pPr>
            <w:r>
              <w:rPr>
                <w:rFonts w:ascii="Arial" w:cs="Arial" w:eastAsia="Arial" w:hAnsi="Arial"/>
                <w:sz w:val="14"/>
                <w:szCs w:val="14"/>
                <w:color w:val="0000FF"/>
              </w:rPr>
              <w:t>Other Information</w:t>
            </w:r>
          </w:p>
        </w:tc>
        <w:tc>
          <w:tcPr>
            <w:tcW w:w="6040" w:type="dxa"/>
            <w:vAlign w:val="bottom"/>
            <w:gridSpan w:val="7"/>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237"/>
        </w:trPr>
        <w:tc>
          <w:tcPr>
            <w:tcW w:w="800" w:type="dxa"/>
            <w:vAlign w:val="bottom"/>
            <w:gridSpan w:val="3"/>
          </w:tcPr>
          <w:p>
            <w:pPr>
              <w:spacing w:after="0"/>
              <w:rPr>
                <w:sz w:val="20"/>
                <w:szCs w:val="20"/>
                <w:color w:val="auto"/>
              </w:rPr>
            </w:pPr>
            <w:r>
              <w:rPr>
                <w:rFonts w:ascii="Arial" w:cs="Arial" w:eastAsia="Arial" w:hAnsi="Arial"/>
                <w:sz w:val="14"/>
                <w:szCs w:val="14"/>
                <w:color w:val="auto"/>
              </w:rPr>
              <w:t>Item 6.</w:t>
            </w:r>
          </w:p>
        </w:tc>
        <w:tc>
          <w:tcPr>
            <w:tcW w:w="480" w:type="dxa"/>
            <w:vAlign w:val="bottom"/>
            <w:tcBorders>
              <w:top w:val="single" w:sz="8" w:color="0000FF"/>
              <w:bottom w:val="single" w:sz="8" w:color="0000FF"/>
            </w:tcBorders>
          </w:tcPr>
          <w:p>
            <w:pPr>
              <w:spacing w:after="0"/>
              <w:rPr>
                <w:sz w:val="20"/>
                <w:szCs w:val="20"/>
                <w:color w:val="auto"/>
              </w:rPr>
            </w:pPr>
            <w:r>
              <w:rPr>
                <w:rFonts w:ascii="Arial" w:cs="Arial" w:eastAsia="Arial" w:hAnsi="Arial"/>
                <w:sz w:val="14"/>
                <w:szCs w:val="14"/>
                <w:color w:val="0000FF"/>
                <w:w w:val="93"/>
              </w:rPr>
              <w:t>Exhibits</w:t>
            </w:r>
          </w:p>
        </w:tc>
        <w:tc>
          <w:tcPr>
            <w:tcW w:w="600" w:type="dxa"/>
            <w:vAlign w:val="bottom"/>
            <w:tcBorders>
              <w:top w:val="single" w:sz="8" w:color="0000FF"/>
            </w:tcBorders>
            <w:gridSpan w:val="3"/>
          </w:tcPr>
          <w:p>
            <w:pPr>
              <w:spacing w:after="0"/>
              <w:rPr>
                <w:sz w:val="20"/>
                <w:szCs w:val="20"/>
                <w:color w:val="auto"/>
              </w:rPr>
            </w:pPr>
          </w:p>
        </w:tc>
        <w:tc>
          <w:tcPr>
            <w:tcW w:w="8760" w:type="dxa"/>
            <w:vAlign w:val="bottom"/>
            <w:gridSpan w:val="12"/>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236"/>
        </w:trPr>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40" w:type="dxa"/>
            <w:vAlign w:val="bottom"/>
            <w:gridSpan w:val="16"/>
          </w:tcPr>
          <w:p>
            <w:pPr>
              <w:spacing w:after="0"/>
              <w:rPr>
                <w:sz w:val="20"/>
                <w:szCs w:val="20"/>
                <w:color w:val="auto"/>
              </w:rPr>
            </w:pPr>
            <w:r>
              <w:rPr>
                <w:rFonts w:ascii="Arial" w:cs="Arial" w:eastAsia="Arial" w:hAnsi="Arial"/>
                <w:sz w:val="14"/>
                <w:szCs w:val="14"/>
                <w:color w:val="0000FF"/>
              </w:rPr>
              <w:t>Signature</w:t>
            </w:r>
          </w:p>
        </w:tc>
        <w:tc>
          <w:tcPr>
            <w:tcW w:w="580" w:type="dxa"/>
            <w:vAlign w:val="bottom"/>
          </w:tcPr>
          <w:p>
            <w:pPr>
              <w:jc w:val="right"/>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4" w:lineRule="exact"/>
        <w:rPr>
          <w:sz w:val="20"/>
          <w:szCs w:val="20"/>
          <w:color w:val="auto"/>
        </w:rPr>
      </w:pPr>
    </w:p>
    <w:p>
      <w:pPr>
        <w:jc w:val="both"/>
        <w:ind w:right="20"/>
        <w:spacing w:after="0" w:line="285" w:lineRule="auto"/>
        <w:rPr>
          <w:sz w:val="20"/>
          <w:szCs w:val="20"/>
          <w:color w:val="auto"/>
        </w:rPr>
      </w:pPr>
      <w:r>
        <w:rPr>
          <w:rFonts w:ascii="Arial" w:cs="Arial" w:eastAsia="Arial" w:hAnsi="Arial"/>
          <w:sz w:val="18"/>
          <w:szCs w:val="18"/>
          <w:i w:val="1"/>
          <w:iCs w:val="1"/>
          <w:color w:val="auto"/>
        </w:rPr>
        <w:t>In this report, for all periods presented, “we,” “us,” “our,” “the Company” and “Mondelēz International” refer to Mondelēz International, Inc. and subsidiaries. References to “Common Stock” refer to our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671830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6845935</wp:posOffset>
            </wp:positionH>
            <wp:positionV relativeFrom="paragraph">
              <wp:posOffset>315595</wp:posOffset>
            </wp:positionV>
            <wp:extent cx="282575" cy="1885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 – FINANCIAL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Mondelēz International, Inc. and Subsidiaries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Consolidated Statements of Earnings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millions of U.S. dollars, except per share data)</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19"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700" w:type="dxa"/>
            <w:vAlign w:val="bottom"/>
            <w:gridSpan w:val="5"/>
          </w:tcPr>
          <w:p>
            <w:pPr>
              <w:ind w:left="160"/>
              <w:spacing w:after="0"/>
              <w:rPr>
                <w:sz w:val="20"/>
                <w:szCs w:val="20"/>
                <w:color w:val="auto"/>
              </w:rPr>
            </w:pPr>
            <w:r>
              <w:rPr>
                <w:rFonts w:ascii="Arial" w:cs="Arial" w:eastAsia="Arial" w:hAnsi="Arial"/>
                <w:sz w:val="14"/>
                <w:szCs w:val="14"/>
                <w:b w:val="1"/>
                <w:bCs w:val="1"/>
                <w:color w:val="auto"/>
              </w:rPr>
              <w:t>For the Three Months Ended</w:t>
            </w:r>
          </w:p>
        </w:tc>
        <w:tc>
          <w:tcPr>
            <w:tcW w:w="320" w:type="dxa"/>
            <w:vAlign w:val="bottom"/>
          </w:tcPr>
          <w:p>
            <w:pPr>
              <w:spacing w:after="0"/>
              <w:rPr>
                <w:sz w:val="14"/>
                <w:szCs w:val="14"/>
                <w:color w:val="auto"/>
              </w:rPr>
            </w:pPr>
          </w:p>
        </w:tc>
        <w:tc>
          <w:tcPr>
            <w:tcW w:w="2580" w:type="dxa"/>
            <w:vAlign w:val="bottom"/>
            <w:gridSpan w:val="4"/>
          </w:tcPr>
          <w:p>
            <w:pPr>
              <w:jc w:val="right"/>
              <w:ind w:right="431"/>
              <w:spacing w:after="0"/>
              <w:rPr>
                <w:sz w:val="20"/>
                <w:szCs w:val="20"/>
                <w:color w:val="auto"/>
              </w:rPr>
            </w:pPr>
            <w:r>
              <w:rPr>
                <w:rFonts w:ascii="Arial" w:cs="Arial" w:eastAsia="Arial" w:hAnsi="Arial"/>
                <w:sz w:val="14"/>
                <w:szCs w:val="14"/>
                <w:b w:val="1"/>
                <w:bCs w:val="1"/>
                <w:color w:val="auto"/>
              </w:rPr>
              <w:t>For the Nine Months Ended</w:t>
            </w:r>
          </w:p>
        </w:tc>
        <w:tc>
          <w:tcPr>
            <w:tcW w:w="0" w:type="dxa"/>
            <w:vAlign w:val="bottom"/>
          </w:tcPr>
          <w:p>
            <w:pPr>
              <w:spacing w:after="0"/>
              <w:rPr>
                <w:sz w:val="1"/>
                <w:szCs w:val="1"/>
                <w:color w:val="auto"/>
              </w:rPr>
            </w:pPr>
          </w:p>
        </w:tc>
      </w:tr>
      <w:tr>
        <w:trPr>
          <w:trHeight w:val="189"/>
        </w:trPr>
        <w:tc>
          <w:tcPr>
            <w:tcW w:w="52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2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224"/>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28,041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26,837</w:t>
            </w:r>
          </w:p>
        </w:tc>
        <w:tc>
          <w:tcPr>
            <w:tcW w:w="0" w:type="dxa"/>
            <w:vAlign w:val="bottom"/>
          </w:tcPr>
          <w:p>
            <w:pPr>
              <w:spacing w:after="0"/>
              <w:rPr>
                <w:sz w:val="1"/>
                <w:szCs w:val="1"/>
                <w:color w:val="auto"/>
              </w:rPr>
            </w:pPr>
          </w:p>
        </w:tc>
      </w:tr>
      <w:tr>
        <w:trPr>
          <w:trHeight w:val="230"/>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sales</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(7,132)</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(6,205)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(20,062)</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(16,291)</w:t>
            </w:r>
          </w:p>
        </w:tc>
        <w:tc>
          <w:tcPr>
            <w:tcW w:w="0" w:type="dxa"/>
            <w:vAlign w:val="bottom"/>
          </w:tcPr>
          <w:p>
            <w:pPr>
              <w:spacing w:after="0"/>
              <w:rPr>
                <w:sz w:val="1"/>
                <w:szCs w:val="1"/>
                <w:color w:val="auto"/>
              </w:rPr>
            </w:pPr>
          </w:p>
        </w:tc>
      </w:tr>
      <w:tr>
        <w:trPr>
          <w:trHeight w:val="223"/>
        </w:trPr>
        <w:tc>
          <w:tcPr>
            <w:tcW w:w="5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Gross profit</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10,546</w:t>
            </w:r>
          </w:p>
        </w:tc>
        <w:tc>
          <w:tcPr>
            <w:tcW w:w="0" w:type="dxa"/>
            <w:vAlign w:val="bottom"/>
          </w:tcPr>
          <w:p>
            <w:pPr>
              <w:spacing w:after="0"/>
              <w:rPr>
                <w:sz w:val="1"/>
                <w:szCs w:val="1"/>
                <w:color w:val="auto"/>
              </w:rPr>
            </w:pP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(1,795)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(1,630)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(5,231)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(5,459)</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 impairments and exit costs</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29"/>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Amortization of intangible assets</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23"/>
        </w:trPr>
        <w:tc>
          <w:tcPr>
            <w:tcW w:w="5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income</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4,734</w:t>
            </w:r>
          </w:p>
        </w:tc>
        <w:tc>
          <w:tcPr>
            <w:tcW w:w="0" w:type="dxa"/>
            <w:vAlign w:val="bottom"/>
          </w:tcPr>
          <w:p>
            <w:pPr>
              <w:spacing w:after="0"/>
              <w:rPr>
                <w:sz w:val="1"/>
                <w:szCs w:val="1"/>
                <w:color w:val="auto"/>
              </w:rPr>
            </w:pP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Benefit plan non-service (expense)/income</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and other expense, net</w:t>
            </w: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23"/>
        </w:trPr>
        <w:tc>
          <w:tcPr>
            <w:tcW w:w="5200" w:type="dxa"/>
            <w:vAlign w:val="bottom"/>
          </w:tcPr>
          <w:p>
            <w:pPr>
              <w:ind w:left="220"/>
              <w:spacing w:after="0"/>
              <w:rPr>
                <w:sz w:val="20"/>
                <w:szCs w:val="20"/>
                <w:color w:val="auto"/>
              </w:rPr>
            </w:pPr>
            <w:r>
              <w:rPr>
                <w:rFonts w:ascii="Arial" w:cs="Arial" w:eastAsia="Arial" w:hAnsi="Arial"/>
                <w:sz w:val="18"/>
                <w:szCs w:val="18"/>
                <w:color w:val="auto"/>
              </w:rPr>
              <w:t>Earnings before income taxes</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695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1,132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2,095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4,664</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provision</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(1,253)</w:t>
            </w:r>
          </w:p>
        </w:tc>
        <w:tc>
          <w:tcPr>
            <w:tcW w:w="0" w:type="dxa"/>
            <w:vAlign w:val="bottom"/>
          </w:tcPr>
          <w:p>
            <w:pPr>
              <w:spacing w:after="0"/>
              <w:rPr>
                <w:sz w:val="1"/>
                <w:szCs w:val="1"/>
                <w:color w:val="auto"/>
              </w:rPr>
            </w:pP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Gain/(loss) on equity method investment transactions</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(669)</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method investment net earnings</w:t>
            </w: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23"/>
        </w:trPr>
        <w:tc>
          <w:tcPr>
            <w:tcW w:w="5200" w:type="dxa"/>
            <w:vAlign w:val="bottom"/>
          </w:tcPr>
          <w:p>
            <w:pPr>
              <w:ind w:left="220"/>
              <w:spacing w:after="0"/>
              <w:rPr>
                <w:sz w:val="20"/>
                <w:szCs w:val="20"/>
                <w:color w:val="auto"/>
              </w:rPr>
            </w:pPr>
            <w:r>
              <w:rPr>
                <w:rFonts w:ascii="Arial" w:cs="Arial" w:eastAsia="Arial" w:hAnsi="Arial"/>
                <w:sz w:val="18"/>
                <w:szCs w:val="18"/>
                <w:color w:val="auto"/>
              </w:rPr>
              <w:t>Net earnings</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746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856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1,797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2,875</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less: Noncontrolling interest earnings</w:t>
            </w: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56"/>
        </w:trPr>
        <w:tc>
          <w:tcPr>
            <w:tcW w:w="5200" w:type="dxa"/>
            <w:vAlign w:val="bottom"/>
          </w:tcPr>
          <w:p>
            <w:pPr>
              <w:ind w:left="220"/>
              <w:spacing w:after="0" w:line="156" w:lineRule="exact"/>
              <w:rPr>
                <w:sz w:val="20"/>
                <w:szCs w:val="20"/>
                <w:color w:val="auto"/>
              </w:rPr>
            </w:pPr>
            <w:r>
              <w:rPr>
                <w:rFonts w:ascii="Arial" w:cs="Arial" w:eastAsia="Arial" w:hAnsi="Arial"/>
                <w:sz w:val="18"/>
                <w:szCs w:val="18"/>
                <w:color w:val="auto"/>
              </w:rPr>
              <w:t>Net earnings attributable to</w:t>
            </w:r>
          </w:p>
        </w:tc>
        <w:tc>
          <w:tcPr>
            <w:tcW w:w="300" w:type="dxa"/>
            <w:vAlign w:val="bottom"/>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743</w:t>
            </w:r>
          </w:p>
        </w:tc>
        <w:tc>
          <w:tcPr>
            <w:tcW w:w="100" w:type="dxa"/>
            <w:vAlign w:val="bottom"/>
          </w:tcPr>
          <w:p>
            <w:pPr>
              <w:spacing w:after="0"/>
              <w:rPr>
                <w:sz w:val="13"/>
                <w:szCs w:val="13"/>
                <w:color w:val="auto"/>
              </w:rPr>
            </w:pPr>
          </w:p>
        </w:tc>
        <w:tc>
          <w:tcPr>
            <w:tcW w:w="480" w:type="dxa"/>
            <w:vAlign w:val="bottom"/>
            <w:vMerge w:val="restart"/>
          </w:tcPr>
          <w:p>
            <w:pPr>
              <w:jc w:val="right"/>
              <w:ind w:right="270"/>
              <w:spacing w:after="0"/>
              <w:rPr>
                <w:sz w:val="20"/>
                <w:szCs w:val="20"/>
                <w:color w:val="auto"/>
              </w:rPr>
            </w:pPr>
            <w:r>
              <w:rPr>
                <w:rFonts w:ascii="Arial" w:cs="Arial" w:eastAsia="Arial" w:hAnsi="Arial"/>
                <w:sz w:val="18"/>
                <w:szCs w:val="18"/>
                <w:color w:val="auto"/>
                <w:w w:val="99"/>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853</w:t>
            </w:r>
          </w:p>
        </w:tc>
        <w:tc>
          <w:tcPr>
            <w:tcW w:w="100" w:type="dxa"/>
            <w:vAlign w:val="bottom"/>
          </w:tcPr>
          <w:p>
            <w:pPr>
              <w:spacing w:after="0"/>
              <w:rPr>
                <w:sz w:val="13"/>
                <w:szCs w:val="13"/>
                <w:color w:val="auto"/>
              </w:rPr>
            </w:pPr>
          </w:p>
        </w:tc>
        <w:tc>
          <w:tcPr>
            <w:tcW w:w="320" w:type="dxa"/>
            <w:vAlign w:val="bottom"/>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1,786</w:t>
            </w:r>
          </w:p>
        </w:tc>
        <w:tc>
          <w:tcPr>
            <w:tcW w:w="100" w:type="dxa"/>
            <w:vAlign w:val="bottom"/>
          </w:tcPr>
          <w:p>
            <w:pPr>
              <w:spacing w:after="0"/>
              <w:rPr>
                <w:sz w:val="13"/>
                <w:szCs w:val="13"/>
                <w:color w:val="auto"/>
              </w:rPr>
            </w:pPr>
          </w:p>
        </w:tc>
        <w:tc>
          <w:tcPr>
            <w:tcW w:w="480" w:type="dxa"/>
            <w:vAlign w:val="bottom"/>
            <w:vMerge w:val="restart"/>
          </w:tcPr>
          <w:p>
            <w:pPr>
              <w:jc w:val="right"/>
              <w:ind w:right="270"/>
              <w:spacing w:after="0"/>
              <w:rPr>
                <w:sz w:val="20"/>
                <w:szCs w:val="20"/>
                <w:color w:val="auto"/>
              </w:rPr>
            </w:pPr>
            <w:r>
              <w:rPr>
                <w:rFonts w:ascii="Arial" w:cs="Arial" w:eastAsia="Arial" w:hAnsi="Arial"/>
                <w:sz w:val="18"/>
                <w:szCs w:val="18"/>
                <w:color w:val="auto"/>
                <w:w w:val="99"/>
              </w:rPr>
              <w:t>$</w:t>
            </w:r>
          </w:p>
        </w:tc>
        <w:tc>
          <w:tcPr>
            <w:tcW w:w="920" w:type="dxa"/>
            <w:vAlign w:val="bottom"/>
            <w:vMerge w:val="restart"/>
          </w:tcPr>
          <w:p>
            <w:pPr>
              <w:jc w:val="right"/>
              <w:ind w:right="11"/>
              <w:spacing w:after="0"/>
              <w:rPr>
                <w:sz w:val="20"/>
                <w:szCs w:val="20"/>
                <w:color w:val="auto"/>
              </w:rPr>
            </w:pPr>
            <w:r>
              <w:rPr>
                <w:rFonts w:ascii="Arial" w:cs="Arial" w:eastAsia="Arial" w:hAnsi="Arial"/>
                <w:sz w:val="18"/>
                <w:szCs w:val="18"/>
                <w:color w:val="auto"/>
              </w:rPr>
              <w:t>2,866</w:t>
            </w:r>
          </w:p>
        </w:tc>
        <w:tc>
          <w:tcPr>
            <w:tcW w:w="0" w:type="dxa"/>
            <w:vAlign w:val="bottom"/>
          </w:tcPr>
          <w:p>
            <w:pPr>
              <w:spacing w:after="0"/>
              <w:rPr>
                <w:sz w:val="1"/>
                <w:szCs w:val="1"/>
                <w:color w:val="auto"/>
              </w:rPr>
            </w:pPr>
          </w:p>
        </w:tc>
      </w:tr>
      <w:tr>
        <w:trPr>
          <w:trHeight w:val="221"/>
        </w:trPr>
        <w:tc>
          <w:tcPr>
            <w:tcW w:w="5200" w:type="dxa"/>
            <w:vAlign w:val="bottom"/>
          </w:tcPr>
          <w:p>
            <w:pPr>
              <w:ind w:left="380"/>
              <w:spacing w:after="0"/>
              <w:rPr>
                <w:sz w:val="20"/>
                <w:szCs w:val="20"/>
                <w:color w:val="auto"/>
              </w:rPr>
            </w:pPr>
            <w:r>
              <w:rPr>
                <w:rFonts w:ascii="Arial" w:cs="Arial" w:eastAsia="Arial" w:hAnsi="Arial"/>
                <w:sz w:val="18"/>
                <w:szCs w:val="18"/>
                <w:color w:val="auto"/>
              </w:rPr>
              <w:t>Mondelēz International</w:t>
            </w:r>
          </w:p>
        </w:tc>
        <w:tc>
          <w:tcPr>
            <w:tcW w:w="300" w:type="dxa"/>
            <w:vAlign w:val="bottom"/>
            <w:tcBorders>
              <w:bottom w:val="single" w:sz="8" w:color="auto"/>
            </w:tcBorders>
            <w:vMerge w:val="continue"/>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bottom w:val="single" w:sz="8" w:color="auto"/>
            </w:tcBorders>
            <w:vMerge w:val="continue"/>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vMerge w:val="continue"/>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bottom w:val="single" w:sz="8" w:color="auto"/>
            </w:tcBorders>
            <w:vMerge w:val="continue"/>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2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Per share data:</w:t>
            </w: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5200" w:type="dxa"/>
            <w:vAlign w:val="bottom"/>
          </w:tcPr>
          <w:p>
            <w:pPr>
              <w:ind w:left="220"/>
              <w:spacing w:after="0" w:line="176" w:lineRule="exact"/>
              <w:rPr>
                <w:sz w:val="20"/>
                <w:szCs w:val="20"/>
                <w:color w:val="auto"/>
              </w:rPr>
            </w:pPr>
            <w:r>
              <w:rPr>
                <w:rFonts w:ascii="Arial" w:cs="Arial" w:eastAsia="Arial" w:hAnsi="Arial"/>
                <w:sz w:val="18"/>
                <w:szCs w:val="18"/>
                <w:color w:val="auto"/>
              </w:rPr>
              <w:t>Basic earnings per share attributable to</w:t>
            </w:r>
          </w:p>
        </w:tc>
        <w:tc>
          <w:tcPr>
            <w:tcW w:w="300" w:type="dxa"/>
            <w:vAlign w:val="bottom"/>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0.57</w:t>
            </w:r>
          </w:p>
        </w:tc>
        <w:tc>
          <w:tcPr>
            <w:tcW w:w="100" w:type="dxa"/>
            <w:vAlign w:val="bottom"/>
          </w:tcPr>
          <w:p>
            <w:pPr>
              <w:spacing w:after="0"/>
              <w:rPr>
                <w:sz w:val="15"/>
                <w:szCs w:val="15"/>
                <w:color w:val="auto"/>
              </w:rPr>
            </w:pPr>
          </w:p>
        </w:tc>
        <w:tc>
          <w:tcPr>
            <w:tcW w:w="480" w:type="dxa"/>
            <w:vAlign w:val="bottom"/>
            <w:vMerge w:val="restart"/>
          </w:tcPr>
          <w:p>
            <w:pPr>
              <w:jc w:val="right"/>
              <w:ind w:right="270"/>
              <w:spacing w:after="0"/>
              <w:rPr>
                <w:sz w:val="20"/>
                <w:szCs w:val="20"/>
                <w:color w:val="auto"/>
              </w:rPr>
            </w:pPr>
            <w:r>
              <w:rPr>
                <w:rFonts w:ascii="Arial" w:cs="Arial" w:eastAsia="Arial" w:hAnsi="Arial"/>
                <w:sz w:val="18"/>
                <w:szCs w:val="18"/>
                <w:color w:val="auto"/>
                <w:w w:val="99"/>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0.64</w:t>
            </w:r>
          </w:p>
        </w:tc>
        <w:tc>
          <w:tcPr>
            <w:tcW w:w="100" w:type="dxa"/>
            <w:vAlign w:val="bottom"/>
          </w:tcPr>
          <w:p>
            <w:pPr>
              <w:spacing w:after="0"/>
              <w:rPr>
                <w:sz w:val="15"/>
                <w:szCs w:val="15"/>
                <w:color w:val="auto"/>
              </w:rPr>
            </w:pPr>
          </w:p>
        </w:tc>
        <w:tc>
          <w:tcPr>
            <w:tcW w:w="320" w:type="dxa"/>
            <w:vAlign w:val="bottom"/>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15"/>
                <w:szCs w:val="15"/>
                <w:color w:val="auto"/>
              </w:rPr>
            </w:pPr>
          </w:p>
        </w:tc>
        <w:tc>
          <w:tcPr>
            <w:tcW w:w="480" w:type="dxa"/>
            <w:vAlign w:val="bottom"/>
            <w:vMerge w:val="restart"/>
          </w:tcPr>
          <w:p>
            <w:pPr>
              <w:jc w:val="right"/>
              <w:ind w:right="270"/>
              <w:spacing w:after="0"/>
              <w:rPr>
                <w:sz w:val="20"/>
                <w:szCs w:val="20"/>
                <w:color w:val="auto"/>
              </w:rPr>
            </w:pPr>
            <w:r>
              <w:rPr>
                <w:rFonts w:ascii="Arial" w:cs="Arial" w:eastAsia="Arial" w:hAnsi="Arial"/>
                <w:sz w:val="18"/>
                <w:szCs w:val="18"/>
                <w:color w:val="auto"/>
                <w:w w:val="99"/>
              </w:rPr>
              <w:t>$</w:t>
            </w:r>
          </w:p>
        </w:tc>
        <w:tc>
          <w:tcPr>
            <w:tcW w:w="920" w:type="dxa"/>
            <w:vAlign w:val="bottom"/>
            <w:vMerge w:val="restart"/>
          </w:tcPr>
          <w:p>
            <w:pPr>
              <w:jc w:val="right"/>
              <w:ind w:right="11"/>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21"/>
        </w:trPr>
        <w:tc>
          <w:tcPr>
            <w:tcW w:w="5200" w:type="dxa"/>
            <w:vAlign w:val="bottom"/>
          </w:tcPr>
          <w:p>
            <w:pPr>
              <w:ind w:left="380"/>
              <w:spacing w:after="0"/>
              <w:rPr>
                <w:sz w:val="20"/>
                <w:szCs w:val="20"/>
                <w:color w:val="auto"/>
              </w:rPr>
            </w:pPr>
            <w:r>
              <w:rPr>
                <w:rFonts w:ascii="Arial" w:cs="Arial" w:eastAsia="Arial" w:hAnsi="Arial"/>
                <w:sz w:val="18"/>
                <w:szCs w:val="18"/>
                <w:color w:val="auto"/>
              </w:rPr>
              <w:t>Mondelēz International</w:t>
            </w:r>
          </w:p>
        </w:tc>
        <w:tc>
          <w:tcPr>
            <w:tcW w:w="300" w:type="dxa"/>
            <w:vAlign w:val="bottom"/>
            <w:tcBorders>
              <w:bottom w:val="single" w:sz="8" w:color="auto"/>
            </w:tcBorders>
            <w:vMerge w:val="continue"/>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bottom w:val="single" w:sz="8" w:color="auto"/>
            </w:tcBorders>
            <w:vMerge w:val="continue"/>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vMerge w:val="continue"/>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bottom w:val="single" w:sz="8" w:color="auto"/>
            </w:tcBorders>
            <w:vMerge w:val="continue"/>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200" w:type="dxa"/>
            <w:vAlign w:val="bottom"/>
            <w:shd w:val="clear" w:color="auto" w:fill="CCEEFF"/>
          </w:tcPr>
          <w:p>
            <w:pPr>
              <w:ind w:left="220"/>
              <w:spacing w:after="0" w:line="142" w:lineRule="exact"/>
              <w:rPr>
                <w:sz w:val="20"/>
                <w:szCs w:val="20"/>
                <w:color w:val="auto"/>
              </w:rPr>
            </w:pPr>
            <w:r>
              <w:rPr>
                <w:rFonts w:ascii="Arial" w:cs="Arial" w:eastAsia="Arial" w:hAnsi="Arial"/>
                <w:sz w:val="16"/>
                <w:szCs w:val="16"/>
                <w:color w:val="auto"/>
              </w:rPr>
              <w:t>Diluted earnings per share attributable to</w:t>
            </w: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0.57</w:t>
            </w:r>
          </w:p>
        </w:tc>
        <w:tc>
          <w:tcPr>
            <w:tcW w:w="100" w:type="dxa"/>
            <w:vAlign w:val="bottom"/>
            <w:shd w:val="clear" w:color="auto" w:fill="CCEEFF"/>
          </w:tcPr>
          <w:p>
            <w:pPr>
              <w:spacing w:after="0"/>
              <w:rPr>
                <w:sz w:val="12"/>
                <w:szCs w:val="12"/>
                <w:color w:val="auto"/>
              </w:rPr>
            </w:pPr>
          </w:p>
        </w:tc>
        <w:tc>
          <w:tcPr>
            <w:tcW w:w="480" w:type="dxa"/>
            <w:vAlign w:val="bottom"/>
            <w:vMerge w:val="restart"/>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0.63</w:t>
            </w:r>
          </w:p>
        </w:tc>
        <w:tc>
          <w:tcPr>
            <w:tcW w:w="100" w:type="dxa"/>
            <w:vAlign w:val="bottom"/>
            <w:shd w:val="clear" w:color="auto" w:fill="CCEEFF"/>
          </w:tcPr>
          <w:p>
            <w:pPr>
              <w:spacing w:after="0"/>
              <w:rPr>
                <w:sz w:val="12"/>
                <w:szCs w:val="12"/>
                <w:color w:val="auto"/>
              </w:rPr>
            </w:pPr>
          </w:p>
        </w:tc>
        <w:tc>
          <w:tcPr>
            <w:tcW w:w="3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00" w:type="dxa"/>
            <w:vAlign w:val="bottom"/>
            <w:shd w:val="clear" w:color="auto" w:fill="CCEEFF"/>
          </w:tcPr>
          <w:p>
            <w:pPr>
              <w:spacing w:after="0"/>
              <w:rPr>
                <w:sz w:val="12"/>
                <w:szCs w:val="12"/>
                <w:color w:val="auto"/>
              </w:rPr>
            </w:pPr>
          </w:p>
        </w:tc>
        <w:tc>
          <w:tcPr>
            <w:tcW w:w="480" w:type="dxa"/>
            <w:vAlign w:val="bottom"/>
            <w:vMerge w:val="restart"/>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2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36"/>
        </w:trPr>
        <w:tc>
          <w:tcPr>
            <w:tcW w:w="5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Mondelēz International</w:t>
            </w: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vMerge w:val="continue"/>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10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vMerge w:val="continue"/>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6845935</wp:posOffset>
            </wp:positionH>
            <wp:positionV relativeFrom="paragraph">
              <wp:posOffset>52070</wp:posOffset>
            </wp:positionV>
            <wp:extent cx="282575" cy="1885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279400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64" w:right="39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Mondelēz International,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Earnings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of U.S. dollars)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2520" w:type="dxa"/>
            <w:vAlign w:val="bottom"/>
            <w:gridSpan w:val="4"/>
          </w:tcPr>
          <w:p>
            <w:pPr>
              <w:jc w:val="right"/>
              <w:spacing w:after="0"/>
              <w:rPr>
                <w:sz w:val="20"/>
                <w:szCs w:val="20"/>
                <w:color w:val="auto"/>
              </w:rPr>
            </w:pPr>
            <w:r>
              <w:rPr>
                <w:rFonts w:ascii="Arial" w:cs="Arial" w:eastAsia="Arial" w:hAnsi="Arial"/>
                <w:sz w:val="14"/>
                <w:szCs w:val="14"/>
                <w:b w:val="1"/>
                <w:bCs w:val="1"/>
                <w:color w:val="auto"/>
              </w:rPr>
              <w:t>For the Three Months Ended</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40" w:type="dxa"/>
            <w:vAlign w:val="bottom"/>
            <w:gridSpan w:val="4"/>
          </w:tcPr>
          <w:p>
            <w:pPr>
              <w:jc w:val="right"/>
              <w:ind w:right="452"/>
              <w:spacing w:after="0"/>
              <w:rPr>
                <w:sz w:val="20"/>
                <w:szCs w:val="20"/>
                <w:color w:val="auto"/>
              </w:rPr>
            </w:pPr>
            <w:r>
              <w:rPr>
                <w:rFonts w:ascii="Arial" w:cs="Arial" w:eastAsia="Arial" w:hAnsi="Arial"/>
                <w:sz w:val="14"/>
                <w:szCs w:val="14"/>
                <w:b w:val="1"/>
                <w:bCs w:val="1"/>
                <w:color w:val="auto"/>
              </w:rPr>
              <w:t>For the Nine Months Ended</w:t>
            </w:r>
          </w:p>
        </w:tc>
        <w:tc>
          <w:tcPr>
            <w:tcW w:w="0" w:type="dxa"/>
            <w:vAlign w:val="bottom"/>
          </w:tcPr>
          <w:p>
            <w:pPr>
              <w:spacing w:after="0"/>
              <w:rPr>
                <w:sz w:val="1"/>
                <w:szCs w:val="1"/>
                <w:color w:val="auto"/>
              </w:rPr>
            </w:pPr>
          </w:p>
        </w:tc>
      </w:tr>
      <w:tr>
        <w:trPr>
          <w:trHeight w:val="189"/>
        </w:trPr>
        <w:tc>
          <w:tcPr>
            <w:tcW w:w="520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ind w:right="476"/>
              <w:spacing w:after="0"/>
              <w:rPr>
                <w:sz w:val="20"/>
                <w:szCs w:val="20"/>
                <w:color w:val="auto"/>
              </w:rPr>
            </w:pPr>
            <w:r>
              <w:rPr>
                <w:rFonts w:ascii="Arial" w:cs="Arial" w:eastAsia="Arial" w:hAnsi="Arial"/>
                <w:sz w:val="14"/>
                <w:szCs w:val="14"/>
                <w:b w:val="1"/>
                <w:bCs w:val="1"/>
                <w:color w:val="auto"/>
              </w:rPr>
              <w:t>September 30,</w:t>
            </w: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520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5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2024</w:t>
            </w:r>
          </w:p>
        </w:tc>
        <w:tc>
          <w:tcPr>
            <w:tcW w:w="4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224"/>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earnings</w:t>
            </w:r>
          </w:p>
        </w:tc>
        <w:tc>
          <w:tcPr>
            <w:tcW w:w="920" w:type="dxa"/>
            <w:vAlign w:val="bottom"/>
            <w:shd w:val="clear" w:color="auto" w:fill="CCEEFF"/>
          </w:tcPr>
          <w:p>
            <w:pPr>
              <w:jc w:val="right"/>
              <w:ind w:right="719"/>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96"/>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2,875</w:t>
            </w: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Other comprehensive earnings/(losses), net of tax:</w:t>
            </w:r>
          </w:p>
        </w:tc>
        <w:tc>
          <w:tcPr>
            <w:tcW w:w="9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Currency translation adjustment</w:t>
            </w: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0" w:type="dxa"/>
            <w:vAlign w:val="bottom"/>
          </w:tcPr>
          <w:p>
            <w:pPr>
              <w:spacing w:after="0"/>
              <w:rPr>
                <w:sz w:val="1"/>
                <w:szCs w:val="1"/>
                <w:color w:val="auto"/>
              </w:rPr>
            </w:pPr>
          </w:p>
        </w:tc>
      </w:tr>
      <w:tr>
        <w:trPr>
          <w:trHeight w:val="229"/>
        </w:trPr>
        <w:tc>
          <w:tcPr>
            <w:tcW w:w="5200" w:type="dxa"/>
            <w:vAlign w:val="bottom"/>
          </w:tcPr>
          <w:p>
            <w:pPr>
              <w:ind w:left="140"/>
              <w:spacing w:after="0"/>
              <w:rPr>
                <w:sz w:val="20"/>
                <w:szCs w:val="20"/>
                <w:color w:val="auto"/>
              </w:rPr>
            </w:pPr>
            <w:r>
              <w:rPr>
                <w:rFonts w:ascii="Arial" w:cs="Arial" w:eastAsia="Arial" w:hAnsi="Arial"/>
                <w:sz w:val="18"/>
                <w:szCs w:val="18"/>
                <w:color w:val="auto"/>
              </w:rPr>
              <w:t>Pension and other benefit plans</w:t>
            </w: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169</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Derivative cash flow hedges</w:t>
            </w:r>
          </w:p>
        </w:tc>
        <w:tc>
          <w:tcPr>
            <w:tcW w:w="9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3"/>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other comprehensive earnings/(losses)</w:t>
            </w:r>
          </w:p>
        </w:tc>
        <w:tc>
          <w:tcPr>
            <w:tcW w:w="9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12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1,030</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(631)</w:t>
            </w:r>
          </w:p>
        </w:tc>
        <w:tc>
          <w:tcPr>
            <w:tcW w:w="0" w:type="dxa"/>
            <w:vAlign w:val="bottom"/>
          </w:tcPr>
          <w:p>
            <w:pPr>
              <w:spacing w:after="0"/>
              <w:rPr>
                <w:sz w:val="1"/>
                <w:szCs w:val="1"/>
                <w:color w:val="auto"/>
              </w:rPr>
            </w:pPr>
          </w:p>
        </w:tc>
      </w:tr>
      <w:tr>
        <w:trPr>
          <w:trHeight w:val="223"/>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Comprehensive earnings/(losses)</w:t>
            </w: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2,244</w:t>
            </w:r>
          </w:p>
        </w:tc>
        <w:tc>
          <w:tcPr>
            <w:tcW w:w="0" w:type="dxa"/>
            <w:vAlign w:val="bottom"/>
          </w:tcPr>
          <w:p>
            <w:pPr>
              <w:spacing w:after="0"/>
              <w:rPr>
                <w:sz w:val="1"/>
                <w:szCs w:val="1"/>
                <w:color w:val="auto"/>
              </w:rPr>
            </w:pPr>
          </w:p>
        </w:tc>
      </w:tr>
      <w:tr>
        <w:trPr>
          <w:trHeight w:val="175"/>
        </w:trPr>
        <w:tc>
          <w:tcPr>
            <w:tcW w:w="5200" w:type="dxa"/>
            <w:vAlign w:val="bottom"/>
          </w:tcPr>
          <w:p>
            <w:pPr>
              <w:ind w:left="140"/>
              <w:spacing w:after="0" w:line="176" w:lineRule="exact"/>
              <w:rPr>
                <w:sz w:val="20"/>
                <w:szCs w:val="20"/>
                <w:color w:val="auto"/>
              </w:rPr>
            </w:pPr>
            <w:r>
              <w:rPr>
                <w:rFonts w:ascii="Arial" w:cs="Arial" w:eastAsia="Arial" w:hAnsi="Arial"/>
                <w:sz w:val="18"/>
                <w:szCs w:val="18"/>
                <w:color w:val="auto"/>
              </w:rPr>
              <w:t>less: Comprehensive earnings/(losses)</w:t>
            </w:r>
          </w:p>
        </w:tc>
        <w:tc>
          <w:tcPr>
            <w:tcW w:w="920" w:type="dxa"/>
            <w:vAlign w:val="bottom"/>
          </w:tcPr>
          <w:p>
            <w:pPr>
              <w:spacing w:after="0"/>
              <w:rPr>
                <w:sz w:val="15"/>
                <w:szCs w:val="15"/>
                <w:color w:val="auto"/>
              </w:rPr>
            </w:pP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3"/>
        </w:trPr>
        <w:tc>
          <w:tcPr>
            <w:tcW w:w="520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attributable to noncontrolling interests</w:t>
            </w:r>
          </w:p>
        </w:tc>
        <w:tc>
          <w:tcPr>
            <w:tcW w:w="92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vMerge w:val="continue"/>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520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rPr>
              <w:t>Comprehensive earnings/(losses) attributable to</w:t>
            </w:r>
          </w:p>
        </w:tc>
        <w:tc>
          <w:tcPr>
            <w:tcW w:w="920" w:type="dxa"/>
            <w:vAlign w:val="bottom"/>
            <w:vMerge w:val="restart"/>
            <w:shd w:val="clear" w:color="auto" w:fill="CCEEFF"/>
          </w:tcPr>
          <w:p>
            <w:pPr>
              <w:jc w:val="right"/>
              <w:ind w:right="719"/>
              <w:spacing w:after="0"/>
              <w:rPr>
                <w:sz w:val="20"/>
                <w:szCs w:val="20"/>
                <w:color w:val="auto"/>
              </w:rPr>
            </w:pPr>
            <w:r>
              <w:rPr>
                <w:rFonts w:ascii="Arial" w:cs="Arial" w:eastAsia="Arial" w:hAnsi="Arial"/>
                <w:sz w:val="18"/>
                <w:szCs w:val="18"/>
                <w:color w:val="auto"/>
                <w:w w:val="99"/>
              </w:rPr>
              <w:t>$</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840</w:t>
            </w:r>
          </w:p>
        </w:tc>
        <w:tc>
          <w:tcPr>
            <w:tcW w:w="12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ind w:right="796"/>
              <w:spacing w:after="0"/>
              <w:rPr>
                <w:sz w:val="20"/>
                <w:szCs w:val="20"/>
                <w:color w:val="auto"/>
              </w:rPr>
            </w:pPr>
            <w:r>
              <w:rPr>
                <w:rFonts w:ascii="Arial" w:cs="Arial" w:eastAsia="Arial" w:hAnsi="Arial"/>
                <w:sz w:val="18"/>
                <w:szCs w:val="18"/>
                <w:color w:val="auto"/>
                <w:w w:val="79"/>
              </w:rPr>
              <w:t>$</w:t>
            </w: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789</w:t>
            </w:r>
          </w:p>
        </w:tc>
        <w:tc>
          <w:tcPr>
            <w:tcW w:w="100" w:type="dxa"/>
            <w:vAlign w:val="bottom"/>
            <w:shd w:val="clear" w:color="auto" w:fill="CCEEFF"/>
          </w:tcPr>
          <w:p>
            <w:pPr>
              <w:spacing w:after="0"/>
              <w:rPr>
                <w:sz w:val="13"/>
                <w:szCs w:val="13"/>
                <w:color w:val="auto"/>
              </w:rPr>
            </w:pP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2,793</w:t>
            </w:r>
          </w:p>
        </w:tc>
        <w:tc>
          <w:tcPr>
            <w:tcW w:w="100" w:type="dxa"/>
            <w:vAlign w:val="bottom"/>
            <w:shd w:val="clear" w:color="auto" w:fill="CCEEFF"/>
          </w:tcPr>
          <w:p>
            <w:pPr>
              <w:spacing w:after="0"/>
              <w:rPr>
                <w:sz w:val="13"/>
                <w:szCs w:val="13"/>
                <w:color w:val="auto"/>
              </w:rPr>
            </w:pPr>
          </w:p>
        </w:tc>
        <w:tc>
          <w:tcPr>
            <w:tcW w:w="500" w:type="dxa"/>
            <w:vAlign w:val="bottom"/>
            <w:vMerge w:val="restart"/>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2,233</w:t>
            </w:r>
          </w:p>
        </w:tc>
        <w:tc>
          <w:tcPr>
            <w:tcW w:w="0" w:type="dxa"/>
            <w:vAlign w:val="bottom"/>
          </w:tcPr>
          <w:p>
            <w:pPr>
              <w:spacing w:after="0"/>
              <w:rPr>
                <w:sz w:val="1"/>
                <w:szCs w:val="1"/>
                <w:color w:val="auto"/>
              </w:rPr>
            </w:pPr>
          </w:p>
        </w:tc>
      </w:tr>
      <w:tr>
        <w:trPr>
          <w:trHeight w:val="236"/>
        </w:trPr>
        <w:tc>
          <w:tcPr>
            <w:tcW w:w="5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Mondelēz International</w:t>
            </w: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5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4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vMerge w:val="continue"/>
            <w:shd w:val="clear" w:color="auto" w:fill="CCEEFF"/>
          </w:tcPr>
          <w:p>
            <w:pPr>
              <w:spacing w:after="0"/>
              <w:rPr>
                <w:sz w:val="20"/>
                <w:szCs w:val="20"/>
                <w:color w:val="auto"/>
              </w:rPr>
            </w:pPr>
          </w:p>
        </w:tc>
        <w:tc>
          <w:tcPr>
            <w:tcW w:w="9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6845935</wp:posOffset>
            </wp:positionH>
            <wp:positionV relativeFrom="paragraph">
              <wp:posOffset>52070</wp:posOffset>
            </wp:positionV>
            <wp:extent cx="282575" cy="1885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pacing w:after="0" w:line="21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279400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Mondelēz International,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of U.S. dollars,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1440" w:type="dxa"/>
            <w:vAlign w:val="bottom"/>
            <w:vMerge w:val="restart"/>
          </w:tcPr>
          <w:p>
            <w:pPr>
              <w:jc w:val="right"/>
              <w:ind w:right="50"/>
              <w:spacing w:after="0"/>
              <w:rPr>
                <w:sz w:val="20"/>
                <w:szCs w:val="20"/>
                <w:color w:val="auto"/>
              </w:rPr>
            </w:pPr>
            <w:r>
              <w:rPr>
                <w:rFonts w:ascii="Arial" w:cs="Arial" w:eastAsia="Arial" w:hAnsi="Arial"/>
                <w:sz w:val="14"/>
                <w:szCs w:val="14"/>
                <w:b w:val="1"/>
                <w:bCs w:val="1"/>
                <w:color w:val="auto"/>
              </w:rPr>
              <w:t>December 31, 2024</w:t>
            </w:r>
          </w:p>
        </w:tc>
        <w:tc>
          <w:tcPr>
            <w:tcW w:w="0" w:type="dxa"/>
            <w:vAlign w:val="bottom"/>
          </w:tcPr>
          <w:p>
            <w:pPr>
              <w:spacing w:after="0"/>
              <w:rPr>
                <w:sz w:val="1"/>
                <w:szCs w:val="1"/>
                <w:color w:val="auto"/>
              </w:rPr>
            </w:pPr>
          </w:p>
        </w:tc>
      </w:tr>
      <w:tr>
        <w:trPr>
          <w:trHeight w:val="185"/>
        </w:trPr>
        <w:tc>
          <w:tcPr>
            <w:tcW w:w="79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80" w:type="dxa"/>
            <w:vAlign w:val="bottom"/>
          </w:tcPr>
          <w:p>
            <w:pPr>
              <w:ind w:left="140"/>
              <w:spacing w:after="0"/>
              <w:rPr>
                <w:sz w:val="20"/>
                <w:szCs w:val="20"/>
                <w:color w:val="auto"/>
              </w:rPr>
            </w:pPr>
            <w:r>
              <w:rPr>
                <w:rFonts w:ascii="Arial" w:cs="Arial" w:eastAsia="Arial" w:hAnsi="Arial"/>
                <w:sz w:val="18"/>
                <w:szCs w:val="18"/>
                <w:color w:val="auto"/>
              </w:rPr>
              <w:t>Cash and cash equivalents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1,367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1,351</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Trade receivables, less allowance ($39 and $37, respectively)</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3,874</w:t>
            </w:r>
          </w:p>
        </w:tc>
        <w:tc>
          <w:tcPr>
            <w:tcW w:w="0" w:type="dxa"/>
            <w:vAlign w:val="bottom"/>
          </w:tcPr>
          <w:p>
            <w:pPr>
              <w:spacing w:after="0"/>
              <w:rPr>
                <w:sz w:val="1"/>
                <w:szCs w:val="1"/>
                <w:color w:val="auto"/>
              </w:rPr>
            </w:pPr>
          </w:p>
        </w:tc>
      </w:tr>
      <w:tr>
        <w:trPr>
          <w:trHeight w:val="229"/>
        </w:trPr>
        <w:tc>
          <w:tcPr>
            <w:tcW w:w="7980" w:type="dxa"/>
            <w:vAlign w:val="bottom"/>
          </w:tcPr>
          <w:p>
            <w:pPr>
              <w:ind w:left="140"/>
              <w:spacing w:after="0"/>
              <w:rPr>
                <w:sz w:val="20"/>
                <w:szCs w:val="20"/>
                <w:color w:val="auto"/>
              </w:rPr>
            </w:pPr>
            <w:r>
              <w:rPr>
                <w:rFonts w:ascii="Arial" w:cs="Arial" w:eastAsia="Arial" w:hAnsi="Arial"/>
                <w:sz w:val="18"/>
                <w:szCs w:val="18"/>
                <w:color w:val="auto"/>
              </w:rPr>
              <w:t>Other receivables, less allowance ($37 and $37, respectively)</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1,049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937</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Inventories, net</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3,827</w:t>
            </w:r>
          </w:p>
        </w:tc>
        <w:tc>
          <w:tcPr>
            <w:tcW w:w="0" w:type="dxa"/>
            <w:vAlign w:val="bottom"/>
          </w:tcPr>
          <w:p>
            <w:pPr>
              <w:spacing w:after="0"/>
              <w:rPr>
                <w:sz w:val="1"/>
                <w:szCs w:val="1"/>
                <w:color w:val="auto"/>
              </w:rPr>
            </w:pPr>
          </w:p>
        </w:tc>
      </w:tr>
      <w:tr>
        <w:trPr>
          <w:trHeight w:val="229"/>
        </w:trPr>
        <w:tc>
          <w:tcPr>
            <w:tcW w:w="79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current assets</w:t>
            </w: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3,253</w:t>
            </w:r>
          </w:p>
        </w:tc>
        <w:tc>
          <w:tcPr>
            <w:tcW w:w="0" w:type="dxa"/>
            <w:vAlign w:val="bottom"/>
          </w:tcPr>
          <w:p>
            <w:pPr>
              <w:spacing w:after="0"/>
              <w:rPr>
                <w:sz w:val="1"/>
                <w:szCs w:val="1"/>
                <w:color w:val="auto"/>
              </w:rPr>
            </w:pPr>
          </w:p>
        </w:tc>
      </w:tr>
      <w:tr>
        <w:trPr>
          <w:trHeight w:val="223"/>
        </w:trPr>
        <w:tc>
          <w:tcPr>
            <w:tcW w:w="7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current assets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13,147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13,242</w:t>
            </w:r>
          </w:p>
        </w:tc>
        <w:tc>
          <w:tcPr>
            <w:tcW w:w="0" w:type="dxa"/>
            <w:vAlign w:val="bottom"/>
          </w:tcPr>
          <w:p>
            <w:pPr>
              <w:spacing w:after="0"/>
              <w:rPr>
                <w:sz w:val="1"/>
                <w:szCs w:val="1"/>
                <w:color w:val="auto"/>
              </w:rPr>
            </w:pPr>
          </w:p>
        </w:tc>
      </w:tr>
      <w:tr>
        <w:trPr>
          <w:trHeight w:val="229"/>
        </w:trPr>
        <w:tc>
          <w:tcPr>
            <w:tcW w:w="7980" w:type="dxa"/>
            <w:vAlign w:val="bottom"/>
          </w:tcPr>
          <w:p>
            <w:pPr>
              <w:ind w:left="140"/>
              <w:spacing w:after="0"/>
              <w:rPr>
                <w:sz w:val="20"/>
                <w:szCs w:val="20"/>
                <w:color w:val="auto"/>
              </w:rPr>
            </w:pPr>
            <w:r>
              <w:rPr>
                <w:rFonts w:ascii="Arial" w:cs="Arial" w:eastAsia="Arial" w:hAnsi="Arial"/>
                <w:sz w:val="18"/>
                <w:szCs w:val="18"/>
                <w:color w:val="auto"/>
              </w:rPr>
              <w:t>Property, plant and equipment, net</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10,333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9,481</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lease right-of-use assets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w:t>
            </w:r>
          </w:p>
        </w:tc>
        <w:tc>
          <w:tcPr>
            <w:tcW w:w="0" w:type="dxa"/>
            <w:vAlign w:val="bottom"/>
          </w:tcPr>
          <w:p>
            <w:pPr>
              <w:spacing w:after="0"/>
              <w:rPr>
                <w:sz w:val="1"/>
                <w:szCs w:val="1"/>
                <w:color w:val="auto"/>
              </w:rPr>
            </w:pPr>
          </w:p>
        </w:tc>
      </w:tr>
      <w:tr>
        <w:trPr>
          <w:trHeight w:val="230"/>
        </w:trPr>
        <w:tc>
          <w:tcPr>
            <w:tcW w:w="7980" w:type="dxa"/>
            <w:vAlign w:val="bottom"/>
          </w:tcPr>
          <w:p>
            <w:pPr>
              <w:ind w:left="140"/>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24,250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23,017</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Intangible assets, net</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19,611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18,848</w:t>
            </w:r>
          </w:p>
        </w:tc>
        <w:tc>
          <w:tcPr>
            <w:tcW w:w="0" w:type="dxa"/>
            <w:vAlign w:val="bottom"/>
          </w:tcPr>
          <w:p>
            <w:pPr>
              <w:spacing w:after="0"/>
              <w:rPr>
                <w:sz w:val="1"/>
                <w:szCs w:val="1"/>
                <w:color w:val="auto"/>
              </w:rPr>
            </w:pPr>
          </w:p>
        </w:tc>
      </w:tr>
      <w:tr>
        <w:trPr>
          <w:trHeight w:val="230"/>
        </w:trPr>
        <w:tc>
          <w:tcPr>
            <w:tcW w:w="7980" w:type="dxa"/>
            <w:vAlign w:val="bottom"/>
          </w:tcPr>
          <w:p>
            <w:pPr>
              <w:ind w:left="140"/>
              <w:spacing w:after="0"/>
              <w:rPr>
                <w:sz w:val="20"/>
                <w:szCs w:val="20"/>
                <w:color w:val="auto"/>
              </w:rPr>
            </w:pPr>
            <w:r>
              <w:rPr>
                <w:rFonts w:ascii="Arial" w:cs="Arial" w:eastAsia="Arial" w:hAnsi="Arial"/>
                <w:sz w:val="18"/>
                <w:szCs w:val="18"/>
                <w:color w:val="auto"/>
              </w:rPr>
              <w:t>Prepaid pension assets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1,132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987</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income taxes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29"/>
        </w:trPr>
        <w:tc>
          <w:tcPr>
            <w:tcW w:w="7980" w:type="dxa"/>
            <w:vAlign w:val="bottom"/>
          </w:tcPr>
          <w:p>
            <w:pPr>
              <w:ind w:left="140"/>
              <w:spacing w:after="0"/>
              <w:rPr>
                <w:sz w:val="20"/>
                <w:szCs w:val="20"/>
                <w:color w:val="auto"/>
              </w:rPr>
            </w:pPr>
            <w:r>
              <w:rPr>
                <w:rFonts w:ascii="Arial" w:cs="Arial" w:eastAsia="Arial" w:hAnsi="Arial"/>
                <w:sz w:val="18"/>
                <w:szCs w:val="18"/>
                <w:color w:val="auto"/>
              </w:rPr>
              <w:t>Equity method investments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669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635</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1,187</w:t>
            </w:r>
          </w:p>
        </w:tc>
        <w:tc>
          <w:tcPr>
            <w:tcW w:w="0" w:type="dxa"/>
            <w:vAlign w:val="bottom"/>
          </w:tcPr>
          <w:p>
            <w:pPr>
              <w:spacing w:after="0"/>
              <w:rPr>
                <w:sz w:val="1"/>
                <w:szCs w:val="1"/>
                <w:color w:val="auto"/>
              </w:rPr>
            </w:pPr>
          </w:p>
        </w:tc>
      </w:tr>
      <w:tr>
        <w:trPr>
          <w:trHeight w:val="223"/>
        </w:trPr>
        <w:tc>
          <w:tcPr>
            <w:tcW w:w="7980" w:type="dxa"/>
            <w:vAlign w:val="bottom"/>
          </w:tcPr>
          <w:p>
            <w:pPr>
              <w:ind w:left="56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71,358</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68,497</w:t>
            </w:r>
          </w:p>
        </w:tc>
        <w:tc>
          <w:tcPr>
            <w:tcW w:w="0" w:type="dxa"/>
            <w:vAlign w:val="bottom"/>
          </w:tcPr>
          <w:p>
            <w:pPr>
              <w:spacing w:after="0"/>
              <w:rPr>
                <w:sz w:val="1"/>
                <w:szCs w:val="1"/>
                <w:color w:val="auto"/>
              </w:rPr>
            </w:pPr>
          </w:p>
        </w:tc>
      </w:tr>
      <w:tr>
        <w:trPr>
          <w:trHeight w:val="20"/>
        </w:trPr>
        <w:tc>
          <w:tcPr>
            <w:tcW w:w="79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9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LIABILITIES</w:t>
            </w: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980" w:type="dxa"/>
            <w:vAlign w:val="bottom"/>
          </w:tcPr>
          <w:p>
            <w:pPr>
              <w:ind w:left="140"/>
              <w:spacing w:after="0"/>
              <w:rPr>
                <w:sz w:val="20"/>
                <w:szCs w:val="20"/>
                <w:color w:val="auto"/>
              </w:rPr>
            </w:pPr>
            <w:r>
              <w:rPr>
                <w:rFonts w:ascii="Arial" w:cs="Arial" w:eastAsia="Arial" w:hAnsi="Arial"/>
                <w:sz w:val="18"/>
                <w:szCs w:val="18"/>
                <w:color w:val="auto"/>
              </w:rPr>
              <w:t>Short-term borrowings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2,645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portion of long-term debt</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229"/>
        </w:trPr>
        <w:tc>
          <w:tcPr>
            <w:tcW w:w="7980" w:type="dxa"/>
            <w:vAlign w:val="bottom"/>
          </w:tcPr>
          <w:p>
            <w:pPr>
              <w:ind w:left="140"/>
              <w:spacing w:after="0"/>
              <w:rPr>
                <w:sz w:val="20"/>
                <w:szCs w:val="20"/>
                <w:color w:val="auto"/>
              </w:rPr>
            </w:pPr>
            <w:r>
              <w:rPr>
                <w:rFonts w:ascii="Arial" w:cs="Arial" w:eastAsia="Arial" w:hAnsi="Arial"/>
                <w:sz w:val="18"/>
                <w:szCs w:val="18"/>
                <w:color w:val="auto"/>
              </w:rPr>
              <w:t>Accounts payable</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10,022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9,433</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marketing</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2,558</w:t>
            </w:r>
          </w:p>
        </w:tc>
        <w:tc>
          <w:tcPr>
            <w:tcW w:w="0" w:type="dxa"/>
            <w:vAlign w:val="bottom"/>
          </w:tcPr>
          <w:p>
            <w:pPr>
              <w:spacing w:after="0"/>
              <w:rPr>
                <w:sz w:val="1"/>
                <w:szCs w:val="1"/>
                <w:color w:val="auto"/>
              </w:rPr>
            </w:pPr>
          </w:p>
        </w:tc>
      </w:tr>
      <w:tr>
        <w:trPr>
          <w:trHeight w:val="230"/>
        </w:trPr>
        <w:tc>
          <w:tcPr>
            <w:tcW w:w="7980" w:type="dxa"/>
            <w:vAlign w:val="bottom"/>
          </w:tcPr>
          <w:p>
            <w:pPr>
              <w:ind w:left="140"/>
              <w:spacing w:after="0"/>
              <w:rPr>
                <w:sz w:val="20"/>
                <w:szCs w:val="20"/>
                <w:color w:val="auto"/>
              </w:rPr>
            </w:pPr>
            <w:r>
              <w:rPr>
                <w:rFonts w:ascii="Arial" w:cs="Arial" w:eastAsia="Arial" w:hAnsi="Arial"/>
                <w:sz w:val="18"/>
                <w:szCs w:val="18"/>
                <w:color w:val="auto"/>
              </w:rPr>
              <w:t>Accrued employment costs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956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928</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current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4,545</w:t>
            </w:r>
          </w:p>
        </w:tc>
        <w:tc>
          <w:tcPr>
            <w:tcW w:w="0" w:type="dxa"/>
            <w:vAlign w:val="bottom"/>
          </w:tcPr>
          <w:p>
            <w:pPr>
              <w:spacing w:after="0"/>
              <w:rPr>
                <w:sz w:val="1"/>
                <w:szCs w:val="1"/>
                <w:color w:val="auto"/>
              </w:rPr>
            </w:pPr>
          </w:p>
        </w:tc>
      </w:tr>
      <w:tr>
        <w:trPr>
          <w:trHeight w:val="223"/>
        </w:trPr>
        <w:tc>
          <w:tcPr>
            <w:tcW w:w="7980" w:type="dxa"/>
            <w:vAlign w:val="bottom"/>
          </w:tcPr>
          <w:p>
            <w:pPr>
              <w:ind w:left="360"/>
              <w:spacing w:after="0"/>
              <w:rPr>
                <w:sz w:val="20"/>
                <w:szCs w:val="20"/>
                <w:color w:val="auto"/>
              </w:rPr>
            </w:pPr>
            <w:r>
              <w:rPr>
                <w:rFonts w:ascii="Arial" w:cs="Arial" w:eastAsia="Arial" w:hAnsi="Arial"/>
                <w:sz w:val="18"/>
                <w:szCs w:val="18"/>
                <w:color w:val="auto"/>
              </w:rPr>
              <w:t>Total current liabilities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21,512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19,549</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Long-term debt</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17,134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15,664</w:t>
            </w:r>
          </w:p>
        </w:tc>
        <w:tc>
          <w:tcPr>
            <w:tcW w:w="0" w:type="dxa"/>
            <w:vAlign w:val="bottom"/>
          </w:tcPr>
          <w:p>
            <w:pPr>
              <w:spacing w:after="0"/>
              <w:rPr>
                <w:sz w:val="1"/>
                <w:szCs w:val="1"/>
                <w:color w:val="auto"/>
              </w:rPr>
            </w:pPr>
          </w:p>
        </w:tc>
      </w:tr>
      <w:tr>
        <w:trPr>
          <w:trHeight w:val="229"/>
        </w:trPr>
        <w:tc>
          <w:tcPr>
            <w:tcW w:w="7980" w:type="dxa"/>
            <w:vAlign w:val="bottom"/>
          </w:tcPr>
          <w:p>
            <w:pPr>
              <w:ind w:left="140"/>
              <w:spacing w:after="0"/>
              <w:rPr>
                <w:sz w:val="20"/>
                <w:szCs w:val="20"/>
                <w:color w:val="auto"/>
              </w:rPr>
            </w:pPr>
            <w:r>
              <w:rPr>
                <w:rFonts w:ascii="Arial" w:cs="Arial" w:eastAsia="Arial" w:hAnsi="Arial"/>
                <w:sz w:val="18"/>
                <w:szCs w:val="18"/>
                <w:color w:val="auto"/>
              </w:rPr>
              <w:t>Long-term operating lease liabilities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611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623</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income taxes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3,425</w:t>
            </w:r>
          </w:p>
        </w:tc>
        <w:tc>
          <w:tcPr>
            <w:tcW w:w="0" w:type="dxa"/>
            <w:vAlign w:val="bottom"/>
          </w:tcPr>
          <w:p>
            <w:pPr>
              <w:spacing w:after="0"/>
              <w:rPr>
                <w:sz w:val="1"/>
                <w:szCs w:val="1"/>
                <w:color w:val="auto"/>
              </w:rPr>
            </w:pPr>
          </w:p>
        </w:tc>
      </w:tr>
      <w:tr>
        <w:trPr>
          <w:trHeight w:val="230"/>
        </w:trPr>
        <w:tc>
          <w:tcPr>
            <w:tcW w:w="7980" w:type="dxa"/>
            <w:vAlign w:val="bottom"/>
          </w:tcPr>
          <w:p>
            <w:pPr>
              <w:ind w:left="140"/>
              <w:spacing w:after="0"/>
              <w:rPr>
                <w:sz w:val="20"/>
                <w:szCs w:val="20"/>
                <w:color w:val="auto"/>
              </w:rPr>
            </w:pPr>
            <w:r>
              <w:rPr>
                <w:rFonts w:ascii="Arial" w:cs="Arial" w:eastAsia="Arial" w:hAnsi="Arial"/>
                <w:sz w:val="18"/>
                <w:szCs w:val="18"/>
                <w:color w:val="auto"/>
              </w:rPr>
              <w:t>Accrued pension costs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356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postretirement health care costs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29"/>
        </w:trPr>
        <w:tc>
          <w:tcPr>
            <w:tcW w:w="79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liabilities</w:t>
            </w: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1,789</w:t>
            </w:r>
          </w:p>
        </w:tc>
        <w:tc>
          <w:tcPr>
            <w:tcW w:w="0" w:type="dxa"/>
            <w:vAlign w:val="bottom"/>
          </w:tcPr>
          <w:p>
            <w:pPr>
              <w:spacing w:after="0"/>
              <w:rPr>
                <w:sz w:val="1"/>
                <w:szCs w:val="1"/>
                <w:color w:val="auto"/>
              </w:rPr>
            </w:pPr>
          </w:p>
        </w:tc>
      </w:tr>
      <w:tr>
        <w:trPr>
          <w:trHeight w:val="223"/>
        </w:trPr>
        <w:tc>
          <w:tcPr>
            <w:tcW w:w="7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45,129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41,539</w:t>
            </w:r>
          </w:p>
        </w:tc>
        <w:tc>
          <w:tcPr>
            <w:tcW w:w="0" w:type="dxa"/>
            <w:vAlign w:val="bottom"/>
          </w:tcPr>
          <w:p>
            <w:pPr>
              <w:spacing w:after="0"/>
              <w:rPr>
                <w:sz w:val="1"/>
                <w:szCs w:val="1"/>
                <w:color w:val="auto"/>
              </w:rPr>
            </w:pPr>
          </w:p>
        </w:tc>
      </w:tr>
      <w:tr>
        <w:trPr>
          <w:trHeight w:val="209"/>
        </w:trPr>
        <w:tc>
          <w:tcPr>
            <w:tcW w:w="7980" w:type="dxa"/>
            <w:vAlign w:val="bottom"/>
          </w:tcPr>
          <w:p>
            <w:pPr>
              <w:ind w:left="20"/>
              <w:spacing w:after="0"/>
              <w:rPr>
                <w:sz w:val="20"/>
                <w:szCs w:val="20"/>
                <w:color w:val="auto"/>
              </w:rPr>
            </w:pPr>
            <w:r>
              <w:rPr>
                <w:rFonts w:ascii="Arial" w:cs="Arial" w:eastAsia="Arial" w:hAnsi="Arial"/>
                <w:sz w:val="18"/>
                <w:szCs w:val="18"/>
                <w:color w:val="auto"/>
              </w:rPr>
              <w:t>Commitments and Contingencies (Note 10)</w:t>
            </w: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80" w:type="dxa"/>
            <w:vAlign w:val="bottom"/>
          </w:tcPr>
          <w:p>
            <w:pPr>
              <w:ind w:left="140"/>
              <w:spacing w:after="0"/>
              <w:rPr>
                <w:sz w:val="20"/>
                <w:szCs w:val="20"/>
                <w:color w:val="auto"/>
              </w:rPr>
            </w:pPr>
            <w:r>
              <w:rPr>
                <w:rFonts w:ascii="Arial" w:cs="Arial" w:eastAsia="Arial" w:hAnsi="Arial"/>
                <w:sz w:val="18"/>
                <w:szCs w:val="18"/>
                <w:color w:val="auto"/>
              </w:rPr>
              <w:t>Common Stock, no par value (5,000,000,000 shares authorized, 1,996,537,778 shares issued)</w:t>
            </w:r>
          </w:p>
        </w:tc>
        <w:tc>
          <w:tcPr>
            <w:tcW w:w="20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Additional paid-in capital</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32,299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32,276</w:t>
            </w:r>
          </w:p>
        </w:tc>
        <w:tc>
          <w:tcPr>
            <w:tcW w:w="0" w:type="dxa"/>
            <w:vAlign w:val="bottom"/>
          </w:tcPr>
          <w:p>
            <w:pPr>
              <w:spacing w:after="0"/>
              <w:rPr>
                <w:sz w:val="1"/>
                <w:szCs w:val="1"/>
                <w:color w:val="auto"/>
              </w:rPr>
            </w:pPr>
          </w:p>
        </w:tc>
      </w:tr>
      <w:tr>
        <w:trPr>
          <w:trHeight w:val="229"/>
        </w:trPr>
        <w:tc>
          <w:tcPr>
            <w:tcW w:w="7980" w:type="dxa"/>
            <w:vAlign w:val="bottom"/>
          </w:tcPr>
          <w:p>
            <w:pPr>
              <w:ind w:left="140"/>
              <w:spacing w:after="0"/>
              <w:rPr>
                <w:sz w:val="20"/>
                <w:szCs w:val="20"/>
                <w:color w:val="auto"/>
              </w:rPr>
            </w:pPr>
            <w:r>
              <w:rPr>
                <w:rFonts w:ascii="Arial" w:cs="Arial" w:eastAsia="Arial" w:hAnsi="Arial"/>
                <w:sz w:val="18"/>
                <w:szCs w:val="18"/>
                <w:color w:val="auto"/>
              </w:rPr>
              <w:t>Retained earnings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36,390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36,476</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Accumulated other comprehensive losses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(11,464)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(12,471)</w:t>
            </w:r>
          </w:p>
        </w:tc>
        <w:tc>
          <w:tcPr>
            <w:tcW w:w="0" w:type="dxa"/>
            <w:vAlign w:val="bottom"/>
          </w:tcPr>
          <w:p>
            <w:pPr>
              <w:spacing w:after="0"/>
              <w:rPr>
                <w:sz w:val="1"/>
                <w:szCs w:val="1"/>
                <w:color w:val="auto"/>
              </w:rPr>
            </w:pPr>
          </w:p>
        </w:tc>
      </w:tr>
      <w:tr>
        <w:trPr>
          <w:trHeight w:val="230"/>
        </w:trPr>
        <w:tc>
          <w:tcPr>
            <w:tcW w:w="79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Treasury stock, at cost (706,248,149 and 678,708,640 shares, respectively)</w:t>
            </w: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(31,048)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(29,349)</w:t>
            </w:r>
          </w:p>
        </w:tc>
        <w:tc>
          <w:tcPr>
            <w:tcW w:w="0" w:type="dxa"/>
            <w:vAlign w:val="bottom"/>
          </w:tcPr>
          <w:p>
            <w:pPr>
              <w:spacing w:after="0"/>
              <w:rPr>
                <w:sz w:val="1"/>
                <w:szCs w:val="1"/>
                <w:color w:val="auto"/>
              </w:rPr>
            </w:pPr>
          </w:p>
        </w:tc>
      </w:tr>
      <w:tr>
        <w:trPr>
          <w:trHeight w:val="223"/>
        </w:trPr>
        <w:tc>
          <w:tcPr>
            <w:tcW w:w="7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Mondelēz International Shareholders’ Equity</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26,177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26,932</w:t>
            </w:r>
          </w:p>
        </w:tc>
        <w:tc>
          <w:tcPr>
            <w:tcW w:w="0" w:type="dxa"/>
            <w:vAlign w:val="bottom"/>
          </w:tcPr>
          <w:p>
            <w:pPr>
              <w:spacing w:after="0"/>
              <w:rPr>
                <w:sz w:val="1"/>
                <w:szCs w:val="1"/>
                <w:color w:val="auto"/>
              </w:rPr>
            </w:pPr>
          </w:p>
        </w:tc>
      </w:tr>
      <w:tr>
        <w:trPr>
          <w:trHeight w:val="230"/>
        </w:trPr>
        <w:tc>
          <w:tcPr>
            <w:tcW w:w="79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Noncontrolling interest</w:t>
            </w: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3"/>
        </w:trPr>
        <w:tc>
          <w:tcPr>
            <w:tcW w:w="7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EQUITY</w:t>
            </w: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26,229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26,958</w:t>
            </w:r>
          </w:p>
        </w:tc>
        <w:tc>
          <w:tcPr>
            <w:tcW w:w="0" w:type="dxa"/>
            <w:vAlign w:val="bottom"/>
          </w:tcPr>
          <w:p>
            <w:pPr>
              <w:spacing w:after="0"/>
              <w:rPr>
                <w:sz w:val="1"/>
                <w:szCs w:val="1"/>
                <w:color w:val="auto"/>
              </w:rPr>
            </w:pPr>
          </w:p>
        </w:tc>
      </w:tr>
      <w:tr>
        <w:trPr>
          <w:trHeight w:val="223"/>
        </w:trPr>
        <w:tc>
          <w:tcPr>
            <w:tcW w:w="7980" w:type="dxa"/>
            <w:vAlign w:val="bottom"/>
          </w:tcPr>
          <w:p>
            <w:pPr>
              <w:ind w:left="560"/>
              <w:spacing w:after="0"/>
              <w:rPr>
                <w:sz w:val="20"/>
                <w:szCs w:val="20"/>
                <w:color w:val="auto"/>
              </w:rPr>
            </w:pPr>
            <w:r>
              <w:rPr>
                <w:rFonts w:ascii="Arial" w:cs="Arial" w:eastAsia="Arial" w:hAnsi="Arial"/>
                <w:sz w:val="18"/>
                <w:szCs w:val="18"/>
                <w:color w:val="auto"/>
              </w:rPr>
              <w:t>TOTAL LIABILITIES AND EQUITY</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71,358</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68,497</w:t>
            </w:r>
          </w:p>
        </w:tc>
        <w:tc>
          <w:tcPr>
            <w:tcW w:w="0" w:type="dxa"/>
            <w:vAlign w:val="bottom"/>
          </w:tcPr>
          <w:p>
            <w:pPr>
              <w:spacing w:after="0"/>
              <w:rPr>
                <w:sz w:val="1"/>
                <w:szCs w:val="1"/>
                <w:color w:val="auto"/>
              </w:rPr>
            </w:pPr>
          </w:p>
        </w:tc>
      </w:tr>
      <w:tr>
        <w:trPr>
          <w:trHeight w:val="21"/>
        </w:trPr>
        <w:tc>
          <w:tcPr>
            <w:tcW w:w="7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6845935</wp:posOffset>
            </wp:positionH>
            <wp:positionV relativeFrom="paragraph">
              <wp:posOffset>43180</wp:posOffset>
            </wp:positionV>
            <wp:extent cx="282575" cy="1885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pacing w:after="0" w:line="20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287655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Mondelēz International,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of U.S. dollars,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20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560" w:type="dxa"/>
            <w:vAlign w:val="bottom"/>
            <w:tcBorders>
              <w:bottom w:val="single" w:sz="8" w:color="auto"/>
            </w:tcBorders>
            <w:gridSpan w:val="8"/>
          </w:tcPr>
          <w:p>
            <w:pPr>
              <w:ind w:left="320"/>
              <w:spacing w:after="0"/>
              <w:rPr>
                <w:sz w:val="20"/>
                <w:szCs w:val="20"/>
                <w:color w:val="auto"/>
              </w:rPr>
            </w:pPr>
            <w:r>
              <w:rPr>
                <w:rFonts w:ascii="Arial" w:cs="Arial" w:eastAsia="Arial" w:hAnsi="Arial"/>
                <w:sz w:val="13"/>
                <w:szCs w:val="13"/>
                <w:b w:val="1"/>
                <w:bCs w:val="1"/>
                <w:color w:val="auto"/>
              </w:rPr>
              <w:t>Mondelēz International Shareholders’ Equity</w:t>
            </w: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3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4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w w:val="97"/>
              </w:rPr>
              <w:t>Accumulated</w:t>
            </w: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vMerge w:val="restart"/>
          </w:tcPr>
          <w:p>
            <w:pPr>
              <w:jc w:val="center"/>
              <w:ind w:right="260"/>
              <w:spacing w:after="0"/>
              <w:rPr>
                <w:sz w:val="20"/>
                <w:szCs w:val="20"/>
                <w:color w:val="auto"/>
              </w:rPr>
            </w:pPr>
            <w:r>
              <w:rPr>
                <w:rFonts w:ascii="Arial" w:cs="Arial" w:eastAsia="Arial" w:hAnsi="Arial"/>
                <w:sz w:val="13"/>
                <w:szCs w:val="13"/>
                <w:b w:val="1"/>
                <w:bCs w:val="1"/>
                <w:color w:val="auto"/>
                <w:w w:val="97"/>
              </w:rPr>
              <w:t>Additional</w:t>
            </w: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4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97"/>
              </w:rPr>
              <w:t>Other</w:t>
            </w: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Common</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Retained</w:t>
            </w:r>
          </w:p>
        </w:tc>
        <w:tc>
          <w:tcPr>
            <w:tcW w:w="160" w:type="dxa"/>
            <w:vAlign w:val="bottom"/>
          </w:tcPr>
          <w:p>
            <w:pPr>
              <w:spacing w:after="0"/>
              <w:rPr>
                <w:sz w:val="11"/>
                <w:szCs w:val="11"/>
                <w:color w:val="auto"/>
              </w:rPr>
            </w:pPr>
          </w:p>
        </w:tc>
        <w:tc>
          <w:tcPr>
            <w:tcW w:w="134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6"/>
              </w:rPr>
              <w:t>Comprehensive</w:t>
            </w:r>
          </w:p>
        </w:tc>
        <w:tc>
          <w:tcPr>
            <w:tcW w:w="160" w:type="dxa"/>
            <w:vAlign w:val="bottom"/>
          </w:tcPr>
          <w:p>
            <w:pPr>
              <w:spacing w:after="0"/>
              <w:rPr>
                <w:sz w:val="11"/>
                <w:szCs w:val="11"/>
                <w:color w:val="auto"/>
              </w:rPr>
            </w:pPr>
          </w:p>
        </w:tc>
        <w:tc>
          <w:tcPr>
            <w:tcW w:w="960" w:type="dxa"/>
            <w:vAlign w:val="bottom"/>
            <w:gridSpan w:val="2"/>
            <w:vMerge w:val="restart"/>
          </w:tcPr>
          <w:p>
            <w:pPr>
              <w:jc w:val="center"/>
              <w:ind w:right="280"/>
              <w:spacing w:after="0"/>
              <w:rPr>
                <w:sz w:val="20"/>
                <w:szCs w:val="20"/>
                <w:color w:val="auto"/>
              </w:rPr>
            </w:pPr>
            <w:r>
              <w:rPr>
                <w:rFonts w:ascii="Arial" w:cs="Arial" w:eastAsia="Arial" w:hAnsi="Arial"/>
                <w:sz w:val="13"/>
                <w:szCs w:val="13"/>
                <w:b w:val="1"/>
                <w:bCs w:val="1"/>
                <w:color w:val="auto"/>
                <w:w w:val="94"/>
              </w:rPr>
              <w:t>Treasury</w:t>
            </w:r>
          </w:p>
        </w:tc>
        <w:tc>
          <w:tcPr>
            <w:tcW w:w="110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Non-controlling</w:t>
            </w:r>
          </w:p>
        </w:tc>
        <w:tc>
          <w:tcPr>
            <w:tcW w:w="200" w:type="dxa"/>
            <w:vAlign w:val="bottom"/>
          </w:tcPr>
          <w:p>
            <w:pPr>
              <w:spacing w:after="0"/>
              <w:rPr>
                <w:sz w:val="11"/>
                <w:szCs w:val="11"/>
                <w:color w:val="auto"/>
              </w:rPr>
            </w:pPr>
          </w:p>
        </w:tc>
        <w:tc>
          <w:tcPr>
            <w:tcW w:w="800" w:type="dxa"/>
            <w:vAlign w:val="bottom"/>
            <w:vMerge w:val="restart"/>
          </w:tcPr>
          <w:p>
            <w:pPr>
              <w:jc w:val="right"/>
              <w:ind w:right="29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21"/>
        </w:trPr>
        <w:tc>
          <w:tcPr>
            <w:tcW w:w="32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tcPr>
          <w:p>
            <w:pPr>
              <w:jc w:val="center"/>
              <w:ind w:right="260"/>
              <w:spacing w:after="0" w:line="122" w:lineRule="exact"/>
              <w:rPr>
                <w:sz w:val="20"/>
                <w:szCs w:val="20"/>
                <w:color w:val="auto"/>
              </w:rPr>
            </w:pPr>
            <w:r>
              <w:rPr>
                <w:rFonts w:ascii="Arial" w:cs="Arial" w:eastAsia="Arial" w:hAnsi="Arial"/>
                <w:sz w:val="13"/>
                <w:szCs w:val="13"/>
                <w:b w:val="1"/>
                <w:bCs w:val="1"/>
                <w:color w:val="auto"/>
                <w:w w:val="96"/>
              </w:rPr>
              <w:t>Paid-in</w:t>
            </w:r>
          </w:p>
        </w:tc>
        <w:tc>
          <w:tcPr>
            <w:tcW w:w="16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34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97"/>
              </w:rPr>
              <w:t>Earnings/</w:t>
            </w:r>
          </w:p>
        </w:tc>
        <w:tc>
          <w:tcPr>
            <w:tcW w:w="16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1100" w:type="dxa"/>
            <w:vAlign w:val="bottom"/>
            <w:gridSpan w:val="3"/>
            <w:vMerge w:val="continue"/>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3200" w:type="dxa"/>
            <w:vAlign w:val="bottom"/>
          </w:tcPr>
          <w:p>
            <w:pPr>
              <w:spacing w:after="0"/>
              <w:rPr>
                <w:sz w:val="15"/>
                <w:szCs w:val="15"/>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b w:val="1"/>
                <w:bCs w:val="1"/>
                <w:color w:val="auto"/>
              </w:rPr>
              <w:t>Stock</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6"/>
              </w:rPr>
              <w:t>Capital</w:t>
            </w:r>
          </w:p>
        </w:tc>
        <w:tc>
          <w:tcPr>
            <w:tcW w:w="160" w:type="dxa"/>
            <w:vAlign w:val="bottom"/>
          </w:tcPr>
          <w:p>
            <w:pPr>
              <w:spacing w:after="0"/>
              <w:rPr>
                <w:sz w:val="15"/>
                <w:szCs w:val="15"/>
                <w:color w:val="auto"/>
              </w:rPr>
            </w:pPr>
          </w:p>
        </w:tc>
        <w:tc>
          <w:tcPr>
            <w:tcW w:w="940" w:type="dxa"/>
            <w:vAlign w:val="bottom"/>
            <w:gridSpan w:val="2"/>
          </w:tcPr>
          <w:p>
            <w:pPr>
              <w:ind w:left="80"/>
              <w:spacing w:after="0"/>
              <w:rPr>
                <w:sz w:val="20"/>
                <w:szCs w:val="20"/>
                <w:color w:val="auto"/>
              </w:rPr>
            </w:pPr>
            <w:r>
              <w:rPr>
                <w:rFonts w:ascii="Arial" w:cs="Arial" w:eastAsia="Arial" w:hAnsi="Arial"/>
                <w:sz w:val="13"/>
                <w:szCs w:val="13"/>
                <w:b w:val="1"/>
                <w:bCs w:val="1"/>
                <w:color w:val="auto"/>
              </w:rPr>
              <w:t>Earnings</w:t>
            </w:r>
          </w:p>
        </w:tc>
        <w:tc>
          <w:tcPr>
            <w:tcW w:w="160" w:type="dxa"/>
            <w:vAlign w:val="bottom"/>
          </w:tcPr>
          <w:p>
            <w:pPr>
              <w:spacing w:after="0"/>
              <w:rPr>
                <w:sz w:val="15"/>
                <w:szCs w:val="15"/>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7"/>
              </w:rPr>
              <w:t>(Losses)</w:t>
            </w:r>
          </w:p>
        </w:tc>
        <w:tc>
          <w:tcPr>
            <w:tcW w:w="160" w:type="dxa"/>
            <w:vAlign w:val="bottom"/>
          </w:tcPr>
          <w:p>
            <w:pPr>
              <w:spacing w:after="0"/>
              <w:rPr>
                <w:sz w:val="15"/>
                <w:szCs w:val="15"/>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5"/>
              </w:rPr>
              <w:t>Stock</w:t>
            </w:r>
          </w:p>
        </w:tc>
        <w:tc>
          <w:tcPr>
            <w:tcW w:w="180" w:type="dxa"/>
            <w:vAlign w:val="bottom"/>
          </w:tcPr>
          <w:p>
            <w:pPr>
              <w:spacing w:after="0"/>
              <w:rPr>
                <w:sz w:val="15"/>
                <w:szCs w:val="15"/>
                <w:color w:val="auto"/>
              </w:rPr>
            </w:pPr>
          </w:p>
        </w:tc>
        <w:tc>
          <w:tcPr>
            <w:tcW w:w="920" w:type="dxa"/>
            <w:vAlign w:val="bottom"/>
            <w:gridSpan w:val="2"/>
          </w:tcPr>
          <w:p>
            <w:pPr>
              <w:ind w:left="80"/>
              <w:spacing w:after="0"/>
              <w:rPr>
                <w:sz w:val="20"/>
                <w:szCs w:val="20"/>
                <w:color w:val="auto"/>
              </w:rPr>
            </w:pPr>
            <w:r>
              <w:rPr>
                <w:rFonts w:ascii="Arial" w:cs="Arial" w:eastAsia="Arial" w:hAnsi="Arial"/>
                <w:sz w:val="13"/>
                <w:szCs w:val="13"/>
                <w:b w:val="1"/>
                <w:bCs w:val="1"/>
                <w:color w:val="auto"/>
              </w:rPr>
              <w:t>Interest</w:t>
            </w:r>
          </w:p>
        </w:tc>
        <w:tc>
          <w:tcPr>
            <w:tcW w:w="200" w:type="dxa"/>
            <w:vAlign w:val="bottom"/>
          </w:tcPr>
          <w:p>
            <w:pPr>
              <w:spacing w:after="0"/>
              <w:rPr>
                <w:sz w:val="15"/>
                <w:szCs w:val="15"/>
                <w:color w:val="auto"/>
              </w:rPr>
            </w:pPr>
          </w:p>
        </w:tc>
        <w:tc>
          <w:tcPr>
            <w:tcW w:w="800" w:type="dxa"/>
            <w:vAlign w:val="bottom"/>
          </w:tcPr>
          <w:p>
            <w:pPr>
              <w:jc w:val="right"/>
              <w:ind w:right="237"/>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62"/>
        </w:trPr>
        <w:tc>
          <w:tcPr>
            <w:tcW w:w="3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Three Months Ended September 30, 2025</w:t>
            </w:r>
          </w:p>
        </w:tc>
        <w:tc>
          <w:tcPr>
            <w:tcW w:w="80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200" w:type="dxa"/>
            <w:vAlign w:val="bottom"/>
          </w:tcPr>
          <w:p>
            <w:pPr>
              <w:ind w:left="20"/>
              <w:spacing w:after="0"/>
              <w:rPr>
                <w:sz w:val="20"/>
                <w:szCs w:val="20"/>
                <w:color w:val="auto"/>
              </w:rPr>
            </w:pPr>
            <w:r>
              <w:rPr>
                <w:rFonts w:ascii="Arial" w:cs="Arial" w:eastAsia="Arial" w:hAnsi="Arial"/>
                <w:sz w:val="13"/>
                <w:szCs w:val="13"/>
                <w:color w:val="auto"/>
              </w:rPr>
              <w:t>Balances at July 1, 2025</w:t>
            </w:r>
          </w:p>
        </w:tc>
        <w:tc>
          <w:tcPr>
            <w:tcW w:w="800" w:type="dxa"/>
            <w:vAlign w:val="bottom"/>
          </w:tcPr>
          <w:p>
            <w:pPr>
              <w:jc w:val="right"/>
              <w:ind w:right="637"/>
              <w:spacing w:after="0"/>
              <w:rPr>
                <w:sz w:val="20"/>
                <w:szCs w:val="20"/>
                <w:color w:val="auto"/>
              </w:rPr>
            </w:pPr>
            <w:r>
              <w:rPr>
                <w:rFonts w:ascii="Arial" w:cs="Arial" w:eastAsia="Arial" w:hAnsi="Arial"/>
                <w:sz w:val="13"/>
                <w:szCs w:val="13"/>
                <w:color w:val="auto"/>
              </w:rPr>
              <w:t>$</w:t>
            </w:r>
          </w:p>
        </w:tc>
        <w:tc>
          <w:tcPr>
            <w:tcW w:w="32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32,280</w:t>
            </w:r>
          </w:p>
        </w:tc>
        <w:tc>
          <w:tcPr>
            <w:tcW w:w="10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36,293</w:t>
            </w:r>
          </w:p>
        </w:tc>
        <w:tc>
          <w:tcPr>
            <w:tcW w:w="10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240" w:type="dxa"/>
            <w:vAlign w:val="bottom"/>
          </w:tcPr>
          <w:p>
            <w:pPr>
              <w:jc w:val="right"/>
              <w:spacing w:after="0"/>
              <w:rPr>
                <w:sz w:val="20"/>
                <w:szCs w:val="20"/>
                <w:color w:val="auto"/>
              </w:rPr>
            </w:pPr>
            <w:r>
              <w:rPr>
                <w:rFonts w:ascii="Arial" w:cs="Arial" w:eastAsia="Arial" w:hAnsi="Arial"/>
                <w:sz w:val="13"/>
                <w:szCs w:val="13"/>
                <w:color w:val="auto"/>
              </w:rPr>
              <w:t>(11,561)</w:t>
            </w:r>
          </w:p>
        </w:tc>
        <w:tc>
          <w:tcPr>
            <w:tcW w:w="10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(30,819)</w:t>
            </w:r>
          </w:p>
        </w:tc>
        <w:tc>
          <w:tcPr>
            <w:tcW w:w="120" w:type="dxa"/>
            <w:vAlign w:val="bottom"/>
          </w:tcPr>
          <w:p>
            <w:pPr>
              <w:spacing w:after="0"/>
              <w:rPr>
                <w:sz w:val="14"/>
                <w:szCs w:val="14"/>
                <w:color w:val="auto"/>
              </w:rPr>
            </w:pPr>
          </w:p>
        </w:tc>
        <w:tc>
          <w:tcPr>
            <w:tcW w:w="180" w:type="dxa"/>
            <w:vAlign w:val="bottom"/>
          </w:tcPr>
          <w:p>
            <w:pPr>
              <w:ind w:left="20"/>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54</w:t>
            </w:r>
          </w:p>
        </w:tc>
        <w:tc>
          <w:tcPr>
            <w:tcW w:w="100" w:type="dxa"/>
            <w:vAlign w:val="bottom"/>
          </w:tcPr>
          <w:p>
            <w:pPr>
              <w:spacing w:after="0"/>
              <w:rPr>
                <w:sz w:val="14"/>
                <w:szCs w:val="14"/>
                <w:color w:val="auto"/>
              </w:rPr>
            </w:pP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26,247</w:t>
            </w:r>
          </w:p>
        </w:tc>
        <w:tc>
          <w:tcPr>
            <w:tcW w:w="0" w:type="dxa"/>
            <w:vAlign w:val="bottom"/>
          </w:tcPr>
          <w:p>
            <w:pPr>
              <w:spacing w:after="0"/>
              <w:rPr>
                <w:sz w:val="1"/>
                <w:szCs w:val="1"/>
                <w:color w:val="auto"/>
              </w:rPr>
            </w:pPr>
          </w:p>
        </w:tc>
      </w:tr>
      <w:tr>
        <w:trPr>
          <w:trHeight w:val="180"/>
        </w:trPr>
        <w:tc>
          <w:tcPr>
            <w:tcW w:w="3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Comprehensive earnings/(losses):</w:t>
            </w:r>
          </w:p>
        </w:tc>
        <w:tc>
          <w:tcPr>
            <w:tcW w:w="8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200" w:type="dxa"/>
            <w:vAlign w:val="bottom"/>
          </w:tcPr>
          <w:p>
            <w:pPr>
              <w:ind w:left="140"/>
              <w:spacing w:after="0"/>
              <w:rPr>
                <w:sz w:val="20"/>
                <w:szCs w:val="20"/>
                <w:color w:val="auto"/>
              </w:rPr>
            </w:pPr>
            <w:r>
              <w:rPr>
                <w:rFonts w:ascii="Arial" w:cs="Arial" w:eastAsia="Arial" w:hAnsi="Arial"/>
                <w:sz w:val="13"/>
                <w:szCs w:val="13"/>
                <w:color w:val="auto"/>
              </w:rPr>
              <w:t>Net earnings</w:t>
            </w:r>
          </w:p>
        </w:tc>
        <w:tc>
          <w:tcPr>
            <w:tcW w:w="800" w:type="dxa"/>
            <w:vAlign w:val="bottom"/>
          </w:tcPr>
          <w:p>
            <w:pPr>
              <w:spacing w:after="0"/>
              <w:rPr>
                <w:sz w:val="14"/>
                <w:szCs w:val="14"/>
                <w:color w:val="auto"/>
              </w:rPr>
            </w:pPr>
          </w:p>
        </w:tc>
        <w:tc>
          <w:tcPr>
            <w:tcW w:w="32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743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746</w:t>
            </w:r>
          </w:p>
        </w:tc>
        <w:tc>
          <w:tcPr>
            <w:tcW w:w="0" w:type="dxa"/>
            <w:vAlign w:val="bottom"/>
          </w:tcPr>
          <w:p>
            <w:pPr>
              <w:spacing w:after="0"/>
              <w:rPr>
                <w:sz w:val="1"/>
                <w:szCs w:val="1"/>
                <w:color w:val="auto"/>
              </w:rPr>
            </w:pPr>
          </w:p>
        </w:tc>
      </w:tr>
      <w:tr>
        <w:trPr>
          <w:trHeight w:val="126"/>
        </w:trPr>
        <w:tc>
          <w:tcPr>
            <w:tcW w:w="3200" w:type="dxa"/>
            <w:vAlign w:val="bottom"/>
            <w:shd w:val="clear" w:color="auto" w:fill="CCEEFF"/>
          </w:tcPr>
          <w:p>
            <w:pPr>
              <w:ind w:left="140"/>
              <w:spacing w:after="0" w:line="126" w:lineRule="exact"/>
              <w:rPr>
                <w:sz w:val="20"/>
                <w:szCs w:val="20"/>
                <w:color w:val="auto"/>
              </w:rPr>
            </w:pPr>
            <w:r>
              <w:rPr>
                <w:rFonts w:ascii="Arial" w:cs="Arial" w:eastAsia="Arial" w:hAnsi="Arial"/>
                <w:sz w:val="13"/>
                <w:szCs w:val="13"/>
                <w:color w:val="auto"/>
              </w:rPr>
              <w:t>Other comprehensive earnings/(losses),</w:t>
            </w:r>
          </w:p>
        </w:tc>
        <w:tc>
          <w:tcPr>
            <w:tcW w:w="8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3200" w:type="dxa"/>
            <w:vAlign w:val="bottom"/>
            <w:shd w:val="clear" w:color="auto" w:fill="CCEEFF"/>
          </w:tcPr>
          <w:p>
            <w:pPr>
              <w:ind w:left="260"/>
              <w:spacing w:after="0"/>
              <w:rPr>
                <w:sz w:val="20"/>
                <w:szCs w:val="20"/>
                <w:color w:val="auto"/>
              </w:rPr>
            </w:pPr>
            <w:r>
              <w:rPr>
                <w:rFonts w:ascii="Arial" w:cs="Arial" w:eastAsia="Arial" w:hAnsi="Arial"/>
                <w:sz w:val="13"/>
                <w:szCs w:val="13"/>
                <w:color w:val="auto"/>
              </w:rPr>
              <w:t>net of income taxes</w:t>
            </w:r>
          </w:p>
        </w:tc>
        <w:tc>
          <w:tcPr>
            <w:tcW w:w="800" w:type="dxa"/>
            <w:vAlign w:val="bottom"/>
            <w:shd w:val="clear" w:color="auto" w:fill="CCEEFF"/>
          </w:tcPr>
          <w:p>
            <w:pPr>
              <w:spacing w:after="0"/>
              <w:rPr>
                <w:sz w:val="16"/>
                <w:szCs w:val="16"/>
                <w:color w:val="auto"/>
              </w:rPr>
            </w:pP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w:t>
            </w:r>
          </w:p>
        </w:tc>
        <w:tc>
          <w:tcPr>
            <w:tcW w:w="0" w:type="dxa"/>
            <w:vAlign w:val="bottom"/>
          </w:tcPr>
          <w:p>
            <w:pPr>
              <w:spacing w:after="0"/>
              <w:rPr>
                <w:sz w:val="1"/>
                <w:szCs w:val="1"/>
                <w:color w:val="auto"/>
              </w:rPr>
            </w:pPr>
          </w:p>
        </w:tc>
      </w:tr>
      <w:tr>
        <w:trPr>
          <w:trHeight w:val="122"/>
        </w:trPr>
        <w:tc>
          <w:tcPr>
            <w:tcW w:w="3200" w:type="dxa"/>
            <w:vAlign w:val="bottom"/>
          </w:tcPr>
          <w:p>
            <w:pPr>
              <w:ind w:left="20"/>
              <w:spacing w:after="0" w:line="122" w:lineRule="exact"/>
              <w:rPr>
                <w:sz w:val="20"/>
                <w:szCs w:val="20"/>
                <w:color w:val="auto"/>
              </w:rPr>
            </w:pPr>
            <w:r>
              <w:rPr>
                <w:rFonts w:ascii="Arial" w:cs="Arial" w:eastAsia="Arial" w:hAnsi="Arial"/>
                <w:sz w:val="13"/>
                <w:szCs w:val="13"/>
                <w:color w:val="auto"/>
              </w:rPr>
              <w:t>Exercise of stock options and issuance of</w:t>
            </w: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3200" w:type="dxa"/>
            <w:vAlign w:val="bottom"/>
          </w:tcPr>
          <w:p>
            <w:pPr>
              <w:ind w:left="140"/>
              <w:spacing w:after="0"/>
              <w:rPr>
                <w:sz w:val="20"/>
                <w:szCs w:val="20"/>
                <w:color w:val="auto"/>
              </w:rPr>
            </w:pPr>
            <w:r>
              <w:rPr>
                <w:rFonts w:ascii="Arial" w:cs="Arial" w:eastAsia="Arial" w:hAnsi="Arial"/>
                <w:sz w:val="13"/>
                <w:szCs w:val="13"/>
                <w:color w:val="auto"/>
              </w:rPr>
              <w:t>other stock awards</w:t>
            </w:r>
          </w:p>
        </w:tc>
        <w:tc>
          <w:tcPr>
            <w:tcW w:w="800" w:type="dxa"/>
            <w:vAlign w:val="bottom"/>
          </w:tcPr>
          <w:p>
            <w:pPr>
              <w:spacing w:after="0"/>
              <w:rPr>
                <w:sz w:val="15"/>
                <w:szCs w:val="15"/>
                <w:color w:val="auto"/>
              </w:rPr>
            </w:pPr>
          </w:p>
        </w:tc>
        <w:tc>
          <w:tcPr>
            <w:tcW w:w="32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19</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13</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32</w:t>
            </w:r>
          </w:p>
        </w:tc>
        <w:tc>
          <w:tcPr>
            <w:tcW w:w="0" w:type="dxa"/>
            <w:vAlign w:val="bottom"/>
          </w:tcPr>
          <w:p>
            <w:pPr>
              <w:spacing w:after="0"/>
              <w:rPr>
                <w:sz w:val="1"/>
                <w:szCs w:val="1"/>
                <w:color w:val="auto"/>
              </w:rPr>
            </w:pPr>
          </w:p>
        </w:tc>
      </w:tr>
      <w:tr>
        <w:trPr>
          <w:trHeight w:val="183"/>
        </w:trPr>
        <w:tc>
          <w:tcPr>
            <w:tcW w:w="3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Common Stock repurchased</w:t>
            </w:r>
          </w:p>
        </w:tc>
        <w:tc>
          <w:tcPr>
            <w:tcW w:w="800" w:type="dxa"/>
            <w:vAlign w:val="bottom"/>
            <w:shd w:val="clear" w:color="auto" w:fill="CCEEFF"/>
          </w:tcPr>
          <w:p>
            <w:pPr>
              <w:spacing w:after="0"/>
              <w:rPr>
                <w:sz w:val="15"/>
                <w:szCs w:val="15"/>
                <w:color w:val="auto"/>
              </w:rPr>
            </w:pP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(242)</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(242)</w:t>
            </w:r>
          </w:p>
        </w:tc>
        <w:tc>
          <w:tcPr>
            <w:tcW w:w="0" w:type="dxa"/>
            <w:vAlign w:val="bottom"/>
          </w:tcPr>
          <w:p>
            <w:pPr>
              <w:spacing w:after="0"/>
              <w:rPr>
                <w:sz w:val="1"/>
                <w:szCs w:val="1"/>
                <w:color w:val="auto"/>
              </w:rPr>
            </w:pPr>
          </w:p>
        </w:tc>
      </w:tr>
      <w:tr>
        <w:trPr>
          <w:trHeight w:val="171"/>
        </w:trPr>
        <w:tc>
          <w:tcPr>
            <w:tcW w:w="3200" w:type="dxa"/>
            <w:vAlign w:val="bottom"/>
          </w:tcPr>
          <w:p>
            <w:pPr>
              <w:ind w:left="20"/>
              <w:spacing w:after="0"/>
              <w:rPr>
                <w:sz w:val="20"/>
                <w:szCs w:val="20"/>
                <w:color w:val="auto"/>
              </w:rPr>
            </w:pPr>
            <w:r>
              <w:rPr>
                <w:rFonts w:ascii="Arial" w:cs="Arial" w:eastAsia="Arial" w:hAnsi="Arial"/>
                <w:sz w:val="13"/>
                <w:szCs w:val="13"/>
                <w:color w:val="auto"/>
              </w:rPr>
              <w:t>Cash dividends declared ($0.500 per share)</w:t>
            </w:r>
          </w:p>
        </w:tc>
        <w:tc>
          <w:tcPr>
            <w:tcW w:w="800" w:type="dxa"/>
            <w:vAlign w:val="bottom"/>
          </w:tcPr>
          <w:p>
            <w:pPr>
              <w:spacing w:after="0"/>
              <w:rPr>
                <w:sz w:val="14"/>
                <w:szCs w:val="14"/>
                <w:color w:val="auto"/>
              </w:rPr>
            </w:pPr>
          </w:p>
        </w:tc>
        <w:tc>
          <w:tcPr>
            <w:tcW w:w="32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(646)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(646)</w:t>
            </w:r>
          </w:p>
        </w:tc>
        <w:tc>
          <w:tcPr>
            <w:tcW w:w="0" w:type="dxa"/>
            <w:vAlign w:val="bottom"/>
          </w:tcPr>
          <w:p>
            <w:pPr>
              <w:spacing w:after="0"/>
              <w:rPr>
                <w:sz w:val="1"/>
                <w:szCs w:val="1"/>
                <w:color w:val="auto"/>
              </w:rPr>
            </w:pPr>
          </w:p>
        </w:tc>
      </w:tr>
      <w:tr>
        <w:trPr>
          <w:trHeight w:val="126"/>
        </w:trPr>
        <w:tc>
          <w:tcPr>
            <w:tcW w:w="3200" w:type="dxa"/>
            <w:vAlign w:val="bottom"/>
            <w:shd w:val="clear" w:color="auto" w:fill="CCEEFF"/>
          </w:tcPr>
          <w:p>
            <w:pPr>
              <w:ind w:left="20"/>
              <w:spacing w:after="0" w:line="126" w:lineRule="exact"/>
              <w:rPr>
                <w:sz w:val="20"/>
                <w:szCs w:val="20"/>
                <w:color w:val="auto"/>
              </w:rPr>
            </w:pPr>
            <w:r>
              <w:rPr>
                <w:rFonts w:ascii="Arial" w:cs="Arial" w:eastAsia="Arial" w:hAnsi="Arial"/>
                <w:sz w:val="13"/>
                <w:szCs w:val="13"/>
                <w:color w:val="auto"/>
              </w:rPr>
              <w:t>Dividends paid on noncontrolling interest</w:t>
            </w:r>
          </w:p>
        </w:tc>
        <w:tc>
          <w:tcPr>
            <w:tcW w:w="8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3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and other activities</w:t>
            </w:r>
          </w:p>
        </w:tc>
        <w:tc>
          <w:tcPr>
            <w:tcW w:w="800" w:type="dxa"/>
            <w:vAlign w:val="bottom"/>
            <w:shd w:val="clear" w:color="auto" w:fill="CCEEFF"/>
          </w:tcPr>
          <w:p>
            <w:pPr>
              <w:spacing w:after="0"/>
              <w:rPr>
                <w:sz w:val="16"/>
                <w:szCs w:val="16"/>
                <w:color w:val="auto"/>
              </w:rPr>
            </w:pP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64"/>
        </w:trPr>
        <w:tc>
          <w:tcPr>
            <w:tcW w:w="3200" w:type="dxa"/>
            <w:vAlign w:val="bottom"/>
          </w:tcPr>
          <w:p>
            <w:pPr>
              <w:ind w:left="20"/>
              <w:spacing w:after="0" w:line="146" w:lineRule="exact"/>
              <w:rPr>
                <w:sz w:val="20"/>
                <w:szCs w:val="20"/>
                <w:color w:val="auto"/>
              </w:rPr>
            </w:pPr>
            <w:r>
              <w:rPr>
                <w:rFonts w:ascii="Arial" w:cs="Arial" w:eastAsia="Arial" w:hAnsi="Arial"/>
                <w:sz w:val="13"/>
                <w:szCs w:val="13"/>
                <w:color w:val="auto"/>
              </w:rPr>
              <w:t>Balances at September 30, 2025</w:t>
            </w:r>
          </w:p>
        </w:tc>
        <w:tc>
          <w:tcPr>
            <w:tcW w:w="800" w:type="dxa"/>
            <w:vAlign w:val="bottom"/>
            <w:tcBorders>
              <w:top w:val="single" w:sz="8" w:color="auto"/>
              <w:bottom w:val="single" w:sz="8" w:color="auto"/>
            </w:tcBorders>
          </w:tcPr>
          <w:p>
            <w:pPr>
              <w:jc w:val="right"/>
              <w:ind w:right="637"/>
              <w:spacing w:after="0"/>
              <w:rPr>
                <w:sz w:val="20"/>
                <w:szCs w:val="20"/>
                <w:color w:val="auto"/>
              </w:rPr>
            </w:pPr>
            <w:r>
              <w:rPr>
                <w:rFonts w:ascii="Arial" w:cs="Arial" w:eastAsia="Arial" w:hAnsi="Arial"/>
                <w:sz w:val="13"/>
                <w:szCs w:val="13"/>
                <w:color w:val="auto"/>
              </w:rPr>
              <w:t>$</w:t>
            </w: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32,299</w:t>
            </w: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36,390</w:t>
            </w: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(11,464)</w:t>
            </w: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(31,048)</w:t>
            </w:r>
          </w:p>
        </w:tc>
        <w:tc>
          <w:tcPr>
            <w:tcW w:w="120" w:type="dxa"/>
            <w:vAlign w:val="bottom"/>
          </w:tcPr>
          <w:p>
            <w:pPr>
              <w:spacing w:after="0"/>
              <w:rPr>
                <w:sz w:val="14"/>
                <w:szCs w:val="14"/>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52</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26,229</w:t>
            </w:r>
          </w:p>
        </w:tc>
        <w:tc>
          <w:tcPr>
            <w:tcW w:w="0" w:type="dxa"/>
            <w:vAlign w:val="bottom"/>
          </w:tcPr>
          <w:p>
            <w:pPr>
              <w:spacing w:after="0"/>
              <w:rPr>
                <w:sz w:val="1"/>
                <w:szCs w:val="1"/>
                <w:color w:val="auto"/>
              </w:rPr>
            </w:pPr>
          </w:p>
        </w:tc>
      </w:tr>
      <w:tr>
        <w:trPr>
          <w:trHeight w:val="20"/>
        </w:trPr>
        <w:tc>
          <w:tcPr>
            <w:tcW w:w="32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320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b w:val="1"/>
                <w:bCs w:val="1"/>
                <w:color w:val="auto"/>
              </w:rPr>
              <w:t>Nine Months Ended September 30, 2025</w:t>
            </w: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200" w:type="dxa"/>
            <w:vAlign w:val="bottom"/>
          </w:tcPr>
          <w:p>
            <w:pPr>
              <w:ind w:left="20"/>
              <w:spacing w:after="0"/>
              <w:rPr>
                <w:sz w:val="20"/>
                <w:szCs w:val="20"/>
                <w:color w:val="auto"/>
              </w:rPr>
            </w:pPr>
            <w:r>
              <w:rPr>
                <w:rFonts w:ascii="Arial" w:cs="Arial" w:eastAsia="Arial" w:hAnsi="Arial"/>
                <w:sz w:val="13"/>
                <w:szCs w:val="13"/>
                <w:color w:val="auto"/>
              </w:rPr>
              <w:t>Balances at January 1, 2025</w:t>
            </w:r>
          </w:p>
        </w:tc>
        <w:tc>
          <w:tcPr>
            <w:tcW w:w="800" w:type="dxa"/>
            <w:vAlign w:val="bottom"/>
          </w:tcPr>
          <w:p>
            <w:pPr>
              <w:jc w:val="right"/>
              <w:ind w:right="637"/>
              <w:spacing w:after="0"/>
              <w:rPr>
                <w:sz w:val="20"/>
                <w:szCs w:val="20"/>
                <w:color w:val="auto"/>
              </w:rPr>
            </w:pPr>
            <w:r>
              <w:rPr>
                <w:rFonts w:ascii="Arial" w:cs="Arial" w:eastAsia="Arial" w:hAnsi="Arial"/>
                <w:sz w:val="13"/>
                <w:szCs w:val="13"/>
                <w:color w:val="auto"/>
              </w:rPr>
              <w:t>$</w:t>
            </w:r>
          </w:p>
        </w:tc>
        <w:tc>
          <w:tcPr>
            <w:tcW w:w="32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32,276</w:t>
            </w:r>
          </w:p>
        </w:tc>
        <w:tc>
          <w:tcPr>
            <w:tcW w:w="10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36,476</w:t>
            </w:r>
          </w:p>
        </w:tc>
        <w:tc>
          <w:tcPr>
            <w:tcW w:w="10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240" w:type="dxa"/>
            <w:vAlign w:val="bottom"/>
          </w:tcPr>
          <w:p>
            <w:pPr>
              <w:jc w:val="right"/>
              <w:spacing w:after="0"/>
              <w:rPr>
                <w:sz w:val="20"/>
                <w:szCs w:val="20"/>
                <w:color w:val="auto"/>
              </w:rPr>
            </w:pPr>
            <w:r>
              <w:rPr>
                <w:rFonts w:ascii="Arial" w:cs="Arial" w:eastAsia="Arial" w:hAnsi="Arial"/>
                <w:sz w:val="13"/>
                <w:szCs w:val="13"/>
                <w:color w:val="auto"/>
              </w:rPr>
              <w:t>(12,471)</w:t>
            </w:r>
          </w:p>
        </w:tc>
        <w:tc>
          <w:tcPr>
            <w:tcW w:w="10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(29,349)</w:t>
            </w:r>
          </w:p>
        </w:tc>
        <w:tc>
          <w:tcPr>
            <w:tcW w:w="120" w:type="dxa"/>
            <w:vAlign w:val="bottom"/>
          </w:tcPr>
          <w:p>
            <w:pPr>
              <w:spacing w:after="0"/>
              <w:rPr>
                <w:sz w:val="14"/>
                <w:szCs w:val="14"/>
                <w:color w:val="auto"/>
              </w:rPr>
            </w:pPr>
          </w:p>
        </w:tc>
        <w:tc>
          <w:tcPr>
            <w:tcW w:w="180" w:type="dxa"/>
            <w:vAlign w:val="bottom"/>
          </w:tcPr>
          <w:p>
            <w:pPr>
              <w:ind w:left="20"/>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26</w:t>
            </w:r>
          </w:p>
        </w:tc>
        <w:tc>
          <w:tcPr>
            <w:tcW w:w="100" w:type="dxa"/>
            <w:vAlign w:val="bottom"/>
          </w:tcPr>
          <w:p>
            <w:pPr>
              <w:spacing w:after="0"/>
              <w:rPr>
                <w:sz w:val="14"/>
                <w:szCs w:val="14"/>
                <w:color w:val="auto"/>
              </w:rPr>
            </w:pP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26,958</w:t>
            </w:r>
          </w:p>
        </w:tc>
        <w:tc>
          <w:tcPr>
            <w:tcW w:w="0" w:type="dxa"/>
            <w:vAlign w:val="bottom"/>
          </w:tcPr>
          <w:p>
            <w:pPr>
              <w:spacing w:after="0"/>
              <w:rPr>
                <w:sz w:val="1"/>
                <w:szCs w:val="1"/>
                <w:color w:val="auto"/>
              </w:rPr>
            </w:pPr>
          </w:p>
        </w:tc>
      </w:tr>
      <w:tr>
        <w:trPr>
          <w:trHeight w:val="180"/>
        </w:trPr>
        <w:tc>
          <w:tcPr>
            <w:tcW w:w="3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Comprehensive earnings/(losses):</w:t>
            </w:r>
          </w:p>
        </w:tc>
        <w:tc>
          <w:tcPr>
            <w:tcW w:w="8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200" w:type="dxa"/>
            <w:vAlign w:val="bottom"/>
          </w:tcPr>
          <w:p>
            <w:pPr>
              <w:ind w:left="140"/>
              <w:spacing w:after="0"/>
              <w:rPr>
                <w:sz w:val="20"/>
                <w:szCs w:val="20"/>
                <w:color w:val="auto"/>
              </w:rPr>
            </w:pPr>
            <w:r>
              <w:rPr>
                <w:rFonts w:ascii="Arial" w:cs="Arial" w:eastAsia="Arial" w:hAnsi="Arial"/>
                <w:sz w:val="13"/>
                <w:szCs w:val="13"/>
                <w:color w:val="auto"/>
              </w:rPr>
              <w:t>Net earnings</w:t>
            </w:r>
          </w:p>
        </w:tc>
        <w:tc>
          <w:tcPr>
            <w:tcW w:w="800" w:type="dxa"/>
            <w:vAlign w:val="bottom"/>
          </w:tcPr>
          <w:p>
            <w:pPr>
              <w:spacing w:after="0"/>
              <w:rPr>
                <w:sz w:val="14"/>
                <w:szCs w:val="14"/>
                <w:color w:val="auto"/>
              </w:rPr>
            </w:pPr>
          </w:p>
        </w:tc>
        <w:tc>
          <w:tcPr>
            <w:tcW w:w="32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1,786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1,797</w:t>
            </w:r>
          </w:p>
        </w:tc>
        <w:tc>
          <w:tcPr>
            <w:tcW w:w="0" w:type="dxa"/>
            <w:vAlign w:val="bottom"/>
          </w:tcPr>
          <w:p>
            <w:pPr>
              <w:spacing w:after="0"/>
              <w:rPr>
                <w:sz w:val="1"/>
                <w:szCs w:val="1"/>
                <w:color w:val="auto"/>
              </w:rPr>
            </w:pPr>
          </w:p>
        </w:tc>
      </w:tr>
      <w:tr>
        <w:trPr>
          <w:trHeight w:val="126"/>
        </w:trPr>
        <w:tc>
          <w:tcPr>
            <w:tcW w:w="3200" w:type="dxa"/>
            <w:vAlign w:val="bottom"/>
            <w:shd w:val="clear" w:color="auto" w:fill="CCEEFF"/>
          </w:tcPr>
          <w:p>
            <w:pPr>
              <w:ind w:left="140"/>
              <w:spacing w:after="0" w:line="126" w:lineRule="exact"/>
              <w:rPr>
                <w:sz w:val="20"/>
                <w:szCs w:val="20"/>
                <w:color w:val="auto"/>
              </w:rPr>
            </w:pPr>
            <w:r>
              <w:rPr>
                <w:rFonts w:ascii="Arial" w:cs="Arial" w:eastAsia="Arial" w:hAnsi="Arial"/>
                <w:sz w:val="13"/>
                <w:szCs w:val="13"/>
                <w:color w:val="auto"/>
              </w:rPr>
              <w:t>Other comprehensive earnings/(losses),</w:t>
            </w:r>
          </w:p>
        </w:tc>
        <w:tc>
          <w:tcPr>
            <w:tcW w:w="8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3200" w:type="dxa"/>
            <w:vAlign w:val="bottom"/>
            <w:shd w:val="clear" w:color="auto" w:fill="CCEEFF"/>
          </w:tcPr>
          <w:p>
            <w:pPr>
              <w:ind w:left="260"/>
              <w:spacing w:after="0"/>
              <w:rPr>
                <w:sz w:val="20"/>
                <w:szCs w:val="20"/>
                <w:color w:val="auto"/>
              </w:rPr>
            </w:pPr>
            <w:r>
              <w:rPr>
                <w:rFonts w:ascii="Arial" w:cs="Arial" w:eastAsia="Arial" w:hAnsi="Arial"/>
                <w:sz w:val="13"/>
                <w:szCs w:val="13"/>
                <w:color w:val="auto"/>
              </w:rPr>
              <w:t>net of income taxes</w:t>
            </w:r>
          </w:p>
        </w:tc>
        <w:tc>
          <w:tcPr>
            <w:tcW w:w="800" w:type="dxa"/>
            <w:vAlign w:val="bottom"/>
            <w:shd w:val="clear" w:color="auto" w:fill="CCEEFF"/>
          </w:tcPr>
          <w:p>
            <w:pPr>
              <w:spacing w:after="0"/>
              <w:rPr>
                <w:sz w:val="16"/>
                <w:szCs w:val="16"/>
                <w:color w:val="auto"/>
              </w:rPr>
            </w:pP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1,007</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1,030</w:t>
            </w:r>
          </w:p>
        </w:tc>
        <w:tc>
          <w:tcPr>
            <w:tcW w:w="0" w:type="dxa"/>
            <w:vAlign w:val="bottom"/>
          </w:tcPr>
          <w:p>
            <w:pPr>
              <w:spacing w:after="0"/>
              <w:rPr>
                <w:sz w:val="1"/>
                <w:szCs w:val="1"/>
                <w:color w:val="auto"/>
              </w:rPr>
            </w:pPr>
          </w:p>
        </w:tc>
      </w:tr>
      <w:tr>
        <w:trPr>
          <w:trHeight w:val="121"/>
        </w:trPr>
        <w:tc>
          <w:tcPr>
            <w:tcW w:w="3200" w:type="dxa"/>
            <w:vAlign w:val="bottom"/>
          </w:tcPr>
          <w:p>
            <w:pPr>
              <w:ind w:left="20"/>
              <w:spacing w:after="0" w:line="122" w:lineRule="exact"/>
              <w:rPr>
                <w:sz w:val="20"/>
                <w:szCs w:val="20"/>
                <w:color w:val="auto"/>
              </w:rPr>
            </w:pPr>
            <w:r>
              <w:rPr>
                <w:rFonts w:ascii="Arial" w:cs="Arial" w:eastAsia="Arial" w:hAnsi="Arial"/>
                <w:sz w:val="13"/>
                <w:szCs w:val="13"/>
                <w:color w:val="auto"/>
              </w:rPr>
              <w:t>Exercise of stock options and issuance of</w:t>
            </w: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3200" w:type="dxa"/>
            <w:vAlign w:val="bottom"/>
          </w:tcPr>
          <w:p>
            <w:pPr>
              <w:ind w:left="140"/>
              <w:spacing w:after="0"/>
              <w:rPr>
                <w:sz w:val="20"/>
                <w:szCs w:val="20"/>
                <w:color w:val="auto"/>
              </w:rPr>
            </w:pPr>
            <w:r>
              <w:rPr>
                <w:rFonts w:ascii="Arial" w:cs="Arial" w:eastAsia="Arial" w:hAnsi="Arial"/>
                <w:sz w:val="13"/>
                <w:szCs w:val="13"/>
                <w:color w:val="auto"/>
              </w:rPr>
              <w:t>other stock awards</w:t>
            </w:r>
          </w:p>
        </w:tc>
        <w:tc>
          <w:tcPr>
            <w:tcW w:w="800" w:type="dxa"/>
            <w:vAlign w:val="bottom"/>
          </w:tcPr>
          <w:p>
            <w:pPr>
              <w:spacing w:after="0"/>
              <w:rPr>
                <w:sz w:val="15"/>
                <w:szCs w:val="15"/>
                <w:color w:val="auto"/>
              </w:rPr>
            </w:pPr>
          </w:p>
        </w:tc>
        <w:tc>
          <w:tcPr>
            <w:tcW w:w="32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123</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142</w:t>
            </w:r>
          </w:p>
        </w:tc>
        <w:tc>
          <w:tcPr>
            <w:tcW w:w="0" w:type="dxa"/>
            <w:vAlign w:val="bottom"/>
          </w:tcPr>
          <w:p>
            <w:pPr>
              <w:spacing w:after="0"/>
              <w:rPr>
                <w:sz w:val="1"/>
                <w:szCs w:val="1"/>
                <w:color w:val="auto"/>
              </w:rPr>
            </w:pPr>
          </w:p>
        </w:tc>
      </w:tr>
      <w:tr>
        <w:trPr>
          <w:trHeight w:val="183"/>
        </w:trPr>
        <w:tc>
          <w:tcPr>
            <w:tcW w:w="3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Common Stock repurchased</w:t>
            </w:r>
          </w:p>
        </w:tc>
        <w:tc>
          <w:tcPr>
            <w:tcW w:w="800" w:type="dxa"/>
            <w:vAlign w:val="bottom"/>
            <w:shd w:val="clear" w:color="auto" w:fill="CCEEFF"/>
          </w:tcPr>
          <w:p>
            <w:pPr>
              <w:spacing w:after="0"/>
              <w:rPr>
                <w:sz w:val="15"/>
                <w:szCs w:val="15"/>
                <w:color w:val="auto"/>
              </w:rPr>
            </w:pP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(1,822)</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(1,822)</w:t>
            </w:r>
          </w:p>
        </w:tc>
        <w:tc>
          <w:tcPr>
            <w:tcW w:w="0" w:type="dxa"/>
            <w:vAlign w:val="bottom"/>
          </w:tcPr>
          <w:p>
            <w:pPr>
              <w:spacing w:after="0"/>
              <w:rPr>
                <w:sz w:val="1"/>
                <w:szCs w:val="1"/>
                <w:color w:val="auto"/>
              </w:rPr>
            </w:pPr>
          </w:p>
        </w:tc>
      </w:tr>
      <w:tr>
        <w:trPr>
          <w:trHeight w:val="171"/>
        </w:trPr>
        <w:tc>
          <w:tcPr>
            <w:tcW w:w="3200" w:type="dxa"/>
            <w:vAlign w:val="bottom"/>
          </w:tcPr>
          <w:p>
            <w:pPr>
              <w:ind w:left="20"/>
              <w:spacing w:after="0"/>
              <w:rPr>
                <w:sz w:val="20"/>
                <w:szCs w:val="20"/>
                <w:color w:val="auto"/>
              </w:rPr>
            </w:pPr>
            <w:r>
              <w:rPr>
                <w:rFonts w:ascii="Arial" w:cs="Arial" w:eastAsia="Arial" w:hAnsi="Arial"/>
                <w:sz w:val="13"/>
                <w:szCs w:val="13"/>
                <w:color w:val="auto"/>
              </w:rPr>
              <w:t>Cash dividends declared ($1.440 per share)</w:t>
            </w:r>
          </w:p>
        </w:tc>
        <w:tc>
          <w:tcPr>
            <w:tcW w:w="800" w:type="dxa"/>
            <w:vAlign w:val="bottom"/>
          </w:tcPr>
          <w:p>
            <w:pPr>
              <w:spacing w:after="0"/>
              <w:rPr>
                <w:sz w:val="14"/>
                <w:szCs w:val="14"/>
                <w:color w:val="auto"/>
              </w:rPr>
            </w:pPr>
          </w:p>
        </w:tc>
        <w:tc>
          <w:tcPr>
            <w:tcW w:w="32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(1,868)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(1,868)</w:t>
            </w:r>
          </w:p>
        </w:tc>
        <w:tc>
          <w:tcPr>
            <w:tcW w:w="0" w:type="dxa"/>
            <w:vAlign w:val="bottom"/>
          </w:tcPr>
          <w:p>
            <w:pPr>
              <w:spacing w:after="0"/>
              <w:rPr>
                <w:sz w:val="1"/>
                <w:szCs w:val="1"/>
                <w:color w:val="auto"/>
              </w:rPr>
            </w:pPr>
          </w:p>
        </w:tc>
      </w:tr>
      <w:tr>
        <w:trPr>
          <w:trHeight w:val="126"/>
        </w:trPr>
        <w:tc>
          <w:tcPr>
            <w:tcW w:w="3200" w:type="dxa"/>
            <w:vAlign w:val="bottom"/>
            <w:shd w:val="clear" w:color="auto" w:fill="CCEEFF"/>
          </w:tcPr>
          <w:p>
            <w:pPr>
              <w:ind w:left="20"/>
              <w:spacing w:after="0" w:line="126" w:lineRule="exact"/>
              <w:rPr>
                <w:sz w:val="20"/>
                <w:szCs w:val="20"/>
                <w:color w:val="auto"/>
              </w:rPr>
            </w:pPr>
            <w:r>
              <w:rPr>
                <w:rFonts w:ascii="Arial" w:cs="Arial" w:eastAsia="Arial" w:hAnsi="Arial"/>
                <w:sz w:val="13"/>
                <w:szCs w:val="13"/>
                <w:color w:val="auto"/>
              </w:rPr>
              <w:t>Dividends paid on noncontrolling interest</w:t>
            </w:r>
          </w:p>
        </w:tc>
        <w:tc>
          <w:tcPr>
            <w:tcW w:w="8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3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and other activities</w:t>
            </w:r>
          </w:p>
        </w:tc>
        <w:tc>
          <w:tcPr>
            <w:tcW w:w="800" w:type="dxa"/>
            <w:vAlign w:val="bottom"/>
            <w:shd w:val="clear" w:color="auto" w:fill="CCEEFF"/>
          </w:tcPr>
          <w:p>
            <w:pPr>
              <w:spacing w:after="0"/>
              <w:rPr>
                <w:sz w:val="16"/>
                <w:szCs w:val="16"/>
                <w:color w:val="auto"/>
              </w:rPr>
            </w:pP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164"/>
        </w:trPr>
        <w:tc>
          <w:tcPr>
            <w:tcW w:w="3200" w:type="dxa"/>
            <w:vAlign w:val="bottom"/>
          </w:tcPr>
          <w:p>
            <w:pPr>
              <w:ind w:left="20"/>
              <w:spacing w:after="0" w:line="146" w:lineRule="exact"/>
              <w:rPr>
                <w:sz w:val="20"/>
                <w:szCs w:val="20"/>
                <w:color w:val="auto"/>
              </w:rPr>
            </w:pPr>
            <w:r>
              <w:rPr>
                <w:rFonts w:ascii="Arial" w:cs="Arial" w:eastAsia="Arial" w:hAnsi="Arial"/>
                <w:sz w:val="13"/>
                <w:szCs w:val="13"/>
                <w:color w:val="auto"/>
              </w:rPr>
              <w:t>Balances at September 30, 2025</w:t>
            </w:r>
          </w:p>
        </w:tc>
        <w:tc>
          <w:tcPr>
            <w:tcW w:w="800" w:type="dxa"/>
            <w:vAlign w:val="bottom"/>
            <w:tcBorders>
              <w:top w:val="single" w:sz="8" w:color="auto"/>
              <w:bottom w:val="single" w:sz="8" w:color="auto"/>
            </w:tcBorders>
          </w:tcPr>
          <w:p>
            <w:pPr>
              <w:jc w:val="right"/>
              <w:ind w:right="637"/>
              <w:spacing w:after="0"/>
              <w:rPr>
                <w:sz w:val="20"/>
                <w:szCs w:val="20"/>
                <w:color w:val="auto"/>
              </w:rPr>
            </w:pPr>
            <w:r>
              <w:rPr>
                <w:rFonts w:ascii="Arial" w:cs="Arial" w:eastAsia="Arial" w:hAnsi="Arial"/>
                <w:sz w:val="13"/>
                <w:szCs w:val="13"/>
                <w:color w:val="auto"/>
              </w:rPr>
              <w:t>$</w:t>
            </w: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32,299</w:t>
            </w: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36,390</w:t>
            </w: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(11,464)</w:t>
            </w: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(31,048)</w:t>
            </w:r>
          </w:p>
        </w:tc>
        <w:tc>
          <w:tcPr>
            <w:tcW w:w="120" w:type="dxa"/>
            <w:vAlign w:val="bottom"/>
          </w:tcPr>
          <w:p>
            <w:pPr>
              <w:spacing w:after="0"/>
              <w:rPr>
                <w:sz w:val="14"/>
                <w:szCs w:val="14"/>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52</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26,229</w:t>
            </w:r>
          </w:p>
        </w:tc>
        <w:tc>
          <w:tcPr>
            <w:tcW w:w="0" w:type="dxa"/>
            <w:vAlign w:val="bottom"/>
          </w:tcPr>
          <w:p>
            <w:pPr>
              <w:spacing w:after="0"/>
              <w:rPr>
                <w:sz w:val="1"/>
                <w:szCs w:val="1"/>
                <w:color w:val="auto"/>
              </w:rPr>
            </w:pPr>
          </w:p>
        </w:tc>
      </w:tr>
      <w:tr>
        <w:trPr>
          <w:trHeight w:val="20"/>
        </w:trPr>
        <w:tc>
          <w:tcPr>
            <w:tcW w:w="32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320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b w:val="1"/>
                <w:bCs w:val="1"/>
                <w:color w:val="auto"/>
              </w:rPr>
              <w:t>Three Months Ended September 30, 2024</w:t>
            </w: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200" w:type="dxa"/>
            <w:vAlign w:val="bottom"/>
          </w:tcPr>
          <w:p>
            <w:pPr>
              <w:ind w:left="20"/>
              <w:spacing w:after="0"/>
              <w:rPr>
                <w:sz w:val="20"/>
                <w:szCs w:val="20"/>
                <w:color w:val="auto"/>
              </w:rPr>
            </w:pPr>
            <w:r>
              <w:rPr>
                <w:rFonts w:ascii="Arial" w:cs="Arial" w:eastAsia="Arial" w:hAnsi="Arial"/>
                <w:sz w:val="13"/>
                <w:szCs w:val="13"/>
                <w:color w:val="auto"/>
              </w:rPr>
              <w:t>Balances at July 1, 2024</w:t>
            </w:r>
          </w:p>
        </w:tc>
        <w:tc>
          <w:tcPr>
            <w:tcW w:w="800" w:type="dxa"/>
            <w:vAlign w:val="bottom"/>
          </w:tcPr>
          <w:p>
            <w:pPr>
              <w:jc w:val="right"/>
              <w:ind w:right="637"/>
              <w:spacing w:after="0"/>
              <w:rPr>
                <w:sz w:val="20"/>
                <w:szCs w:val="20"/>
                <w:color w:val="auto"/>
              </w:rPr>
            </w:pPr>
            <w:r>
              <w:rPr>
                <w:rFonts w:ascii="Arial" w:cs="Arial" w:eastAsia="Arial" w:hAnsi="Arial"/>
                <w:sz w:val="13"/>
                <w:szCs w:val="13"/>
                <w:color w:val="auto"/>
              </w:rPr>
              <w:t>$</w:t>
            </w:r>
          </w:p>
        </w:tc>
        <w:tc>
          <w:tcPr>
            <w:tcW w:w="32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32,200</w:t>
            </w:r>
          </w:p>
        </w:tc>
        <w:tc>
          <w:tcPr>
            <w:tcW w:w="10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35,108</w:t>
            </w:r>
          </w:p>
        </w:tc>
        <w:tc>
          <w:tcPr>
            <w:tcW w:w="10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240" w:type="dxa"/>
            <w:vAlign w:val="bottom"/>
          </w:tcPr>
          <w:p>
            <w:pPr>
              <w:jc w:val="right"/>
              <w:spacing w:after="0"/>
              <w:rPr>
                <w:sz w:val="20"/>
                <w:szCs w:val="20"/>
                <w:color w:val="auto"/>
              </w:rPr>
            </w:pPr>
            <w:r>
              <w:rPr>
                <w:rFonts w:ascii="Arial" w:cs="Arial" w:eastAsia="Arial" w:hAnsi="Arial"/>
                <w:sz w:val="13"/>
                <w:szCs w:val="13"/>
                <w:color w:val="auto"/>
              </w:rPr>
              <w:t>(11,515)</w:t>
            </w:r>
          </w:p>
        </w:tc>
        <w:tc>
          <w:tcPr>
            <w:tcW w:w="10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(28,104)</w:t>
            </w:r>
          </w:p>
        </w:tc>
        <w:tc>
          <w:tcPr>
            <w:tcW w:w="120" w:type="dxa"/>
            <w:vAlign w:val="bottom"/>
          </w:tcPr>
          <w:p>
            <w:pPr>
              <w:spacing w:after="0"/>
              <w:rPr>
                <w:sz w:val="14"/>
                <w:szCs w:val="14"/>
                <w:color w:val="auto"/>
              </w:rPr>
            </w:pPr>
          </w:p>
        </w:tc>
        <w:tc>
          <w:tcPr>
            <w:tcW w:w="180" w:type="dxa"/>
            <w:vAlign w:val="bottom"/>
          </w:tcPr>
          <w:p>
            <w:pPr>
              <w:ind w:left="20"/>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29</w:t>
            </w:r>
          </w:p>
        </w:tc>
        <w:tc>
          <w:tcPr>
            <w:tcW w:w="100" w:type="dxa"/>
            <w:vAlign w:val="bottom"/>
          </w:tcPr>
          <w:p>
            <w:pPr>
              <w:spacing w:after="0"/>
              <w:rPr>
                <w:sz w:val="14"/>
                <w:szCs w:val="14"/>
                <w:color w:val="auto"/>
              </w:rPr>
            </w:pP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27,718</w:t>
            </w:r>
          </w:p>
        </w:tc>
        <w:tc>
          <w:tcPr>
            <w:tcW w:w="0" w:type="dxa"/>
            <w:vAlign w:val="bottom"/>
          </w:tcPr>
          <w:p>
            <w:pPr>
              <w:spacing w:after="0"/>
              <w:rPr>
                <w:sz w:val="1"/>
                <w:szCs w:val="1"/>
                <w:color w:val="auto"/>
              </w:rPr>
            </w:pPr>
          </w:p>
        </w:tc>
      </w:tr>
      <w:tr>
        <w:trPr>
          <w:trHeight w:val="180"/>
        </w:trPr>
        <w:tc>
          <w:tcPr>
            <w:tcW w:w="3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Comprehensive earnings/(losses):</w:t>
            </w:r>
          </w:p>
        </w:tc>
        <w:tc>
          <w:tcPr>
            <w:tcW w:w="8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200" w:type="dxa"/>
            <w:vAlign w:val="bottom"/>
          </w:tcPr>
          <w:p>
            <w:pPr>
              <w:ind w:left="140"/>
              <w:spacing w:after="0"/>
              <w:rPr>
                <w:sz w:val="20"/>
                <w:szCs w:val="20"/>
                <w:color w:val="auto"/>
              </w:rPr>
            </w:pPr>
            <w:r>
              <w:rPr>
                <w:rFonts w:ascii="Arial" w:cs="Arial" w:eastAsia="Arial" w:hAnsi="Arial"/>
                <w:sz w:val="13"/>
                <w:szCs w:val="13"/>
                <w:color w:val="auto"/>
              </w:rPr>
              <w:t>Net earnings</w:t>
            </w:r>
          </w:p>
        </w:tc>
        <w:tc>
          <w:tcPr>
            <w:tcW w:w="800" w:type="dxa"/>
            <w:vAlign w:val="bottom"/>
          </w:tcPr>
          <w:p>
            <w:pPr>
              <w:spacing w:after="0"/>
              <w:rPr>
                <w:sz w:val="14"/>
                <w:szCs w:val="14"/>
                <w:color w:val="auto"/>
              </w:rPr>
            </w:pPr>
          </w:p>
        </w:tc>
        <w:tc>
          <w:tcPr>
            <w:tcW w:w="32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853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856</w:t>
            </w:r>
          </w:p>
        </w:tc>
        <w:tc>
          <w:tcPr>
            <w:tcW w:w="0" w:type="dxa"/>
            <w:vAlign w:val="bottom"/>
          </w:tcPr>
          <w:p>
            <w:pPr>
              <w:spacing w:after="0"/>
              <w:rPr>
                <w:sz w:val="1"/>
                <w:szCs w:val="1"/>
                <w:color w:val="auto"/>
              </w:rPr>
            </w:pPr>
          </w:p>
        </w:tc>
      </w:tr>
      <w:tr>
        <w:trPr>
          <w:trHeight w:val="126"/>
        </w:trPr>
        <w:tc>
          <w:tcPr>
            <w:tcW w:w="3200" w:type="dxa"/>
            <w:vAlign w:val="bottom"/>
            <w:shd w:val="clear" w:color="auto" w:fill="CCEEFF"/>
          </w:tcPr>
          <w:p>
            <w:pPr>
              <w:ind w:left="140"/>
              <w:spacing w:after="0" w:line="126" w:lineRule="exact"/>
              <w:rPr>
                <w:sz w:val="20"/>
                <w:szCs w:val="20"/>
                <w:color w:val="auto"/>
              </w:rPr>
            </w:pPr>
            <w:r>
              <w:rPr>
                <w:rFonts w:ascii="Arial" w:cs="Arial" w:eastAsia="Arial" w:hAnsi="Arial"/>
                <w:sz w:val="13"/>
                <w:szCs w:val="13"/>
                <w:color w:val="auto"/>
              </w:rPr>
              <w:t>Other comprehensive earnings/(losses),</w:t>
            </w:r>
          </w:p>
        </w:tc>
        <w:tc>
          <w:tcPr>
            <w:tcW w:w="8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3200" w:type="dxa"/>
            <w:vAlign w:val="bottom"/>
            <w:shd w:val="clear" w:color="auto" w:fill="CCEEFF"/>
          </w:tcPr>
          <w:p>
            <w:pPr>
              <w:ind w:left="260"/>
              <w:spacing w:after="0"/>
              <w:rPr>
                <w:sz w:val="20"/>
                <w:szCs w:val="20"/>
                <w:color w:val="auto"/>
              </w:rPr>
            </w:pPr>
            <w:r>
              <w:rPr>
                <w:rFonts w:ascii="Arial" w:cs="Arial" w:eastAsia="Arial" w:hAnsi="Arial"/>
                <w:sz w:val="13"/>
                <w:szCs w:val="13"/>
                <w:color w:val="auto"/>
              </w:rPr>
              <w:t>net of income taxes</w:t>
            </w:r>
          </w:p>
        </w:tc>
        <w:tc>
          <w:tcPr>
            <w:tcW w:w="800" w:type="dxa"/>
            <w:vAlign w:val="bottom"/>
            <w:shd w:val="clear" w:color="auto" w:fill="CCEEFF"/>
          </w:tcPr>
          <w:p>
            <w:pPr>
              <w:spacing w:after="0"/>
              <w:rPr>
                <w:sz w:val="16"/>
                <w:szCs w:val="16"/>
                <w:color w:val="auto"/>
              </w:rPr>
            </w:pP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w:t>
            </w:r>
          </w:p>
        </w:tc>
        <w:tc>
          <w:tcPr>
            <w:tcW w:w="0" w:type="dxa"/>
            <w:vAlign w:val="bottom"/>
          </w:tcPr>
          <w:p>
            <w:pPr>
              <w:spacing w:after="0"/>
              <w:rPr>
                <w:sz w:val="1"/>
                <w:szCs w:val="1"/>
                <w:color w:val="auto"/>
              </w:rPr>
            </w:pPr>
          </w:p>
        </w:tc>
      </w:tr>
      <w:tr>
        <w:trPr>
          <w:trHeight w:val="121"/>
        </w:trPr>
        <w:tc>
          <w:tcPr>
            <w:tcW w:w="3200" w:type="dxa"/>
            <w:vAlign w:val="bottom"/>
          </w:tcPr>
          <w:p>
            <w:pPr>
              <w:ind w:left="20"/>
              <w:spacing w:after="0" w:line="122" w:lineRule="exact"/>
              <w:rPr>
                <w:sz w:val="20"/>
                <w:szCs w:val="20"/>
                <w:color w:val="auto"/>
              </w:rPr>
            </w:pPr>
            <w:r>
              <w:rPr>
                <w:rFonts w:ascii="Arial" w:cs="Arial" w:eastAsia="Arial" w:hAnsi="Arial"/>
                <w:sz w:val="13"/>
                <w:szCs w:val="13"/>
                <w:color w:val="auto"/>
              </w:rPr>
              <w:t>Exercise of stock options and issuance of</w:t>
            </w: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3200" w:type="dxa"/>
            <w:vAlign w:val="bottom"/>
          </w:tcPr>
          <w:p>
            <w:pPr>
              <w:ind w:left="140"/>
              <w:spacing w:after="0"/>
              <w:rPr>
                <w:sz w:val="20"/>
                <w:szCs w:val="20"/>
                <w:color w:val="auto"/>
              </w:rPr>
            </w:pPr>
            <w:r>
              <w:rPr>
                <w:rFonts w:ascii="Arial" w:cs="Arial" w:eastAsia="Arial" w:hAnsi="Arial"/>
                <w:sz w:val="13"/>
                <w:szCs w:val="13"/>
                <w:color w:val="auto"/>
              </w:rPr>
              <w:t>other stock awards</w:t>
            </w:r>
          </w:p>
        </w:tc>
        <w:tc>
          <w:tcPr>
            <w:tcW w:w="800" w:type="dxa"/>
            <w:vAlign w:val="bottom"/>
          </w:tcPr>
          <w:p>
            <w:pPr>
              <w:spacing w:after="0"/>
              <w:rPr>
                <w:sz w:val="15"/>
                <w:szCs w:val="15"/>
                <w:color w:val="auto"/>
              </w:rPr>
            </w:pPr>
          </w:p>
        </w:tc>
        <w:tc>
          <w:tcPr>
            <w:tcW w:w="32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44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69</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115</w:t>
            </w:r>
          </w:p>
        </w:tc>
        <w:tc>
          <w:tcPr>
            <w:tcW w:w="0" w:type="dxa"/>
            <w:vAlign w:val="bottom"/>
          </w:tcPr>
          <w:p>
            <w:pPr>
              <w:spacing w:after="0"/>
              <w:rPr>
                <w:sz w:val="1"/>
                <w:szCs w:val="1"/>
                <w:color w:val="auto"/>
              </w:rPr>
            </w:pPr>
          </w:p>
        </w:tc>
      </w:tr>
      <w:tr>
        <w:trPr>
          <w:trHeight w:val="183"/>
        </w:trPr>
        <w:tc>
          <w:tcPr>
            <w:tcW w:w="3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Common Stock repurchased</w:t>
            </w:r>
          </w:p>
        </w:tc>
        <w:tc>
          <w:tcPr>
            <w:tcW w:w="800" w:type="dxa"/>
            <w:vAlign w:val="bottom"/>
            <w:shd w:val="clear" w:color="auto" w:fill="CCEEFF"/>
          </w:tcPr>
          <w:p>
            <w:pPr>
              <w:spacing w:after="0"/>
              <w:rPr>
                <w:sz w:val="15"/>
                <w:szCs w:val="15"/>
                <w:color w:val="auto"/>
              </w:rPr>
            </w:pP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(107)</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(107)</w:t>
            </w:r>
          </w:p>
        </w:tc>
        <w:tc>
          <w:tcPr>
            <w:tcW w:w="0" w:type="dxa"/>
            <w:vAlign w:val="bottom"/>
          </w:tcPr>
          <w:p>
            <w:pPr>
              <w:spacing w:after="0"/>
              <w:rPr>
                <w:sz w:val="1"/>
                <w:szCs w:val="1"/>
                <w:color w:val="auto"/>
              </w:rPr>
            </w:pPr>
          </w:p>
        </w:tc>
      </w:tr>
      <w:tr>
        <w:trPr>
          <w:trHeight w:val="171"/>
        </w:trPr>
        <w:tc>
          <w:tcPr>
            <w:tcW w:w="3200" w:type="dxa"/>
            <w:vAlign w:val="bottom"/>
          </w:tcPr>
          <w:p>
            <w:pPr>
              <w:ind w:left="20"/>
              <w:spacing w:after="0"/>
              <w:rPr>
                <w:sz w:val="20"/>
                <w:szCs w:val="20"/>
                <w:color w:val="auto"/>
              </w:rPr>
            </w:pPr>
            <w:r>
              <w:rPr>
                <w:rFonts w:ascii="Arial" w:cs="Arial" w:eastAsia="Arial" w:hAnsi="Arial"/>
                <w:sz w:val="13"/>
                <w:szCs w:val="13"/>
                <w:color w:val="auto"/>
              </w:rPr>
              <w:t>Cash dividends declared ($0.470 per share)</w:t>
            </w:r>
          </w:p>
        </w:tc>
        <w:tc>
          <w:tcPr>
            <w:tcW w:w="800" w:type="dxa"/>
            <w:vAlign w:val="bottom"/>
          </w:tcPr>
          <w:p>
            <w:pPr>
              <w:spacing w:after="0"/>
              <w:rPr>
                <w:sz w:val="14"/>
                <w:szCs w:val="14"/>
                <w:color w:val="auto"/>
              </w:rPr>
            </w:pPr>
          </w:p>
        </w:tc>
        <w:tc>
          <w:tcPr>
            <w:tcW w:w="32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(632)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(632)</w:t>
            </w:r>
          </w:p>
        </w:tc>
        <w:tc>
          <w:tcPr>
            <w:tcW w:w="0" w:type="dxa"/>
            <w:vAlign w:val="bottom"/>
          </w:tcPr>
          <w:p>
            <w:pPr>
              <w:spacing w:after="0"/>
              <w:rPr>
                <w:sz w:val="1"/>
                <w:szCs w:val="1"/>
                <w:color w:val="auto"/>
              </w:rPr>
            </w:pPr>
          </w:p>
        </w:tc>
      </w:tr>
      <w:tr>
        <w:trPr>
          <w:trHeight w:val="126"/>
        </w:trPr>
        <w:tc>
          <w:tcPr>
            <w:tcW w:w="3200" w:type="dxa"/>
            <w:vAlign w:val="bottom"/>
            <w:shd w:val="clear" w:color="auto" w:fill="CCEEFF"/>
          </w:tcPr>
          <w:p>
            <w:pPr>
              <w:ind w:left="20"/>
              <w:spacing w:after="0" w:line="126" w:lineRule="exact"/>
              <w:rPr>
                <w:sz w:val="20"/>
                <w:szCs w:val="20"/>
                <w:color w:val="auto"/>
              </w:rPr>
            </w:pPr>
            <w:r>
              <w:rPr>
                <w:rFonts w:ascii="Arial" w:cs="Arial" w:eastAsia="Arial" w:hAnsi="Arial"/>
                <w:sz w:val="13"/>
                <w:szCs w:val="13"/>
                <w:color w:val="auto"/>
              </w:rPr>
              <w:t>Dividends paid on noncontrolling interest</w:t>
            </w:r>
          </w:p>
        </w:tc>
        <w:tc>
          <w:tcPr>
            <w:tcW w:w="8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3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and other activities</w:t>
            </w:r>
          </w:p>
        </w:tc>
        <w:tc>
          <w:tcPr>
            <w:tcW w:w="800" w:type="dxa"/>
            <w:vAlign w:val="bottom"/>
            <w:shd w:val="clear" w:color="auto" w:fill="CCEEFF"/>
          </w:tcPr>
          <w:p>
            <w:pPr>
              <w:spacing w:after="0"/>
              <w:rPr>
                <w:sz w:val="16"/>
                <w:szCs w:val="16"/>
                <w:color w:val="auto"/>
              </w:rPr>
            </w:pP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64"/>
        </w:trPr>
        <w:tc>
          <w:tcPr>
            <w:tcW w:w="3200" w:type="dxa"/>
            <w:vAlign w:val="bottom"/>
          </w:tcPr>
          <w:p>
            <w:pPr>
              <w:ind w:left="20"/>
              <w:spacing w:after="0" w:line="146" w:lineRule="exact"/>
              <w:rPr>
                <w:sz w:val="20"/>
                <w:szCs w:val="20"/>
                <w:color w:val="auto"/>
              </w:rPr>
            </w:pPr>
            <w:r>
              <w:rPr>
                <w:rFonts w:ascii="Arial" w:cs="Arial" w:eastAsia="Arial" w:hAnsi="Arial"/>
                <w:sz w:val="13"/>
                <w:szCs w:val="13"/>
                <w:color w:val="auto"/>
              </w:rPr>
              <w:t>Balances at September 30, 2024</w:t>
            </w:r>
          </w:p>
        </w:tc>
        <w:tc>
          <w:tcPr>
            <w:tcW w:w="800" w:type="dxa"/>
            <w:vAlign w:val="bottom"/>
            <w:tcBorders>
              <w:top w:val="single" w:sz="8" w:color="auto"/>
              <w:bottom w:val="single" w:sz="8" w:color="auto"/>
            </w:tcBorders>
          </w:tcPr>
          <w:p>
            <w:pPr>
              <w:jc w:val="right"/>
              <w:ind w:right="637"/>
              <w:spacing w:after="0"/>
              <w:rPr>
                <w:sz w:val="20"/>
                <w:szCs w:val="20"/>
                <w:color w:val="auto"/>
              </w:rPr>
            </w:pPr>
            <w:r>
              <w:rPr>
                <w:rFonts w:ascii="Arial" w:cs="Arial" w:eastAsia="Arial" w:hAnsi="Arial"/>
                <w:sz w:val="13"/>
                <w:szCs w:val="13"/>
                <w:color w:val="auto"/>
              </w:rPr>
              <w:t>$</w:t>
            </w: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32,244</w:t>
            </w: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35,331</w:t>
            </w: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(11,579)</w:t>
            </w: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(28,142)</w:t>
            </w:r>
          </w:p>
        </w:tc>
        <w:tc>
          <w:tcPr>
            <w:tcW w:w="120" w:type="dxa"/>
            <w:vAlign w:val="bottom"/>
          </w:tcPr>
          <w:p>
            <w:pPr>
              <w:spacing w:after="0"/>
              <w:rPr>
                <w:sz w:val="14"/>
                <w:szCs w:val="14"/>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37</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27,891</w:t>
            </w:r>
          </w:p>
        </w:tc>
        <w:tc>
          <w:tcPr>
            <w:tcW w:w="0" w:type="dxa"/>
            <w:vAlign w:val="bottom"/>
          </w:tcPr>
          <w:p>
            <w:pPr>
              <w:spacing w:after="0"/>
              <w:rPr>
                <w:sz w:val="1"/>
                <w:szCs w:val="1"/>
                <w:color w:val="auto"/>
              </w:rPr>
            </w:pPr>
          </w:p>
        </w:tc>
      </w:tr>
      <w:tr>
        <w:trPr>
          <w:trHeight w:val="20"/>
        </w:trPr>
        <w:tc>
          <w:tcPr>
            <w:tcW w:w="32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320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b w:val="1"/>
                <w:bCs w:val="1"/>
                <w:color w:val="auto"/>
              </w:rPr>
              <w:t>Nine Months Ended September 30, 2024</w:t>
            </w: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200" w:type="dxa"/>
            <w:vAlign w:val="bottom"/>
          </w:tcPr>
          <w:p>
            <w:pPr>
              <w:ind w:left="20"/>
              <w:spacing w:after="0"/>
              <w:rPr>
                <w:sz w:val="20"/>
                <w:szCs w:val="20"/>
                <w:color w:val="auto"/>
              </w:rPr>
            </w:pPr>
            <w:r>
              <w:rPr>
                <w:rFonts w:ascii="Arial" w:cs="Arial" w:eastAsia="Arial" w:hAnsi="Arial"/>
                <w:sz w:val="13"/>
                <w:szCs w:val="13"/>
                <w:color w:val="auto"/>
              </w:rPr>
              <w:t>Balances at January 1, 2024</w:t>
            </w:r>
          </w:p>
        </w:tc>
        <w:tc>
          <w:tcPr>
            <w:tcW w:w="800" w:type="dxa"/>
            <w:vAlign w:val="bottom"/>
          </w:tcPr>
          <w:p>
            <w:pPr>
              <w:jc w:val="right"/>
              <w:ind w:right="637"/>
              <w:spacing w:after="0"/>
              <w:rPr>
                <w:sz w:val="20"/>
                <w:szCs w:val="20"/>
                <w:color w:val="auto"/>
              </w:rPr>
            </w:pPr>
            <w:r>
              <w:rPr>
                <w:rFonts w:ascii="Arial" w:cs="Arial" w:eastAsia="Arial" w:hAnsi="Arial"/>
                <w:sz w:val="13"/>
                <w:szCs w:val="13"/>
                <w:color w:val="auto"/>
              </w:rPr>
              <w:t>$</w:t>
            </w:r>
          </w:p>
        </w:tc>
        <w:tc>
          <w:tcPr>
            <w:tcW w:w="32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32,216</w:t>
            </w:r>
          </w:p>
        </w:tc>
        <w:tc>
          <w:tcPr>
            <w:tcW w:w="10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34,236</w:t>
            </w:r>
          </w:p>
        </w:tc>
        <w:tc>
          <w:tcPr>
            <w:tcW w:w="10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240" w:type="dxa"/>
            <w:vAlign w:val="bottom"/>
          </w:tcPr>
          <w:p>
            <w:pPr>
              <w:jc w:val="right"/>
              <w:spacing w:after="0"/>
              <w:rPr>
                <w:sz w:val="20"/>
                <w:szCs w:val="20"/>
                <w:color w:val="auto"/>
              </w:rPr>
            </w:pPr>
            <w:r>
              <w:rPr>
                <w:rFonts w:ascii="Arial" w:cs="Arial" w:eastAsia="Arial" w:hAnsi="Arial"/>
                <w:sz w:val="13"/>
                <w:szCs w:val="13"/>
                <w:color w:val="auto"/>
              </w:rPr>
              <w:t>(10,946)</w:t>
            </w:r>
          </w:p>
        </w:tc>
        <w:tc>
          <w:tcPr>
            <w:tcW w:w="10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(27,174)</w:t>
            </w:r>
          </w:p>
        </w:tc>
        <w:tc>
          <w:tcPr>
            <w:tcW w:w="120" w:type="dxa"/>
            <w:vAlign w:val="bottom"/>
          </w:tcPr>
          <w:p>
            <w:pPr>
              <w:spacing w:after="0"/>
              <w:rPr>
                <w:sz w:val="14"/>
                <w:szCs w:val="14"/>
                <w:color w:val="auto"/>
              </w:rPr>
            </w:pPr>
          </w:p>
        </w:tc>
        <w:tc>
          <w:tcPr>
            <w:tcW w:w="180" w:type="dxa"/>
            <w:vAlign w:val="bottom"/>
          </w:tcPr>
          <w:p>
            <w:pPr>
              <w:ind w:left="20"/>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34</w:t>
            </w:r>
          </w:p>
        </w:tc>
        <w:tc>
          <w:tcPr>
            <w:tcW w:w="100" w:type="dxa"/>
            <w:vAlign w:val="bottom"/>
          </w:tcPr>
          <w:p>
            <w:pPr>
              <w:spacing w:after="0"/>
              <w:rPr>
                <w:sz w:val="14"/>
                <w:szCs w:val="14"/>
                <w:color w:val="auto"/>
              </w:rPr>
            </w:pP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28,366</w:t>
            </w:r>
          </w:p>
        </w:tc>
        <w:tc>
          <w:tcPr>
            <w:tcW w:w="0" w:type="dxa"/>
            <w:vAlign w:val="bottom"/>
          </w:tcPr>
          <w:p>
            <w:pPr>
              <w:spacing w:after="0"/>
              <w:rPr>
                <w:sz w:val="1"/>
                <w:szCs w:val="1"/>
                <w:color w:val="auto"/>
              </w:rPr>
            </w:pPr>
          </w:p>
        </w:tc>
      </w:tr>
      <w:tr>
        <w:trPr>
          <w:trHeight w:val="180"/>
        </w:trPr>
        <w:tc>
          <w:tcPr>
            <w:tcW w:w="3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Comprehensive earnings/(losses):</w:t>
            </w:r>
          </w:p>
        </w:tc>
        <w:tc>
          <w:tcPr>
            <w:tcW w:w="8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200" w:type="dxa"/>
            <w:vAlign w:val="bottom"/>
          </w:tcPr>
          <w:p>
            <w:pPr>
              <w:ind w:left="140"/>
              <w:spacing w:after="0"/>
              <w:rPr>
                <w:sz w:val="20"/>
                <w:szCs w:val="20"/>
                <w:color w:val="auto"/>
              </w:rPr>
            </w:pPr>
            <w:r>
              <w:rPr>
                <w:rFonts w:ascii="Arial" w:cs="Arial" w:eastAsia="Arial" w:hAnsi="Arial"/>
                <w:sz w:val="13"/>
                <w:szCs w:val="13"/>
                <w:color w:val="auto"/>
              </w:rPr>
              <w:t>Net earnings</w:t>
            </w:r>
          </w:p>
        </w:tc>
        <w:tc>
          <w:tcPr>
            <w:tcW w:w="800" w:type="dxa"/>
            <w:vAlign w:val="bottom"/>
          </w:tcPr>
          <w:p>
            <w:pPr>
              <w:spacing w:after="0"/>
              <w:rPr>
                <w:sz w:val="14"/>
                <w:szCs w:val="14"/>
                <w:color w:val="auto"/>
              </w:rPr>
            </w:pPr>
          </w:p>
        </w:tc>
        <w:tc>
          <w:tcPr>
            <w:tcW w:w="32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2,866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2,875</w:t>
            </w:r>
          </w:p>
        </w:tc>
        <w:tc>
          <w:tcPr>
            <w:tcW w:w="0" w:type="dxa"/>
            <w:vAlign w:val="bottom"/>
          </w:tcPr>
          <w:p>
            <w:pPr>
              <w:spacing w:after="0"/>
              <w:rPr>
                <w:sz w:val="1"/>
                <w:szCs w:val="1"/>
                <w:color w:val="auto"/>
              </w:rPr>
            </w:pPr>
          </w:p>
        </w:tc>
      </w:tr>
      <w:tr>
        <w:trPr>
          <w:trHeight w:val="126"/>
        </w:trPr>
        <w:tc>
          <w:tcPr>
            <w:tcW w:w="3200" w:type="dxa"/>
            <w:vAlign w:val="bottom"/>
            <w:shd w:val="clear" w:color="auto" w:fill="CCEEFF"/>
          </w:tcPr>
          <w:p>
            <w:pPr>
              <w:ind w:left="140"/>
              <w:spacing w:after="0" w:line="126" w:lineRule="exact"/>
              <w:rPr>
                <w:sz w:val="20"/>
                <w:szCs w:val="20"/>
                <w:color w:val="auto"/>
              </w:rPr>
            </w:pPr>
            <w:r>
              <w:rPr>
                <w:rFonts w:ascii="Arial" w:cs="Arial" w:eastAsia="Arial" w:hAnsi="Arial"/>
                <w:sz w:val="13"/>
                <w:szCs w:val="13"/>
                <w:color w:val="auto"/>
              </w:rPr>
              <w:t>Other comprehensive earnings/(losses),</w:t>
            </w:r>
          </w:p>
        </w:tc>
        <w:tc>
          <w:tcPr>
            <w:tcW w:w="8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3200" w:type="dxa"/>
            <w:vAlign w:val="bottom"/>
            <w:shd w:val="clear" w:color="auto" w:fill="CCEEFF"/>
          </w:tcPr>
          <w:p>
            <w:pPr>
              <w:ind w:left="260"/>
              <w:spacing w:after="0"/>
              <w:rPr>
                <w:sz w:val="20"/>
                <w:szCs w:val="20"/>
                <w:color w:val="auto"/>
              </w:rPr>
            </w:pPr>
            <w:r>
              <w:rPr>
                <w:rFonts w:ascii="Arial" w:cs="Arial" w:eastAsia="Arial" w:hAnsi="Arial"/>
                <w:sz w:val="13"/>
                <w:szCs w:val="13"/>
                <w:color w:val="auto"/>
              </w:rPr>
              <w:t>net of income taxes</w:t>
            </w:r>
          </w:p>
        </w:tc>
        <w:tc>
          <w:tcPr>
            <w:tcW w:w="800" w:type="dxa"/>
            <w:vAlign w:val="bottom"/>
            <w:shd w:val="clear" w:color="auto" w:fill="CCEEFF"/>
          </w:tcPr>
          <w:p>
            <w:pPr>
              <w:spacing w:after="0"/>
              <w:rPr>
                <w:sz w:val="16"/>
                <w:szCs w:val="16"/>
                <w:color w:val="auto"/>
              </w:rPr>
            </w:pP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(631)</w:t>
            </w:r>
          </w:p>
        </w:tc>
        <w:tc>
          <w:tcPr>
            <w:tcW w:w="0" w:type="dxa"/>
            <w:vAlign w:val="bottom"/>
          </w:tcPr>
          <w:p>
            <w:pPr>
              <w:spacing w:after="0"/>
              <w:rPr>
                <w:sz w:val="1"/>
                <w:szCs w:val="1"/>
                <w:color w:val="auto"/>
              </w:rPr>
            </w:pPr>
          </w:p>
        </w:tc>
      </w:tr>
      <w:tr>
        <w:trPr>
          <w:trHeight w:val="121"/>
        </w:trPr>
        <w:tc>
          <w:tcPr>
            <w:tcW w:w="3200" w:type="dxa"/>
            <w:vAlign w:val="bottom"/>
          </w:tcPr>
          <w:p>
            <w:pPr>
              <w:ind w:left="20"/>
              <w:spacing w:after="0" w:line="122" w:lineRule="exact"/>
              <w:rPr>
                <w:sz w:val="20"/>
                <w:szCs w:val="20"/>
                <w:color w:val="auto"/>
              </w:rPr>
            </w:pPr>
            <w:r>
              <w:rPr>
                <w:rFonts w:ascii="Arial" w:cs="Arial" w:eastAsia="Arial" w:hAnsi="Arial"/>
                <w:sz w:val="13"/>
                <w:szCs w:val="13"/>
                <w:color w:val="auto"/>
              </w:rPr>
              <w:t>Exercise of stock options and issuance of</w:t>
            </w: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3200" w:type="dxa"/>
            <w:vAlign w:val="bottom"/>
          </w:tcPr>
          <w:p>
            <w:pPr>
              <w:ind w:left="140"/>
              <w:spacing w:after="0"/>
              <w:rPr>
                <w:sz w:val="20"/>
                <w:szCs w:val="20"/>
                <w:color w:val="auto"/>
              </w:rPr>
            </w:pPr>
            <w:r>
              <w:rPr>
                <w:rFonts w:ascii="Arial" w:cs="Arial" w:eastAsia="Arial" w:hAnsi="Arial"/>
                <w:sz w:val="13"/>
                <w:szCs w:val="13"/>
                <w:color w:val="auto"/>
              </w:rPr>
              <w:t>other stock awards</w:t>
            </w:r>
          </w:p>
        </w:tc>
        <w:tc>
          <w:tcPr>
            <w:tcW w:w="800" w:type="dxa"/>
            <w:vAlign w:val="bottom"/>
          </w:tcPr>
          <w:p>
            <w:pPr>
              <w:spacing w:after="0"/>
              <w:rPr>
                <w:sz w:val="15"/>
                <w:szCs w:val="15"/>
                <w:color w:val="auto"/>
              </w:rPr>
            </w:pPr>
          </w:p>
        </w:tc>
        <w:tc>
          <w:tcPr>
            <w:tcW w:w="32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206</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239</w:t>
            </w:r>
          </w:p>
        </w:tc>
        <w:tc>
          <w:tcPr>
            <w:tcW w:w="0" w:type="dxa"/>
            <w:vAlign w:val="bottom"/>
          </w:tcPr>
          <w:p>
            <w:pPr>
              <w:spacing w:after="0"/>
              <w:rPr>
                <w:sz w:val="1"/>
                <w:szCs w:val="1"/>
                <w:color w:val="auto"/>
              </w:rPr>
            </w:pPr>
          </w:p>
        </w:tc>
      </w:tr>
      <w:tr>
        <w:trPr>
          <w:trHeight w:val="183"/>
        </w:trPr>
        <w:tc>
          <w:tcPr>
            <w:tcW w:w="3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Common Stock repurchased</w:t>
            </w:r>
          </w:p>
        </w:tc>
        <w:tc>
          <w:tcPr>
            <w:tcW w:w="800" w:type="dxa"/>
            <w:vAlign w:val="bottom"/>
            <w:shd w:val="clear" w:color="auto" w:fill="CCEEFF"/>
          </w:tcPr>
          <w:p>
            <w:pPr>
              <w:spacing w:after="0"/>
              <w:rPr>
                <w:sz w:val="15"/>
                <w:szCs w:val="15"/>
                <w:color w:val="auto"/>
              </w:rPr>
            </w:pP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(1,174)</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(1,174)</w:t>
            </w:r>
          </w:p>
        </w:tc>
        <w:tc>
          <w:tcPr>
            <w:tcW w:w="0" w:type="dxa"/>
            <w:vAlign w:val="bottom"/>
          </w:tcPr>
          <w:p>
            <w:pPr>
              <w:spacing w:after="0"/>
              <w:rPr>
                <w:sz w:val="1"/>
                <w:szCs w:val="1"/>
                <w:color w:val="auto"/>
              </w:rPr>
            </w:pPr>
          </w:p>
        </w:tc>
      </w:tr>
      <w:tr>
        <w:trPr>
          <w:trHeight w:val="171"/>
        </w:trPr>
        <w:tc>
          <w:tcPr>
            <w:tcW w:w="3200" w:type="dxa"/>
            <w:vAlign w:val="bottom"/>
          </w:tcPr>
          <w:p>
            <w:pPr>
              <w:ind w:left="20"/>
              <w:spacing w:after="0"/>
              <w:rPr>
                <w:sz w:val="20"/>
                <w:szCs w:val="20"/>
                <w:color w:val="auto"/>
              </w:rPr>
            </w:pPr>
            <w:r>
              <w:rPr>
                <w:rFonts w:ascii="Arial" w:cs="Arial" w:eastAsia="Arial" w:hAnsi="Arial"/>
                <w:sz w:val="13"/>
                <w:szCs w:val="13"/>
                <w:color w:val="auto"/>
              </w:rPr>
              <w:t>Cash dividends declared ($1.320 per share)</w:t>
            </w:r>
          </w:p>
        </w:tc>
        <w:tc>
          <w:tcPr>
            <w:tcW w:w="800" w:type="dxa"/>
            <w:vAlign w:val="bottom"/>
          </w:tcPr>
          <w:p>
            <w:pPr>
              <w:spacing w:after="0"/>
              <w:rPr>
                <w:sz w:val="14"/>
                <w:szCs w:val="14"/>
                <w:color w:val="auto"/>
              </w:rPr>
            </w:pPr>
          </w:p>
        </w:tc>
        <w:tc>
          <w:tcPr>
            <w:tcW w:w="32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(1,776)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(1,776)</w:t>
            </w:r>
          </w:p>
        </w:tc>
        <w:tc>
          <w:tcPr>
            <w:tcW w:w="0" w:type="dxa"/>
            <w:vAlign w:val="bottom"/>
          </w:tcPr>
          <w:p>
            <w:pPr>
              <w:spacing w:after="0"/>
              <w:rPr>
                <w:sz w:val="1"/>
                <w:szCs w:val="1"/>
                <w:color w:val="auto"/>
              </w:rPr>
            </w:pPr>
          </w:p>
        </w:tc>
      </w:tr>
      <w:tr>
        <w:trPr>
          <w:trHeight w:val="126"/>
        </w:trPr>
        <w:tc>
          <w:tcPr>
            <w:tcW w:w="3200" w:type="dxa"/>
            <w:vAlign w:val="bottom"/>
            <w:shd w:val="clear" w:color="auto" w:fill="CCEEFF"/>
          </w:tcPr>
          <w:p>
            <w:pPr>
              <w:ind w:left="20"/>
              <w:spacing w:after="0" w:line="126" w:lineRule="exact"/>
              <w:rPr>
                <w:sz w:val="20"/>
                <w:szCs w:val="20"/>
                <w:color w:val="auto"/>
              </w:rPr>
            </w:pPr>
            <w:r>
              <w:rPr>
                <w:rFonts w:ascii="Arial" w:cs="Arial" w:eastAsia="Arial" w:hAnsi="Arial"/>
                <w:sz w:val="13"/>
                <w:szCs w:val="13"/>
                <w:color w:val="auto"/>
              </w:rPr>
              <w:t>Dividends paid on noncontrolling interest</w:t>
            </w:r>
          </w:p>
        </w:tc>
        <w:tc>
          <w:tcPr>
            <w:tcW w:w="8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3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and other activities</w:t>
            </w:r>
          </w:p>
        </w:tc>
        <w:tc>
          <w:tcPr>
            <w:tcW w:w="800" w:type="dxa"/>
            <w:vAlign w:val="bottom"/>
            <w:shd w:val="clear" w:color="auto" w:fill="CCEEFF"/>
          </w:tcPr>
          <w:p>
            <w:pPr>
              <w:spacing w:after="0"/>
              <w:rPr>
                <w:sz w:val="16"/>
                <w:szCs w:val="16"/>
                <w:color w:val="auto"/>
              </w:rPr>
            </w:pP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164"/>
        </w:trPr>
        <w:tc>
          <w:tcPr>
            <w:tcW w:w="3200" w:type="dxa"/>
            <w:vAlign w:val="bottom"/>
          </w:tcPr>
          <w:p>
            <w:pPr>
              <w:ind w:left="20"/>
              <w:spacing w:after="0" w:line="146" w:lineRule="exact"/>
              <w:rPr>
                <w:sz w:val="20"/>
                <w:szCs w:val="20"/>
                <w:color w:val="auto"/>
              </w:rPr>
            </w:pPr>
            <w:r>
              <w:rPr>
                <w:rFonts w:ascii="Arial" w:cs="Arial" w:eastAsia="Arial" w:hAnsi="Arial"/>
                <w:sz w:val="13"/>
                <w:szCs w:val="13"/>
                <w:color w:val="auto"/>
              </w:rPr>
              <w:t>Balances at September 30, 2024</w:t>
            </w:r>
          </w:p>
        </w:tc>
        <w:tc>
          <w:tcPr>
            <w:tcW w:w="800" w:type="dxa"/>
            <w:vAlign w:val="bottom"/>
            <w:tcBorders>
              <w:top w:val="single" w:sz="8" w:color="auto"/>
              <w:bottom w:val="single" w:sz="8" w:color="auto"/>
            </w:tcBorders>
          </w:tcPr>
          <w:p>
            <w:pPr>
              <w:jc w:val="right"/>
              <w:ind w:right="637"/>
              <w:spacing w:after="0"/>
              <w:rPr>
                <w:sz w:val="20"/>
                <w:szCs w:val="20"/>
                <w:color w:val="auto"/>
              </w:rPr>
            </w:pPr>
            <w:r>
              <w:rPr>
                <w:rFonts w:ascii="Arial" w:cs="Arial" w:eastAsia="Arial" w:hAnsi="Arial"/>
                <w:sz w:val="13"/>
                <w:szCs w:val="13"/>
                <w:color w:val="auto"/>
              </w:rPr>
              <w:t>$</w:t>
            </w: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32,244</w:t>
            </w: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35,331</w:t>
            </w: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(11,579)</w:t>
            </w: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(28,142)</w:t>
            </w:r>
          </w:p>
        </w:tc>
        <w:tc>
          <w:tcPr>
            <w:tcW w:w="120" w:type="dxa"/>
            <w:vAlign w:val="bottom"/>
          </w:tcPr>
          <w:p>
            <w:pPr>
              <w:spacing w:after="0"/>
              <w:rPr>
                <w:sz w:val="14"/>
                <w:szCs w:val="14"/>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37</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27,891</w:t>
            </w:r>
          </w:p>
        </w:tc>
        <w:tc>
          <w:tcPr>
            <w:tcW w:w="0" w:type="dxa"/>
            <w:vAlign w:val="bottom"/>
          </w:tcPr>
          <w:p>
            <w:pPr>
              <w:spacing w:after="0"/>
              <w:rPr>
                <w:sz w:val="1"/>
                <w:szCs w:val="1"/>
                <w:color w:val="auto"/>
              </w:rPr>
            </w:pPr>
          </w:p>
        </w:tc>
      </w:tr>
      <w:tr>
        <w:trPr>
          <w:trHeight w:val="25"/>
        </w:trPr>
        <w:tc>
          <w:tcPr>
            <w:tcW w:w="32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6845935</wp:posOffset>
            </wp:positionH>
            <wp:positionV relativeFrom="paragraph">
              <wp:posOffset>52070</wp:posOffset>
            </wp:positionV>
            <wp:extent cx="282575" cy="1885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pacing w:after="0" w:line="21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279400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Mondelēz International, Inc.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millions of U.S. dollars)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24" w:lineRule="exact"/>
        <w:rPr>
          <w:sz w:val="20"/>
          <w:szCs w:val="20"/>
          <w:color w:val="auto"/>
        </w:rPr>
      </w:pPr>
    </w:p>
    <w:p>
      <w:pPr>
        <w:jc w:val="center"/>
        <w:ind w:left="7460"/>
        <w:spacing w:after="0"/>
        <w:rPr>
          <w:sz w:val="20"/>
          <w:szCs w:val="20"/>
          <w:color w:val="auto"/>
        </w:rPr>
      </w:pPr>
      <w:r>
        <w:rPr>
          <w:rFonts w:ascii="Arial" w:cs="Arial" w:eastAsia="Arial" w:hAnsi="Arial"/>
          <w:sz w:val="14"/>
          <w:szCs w:val="14"/>
          <w:b w:val="1"/>
          <w:bCs w:val="1"/>
          <w:color w:val="auto"/>
        </w:rPr>
        <w:t>For the Nine Months Ended</w:t>
      </w:r>
    </w:p>
    <w:p>
      <w:pPr>
        <w:jc w:val="center"/>
        <w:ind w:left="746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4771390</wp:posOffset>
            </wp:positionH>
            <wp:positionV relativeFrom="paragraph">
              <wp:posOffset>14605</wp:posOffset>
            </wp:positionV>
            <wp:extent cx="233997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52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2025</w:t>
            </w:r>
          </w:p>
        </w:tc>
        <w:tc>
          <w:tcPr>
            <w:tcW w:w="6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659"/>
              <w:spacing w:after="0"/>
              <w:rPr>
                <w:sz w:val="20"/>
                <w:szCs w:val="20"/>
                <w:color w:val="auto"/>
              </w:rPr>
            </w:pPr>
            <w:r>
              <w:rPr>
                <w:rFonts w:ascii="Arial" w:cs="Arial" w:eastAsia="Arial" w:hAnsi="Arial"/>
                <w:sz w:val="14"/>
                <w:szCs w:val="14"/>
                <w:b w:val="1"/>
                <w:bCs w:val="1"/>
                <w:color w:val="auto"/>
              </w:rPr>
              <w:t>2024</w:t>
            </w:r>
          </w:p>
        </w:tc>
      </w:tr>
      <w:tr>
        <w:trPr>
          <w:trHeight w:val="197"/>
        </w:trPr>
        <w:tc>
          <w:tcPr>
            <w:tcW w:w="7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PROVIDED BY/(USED IN) OPERATING ACTIVITIES</w:t>
            </w:r>
          </w:p>
        </w:tc>
        <w:tc>
          <w:tcPr>
            <w:tcW w:w="1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r>
      <w:tr>
        <w:trPr>
          <w:trHeight w:val="215"/>
        </w:trPr>
        <w:tc>
          <w:tcPr>
            <w:tcW w:w="7520" w:type="dxa"/>
            <w:vAlign w:val="bottom"/>
          </w:tcPr>
          <w:p>
            <w:pPr>
              <w:ind w:left="140"/>
              <w:spacing w:after="0"/>
              <w:rPr>
                <w:sz w:val="20"/>
                <w:szCs w:val="20"/>
                <w:color w:val="auto"/>
              </w:rPr>
            </w:pPr>
            <w:r>
              <w:rPr>
                <w:rFonts w:ascii="Arial" w:cs="Arial" w:eastAsia="Arial" w:hAnsi="Arial"/>
                <w:sz w:val="16"/>
                <w:szCs w:val="16"/>
                <w:color w:val="auto"/>
              </w:rPr>
              <w:t>Net earnings</w:t>
            </w:r>
          </w:p>
        </w:tc>
        <w:tc>
          <w:tcPr>
            <w:tcW w:w="1140" w:type="dxa"/>
            <w:vAlign w:val="bottom"/>
          </w:tcPr>
          <w:p>
            <w:pPr>
              <w:jc w:val="right"/>
              <w:ind w:right="962"/>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1,797</w:t>
            </w:r>
          </w:p>
        </w:tc>
        <w:tc>
          <w:tcPr>
            <w:tcW w:w="100" w:type="dxa"/>
            <w:vAlign w:val="bottom"/>
          </w:tcPr>
          <w:p>
            <w:pPr>
              <w:spacing w:after="0"/>
              <w:rPr>
                <w:sz w:val="18"/>
                <w:szCs w:val="18"/>
                <w:color w:val="auto"/>
              </w:rPr>
            </w:pP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2,875</w:t>
            </w:r>
          </w:p>
        </w:tc>
      </w:tr>
      <w:tr>
        <w:trPr>
          <w:trHeight w:val="217"/>
        </w:trPr>
        <w:tc>
          <w:tcPr>
            <w:tcW w:w="75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Adjustments to reconcile net earnings to operating cash flows:</w:t>
            </w:r>
          </w:p>
        </w:tc>
        <w:tc>
          <w:tcPr>
            <w:tcW w:w="1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15"/>
        </w:trPr>
        <w:tc>
          <w:tcPr>
            <w:tcW w:w="7520" w:type="dxa"/>
            <w:vAlign w:val="bottom"/>
          </w:tcPr>
          <w:p>
            <w:pPr>
              <w:ind w:left="360"/>
              <w:spacing w:after="0"/>
              <w:rPr>
                <w:sz w:val="20"/>
                <w:szCs w:val="20"/>
                <w:color w:val="auto"/>
              </w:rPr>
            </w:pPr>
            <w:r>
              <w:rPr>
                <w:rFonts w:ascii="Arial" w:cs="Arial" w:eastAsia="Arial" w:hAnsi="Arial"/>
                <w:sz w:val="16"/>
                <w:szCs w:val="16"/>
                <w:color w:val="auto"/>
              </w:rPr>
              <w:t>Depreciation and amortization</w:t>
            </w:r>
          </w:p>
        </w:tc>
        <w:tc>
          <w:tcPr>
            <w:tcW w:w="1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1,006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971</w:t>
            </w:r>
          </w:p>
        </w:tc>
      </w:tr>
      <w:tr>
        <w:trPr>
          <w:trHeight w:val="217"/>
        </w:trPr>
        <w:tc>
          <w:tcPr>
            <w:tcW w:w="75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Stock-based compensation expense</w:t>
            </w:r>
          </w:p>
        </w:tc>
        <w:tc>
          <w:tcPr>
            <w:tcW w:w="1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w:t>
            </w:r>
          </w:p>
        </w:tc>
      </w:tr>
      <w:tr>
        <w:trPr>
          <w:trHeight w:val="215"/>
        </w:trPr>
        <w:tc>
          <w:tcPr>
            <w:tcW w:w="7520" w:type="dxa"/>
            <w:vAlign w:val="bottom"/>
          </w:tcPr>
          <w:p>
            <w:pPr>
              <w:ind w:left="360"/>
              <w:spacing w:after="0"/>
              <w:rPr>
                <w:sz w:val="20"/>
                <w:szCs w:val="20"/>
                <w:color w:val="auto"/>
              </w:rPr>
            </w:pPr>
            <w:r>
              <w:rPr>
                <w:rFonts w:ascii="Arial" w:cs="Arial" w:eastAsia="Arial" w:hAnsi="Arial"/>
                <w:sz w:val="16"/>
                <w:szCs w:val="16"/>
                <w:color w:val="auto"/>
              </w:rPr>
              <w:t>Deferred income tax (benefit)/provision</w:t>
            </w:r>
          </w:p>
        </w:tc>
        <w:tc>
          <w:tcPr>
            <w:tcW w:w="1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(158)</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167</w:t>
            </w:r>
          </w:p>
        </w:tc>
      </w:tr>
      <w:tr>
        <w:trPr>
          <w:trHeight w:val="217"/>
        </w:trPr>
        <w:tc>
          <w:tcPr>
            <w:tcW w:w="75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Asset impairments and accelerated depreciation</w:t>
            </w:r>
          </w:p>
        </w:tc>
        <w:tc>
          <w:tcPr>
            <w:tcW w:w="1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w:t>
            </w:r>
          </w:p>
        </w:tc>
      </w:tr>
      <w:tr>
        <w:trPr>
          <w:trHeight w:val="215"/>
        </w:trPr>
        <w:tc>
          <w:tcPr>
            <w:tcW w:w="7520" w:type="dxa"/>
            <w:vAlign w:val="bottom"/>
          </w:tcPr>
          <w:p>
            <w:pPr>
              <w:ind w:left="360"/>
              <w:spacing w:after="0"/>
              <w:rPr>
                <w:sz w:val="20"/>
                <w:szCs w:val="20"/>
                <w:color w:val="auto"/>
              </w:rPr>
            </w:pPr>
            <w:r>
              <w:rPr>
                <w:rFonts w:ascii="Arial" w:cs="Arial" w:eastAsia="Arial" w:hAnsi="Arial"/>
                <w:sz w:val="16"/>
                <w:szCs w:val="16"/>
                <w:color w:val="auto"/>
              </w:rPr>
              <w:t>Loss on equity method investment transactions</w:t>
            </w:r>
          </w:p>
        </w:tc>
        <w:tc>
          <w:tcPr>
            <w:tcW w:w="114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669</w:t>
            </w:r>
          </w:p>
        </w:tc>
      </w:tr>
      <w:tr>
        <w:trPr>
          <w:trHeight w:val="217"/>
        </w:trPr>
        <w:tc>
          <w:tcPr>
            <w:tcW w:w="75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Equity method investment net earnings</w:t>
            </w:r>
          </w:p>
        </w:tc>
        <w:tc>
          <w:tcPr>
            <w:tcW w:w="1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w:t>
            </w:r>
          </w:p>
        </w:tc>
      </w:tr>
      <w:tr>
        <w:trPr>
          <w:trHeight w:val="215"/>
        </w:trPr>
        <w:tc>
          <w:tcPr>
            <w:tcW w:w="7520" w:type="dxa"/>
            <w:vAlign w:val="bottom"/>
          </w:tcPr>
          <w:p>
            <w:pPr>
              <w:ind w:left="360"/>
              <w:spacing w:after="0"/>
              <w:rPr>
                <w:sz w:val="20"/>
                <w:szCs w:val="20"/>
                <w:color w:val="auto"/>
              </w:rPr>
            </w:pPr>
            <w:r>
              <w:rPr>
                <w:rFonts w:ascii="Arial" w:cs="Arial" w:eastAsia="Arial" w:hAnsi="Arial"/>
                <w:sz w:val="16"/>
                <w:szCs w:val="16"/>
                <w:color w:val="auto"/>
              </w:rPr>
              <w:t>Distributions from equity method investments</w:t>
            </w:r>
          </w:p>
        </w:tc>
        <w:tc>
          <w:tcPr>
            <w:tcW w:w="1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115</w:t>
            </w:r>
          </w:p>
        </w:tc>
      </w:tr>
      <w:tr>
        <w:trPr>
          <w:trHeight w:val="217"/>
        </w:trPr>
        <w:tc>
          <w:tcPr>
            <w:tcW w:w="75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Unrealized loss on derivative contracts</w:t>
            </w:r>
          </w:p>
        </w:tc>
        <w:tc>
          <w:tcPr>
            <w:tcW w:w="1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1,161</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w:t>
            </w:r>
          </w:p>
        </w:tc>
      </w:tr>
      <w:tr>
        <w:trPr>
          <w:trHeight w:val="215"/>
        </w:trPr>
        <w:tc>
          <w:tcPr>
            <w:tcW w:w="7520" w:type="dxa"/>
            <w:vAlign w:val="bottom"/>
          </w:tcPr>
          <w:p>
            <w:pPr>
              <w:ind w:left="360"/>
              <w:spacing w:after="0"/>
              <w:rPr>
                <w:sz w:val="20"/>
                <w:szCs w:val="20"/>
                <w:color w:val="auto"/>
              </w:rPr>
            </w:pPr>
            <w:r>
              <w:rPr>
                <w:rFonts w:ascii="Arial" w:cs="Arial" w:eastAsia="Arial" w:hAnsi="Arial"/>
                <w:sz w:val="16"/>
                <w:szCs w:val="16"/>
                <w:color w:val="auto"/>
              </w:rPr>
              <w:t>Contingent consideration adjustments</w:t>
            </w:r>
          </w:p>
        </w:tc>
        <w:tc>
          <w:tcPr>
            <w:tcW w:w="1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(311)</w:t>
            </w:r>
          </w:p>
        </w:tc>
      </w:tr>
      <w:tr>
        <w:trPr>
          <w:trHeight w:val="217"/>
        </w:trPr>
        <w:tc>
          <w:tcPr>
            <w:tcW w:w="75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non-cash items, net</w:t>
            </w:r>
          </w:p>
        </w:tc>
        <w:tc>
          <w:tcPr>
            <w:tcW w:w="1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w:t>
            </w:r>
          </w:p>
        </w:tc>
      </w:tr>
      <w:tr>
        <w:trPr>
          <w:trHeight w:val="162"/>
        </w:trPr>
        <w:tc>
          <w:tcPr>
            <w:tcW w:w="7520" w:type="dxa"/>
            <w:vAlign w:val="bottom"/>
          </w:tcPr>
          <w:p>
            <w:pPr>
              <w:ind w:left="360"/>
              <w:spacing w:after="0" w:line="162" w:lineRule="exact"/>
              <w:rPr>
                <w:sz w:val="20"/>
                <w:szCs w:val="20"/>
                <w:color w:val="auto"/>
              </w:rPr>
            </w:pPr>
            <w:r>
              <w:rPr>
                <w:rFonts w:ascii="Arial" w:cs="Arial" w:eastAsia="Arial" w:hAnsi="Arial"/>
                <w:sz w:val="16"/>
                <w:szCs w:val="16"/>
                <w:color w:val="auto"/>
              </w:rPr>
              <w:t>Change in assets and liabilities,</w:t>
            </w:r>
          </w:p>
        </w:tc>
        <w:tc>
          <w:tcPr>
            <w:tcW w:w="1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215"/>
        </w:trPr>
        <w:tc>
          <w:tcPr>
            <w:tcW w:w="7520" w:type="dxa"/>
            <w:vAlign w:val="bottom"/>
          </w:tcPr>
          <w:p>
            <w:pPr>
              <w:ind w:left="480"/>
              <w:spacing w:after="0"/>
              <w:rPr>
                <w:sz w:val="20"/>
                <w:szCs w:val="20"/>
                <w:color w:val="auto"/>
              </w:rPr>
            </w:pPr>
            <w:r>
              <w:rPr>
                <w:rFonts w:ascii="Arial" w:cs="Arial" w:eastAsia="Arial" w:hAnsi="Arial"/>
                <w:sz w:val="16"/>
                <w:szCs w:val="16"/>
                <w:color w:val="auto"/>
              </w:rPr>
              <w:t>net of acquisitions and divestitures:</w:t>
            </w:r>
          </w:p>
        </w:tc>
        <w:tc>
          <w:tcPr>
            <w:tcW w:w="1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7"/>
        </w:trPr>
        <w:tc>
          <w:tcPr>
            <w:tcW w:w="7520" w:type="dxa"/>
            <w:vAlign w:val="bottom"/>
            <w:shd w:val="clear" w:color="auto" w:fill="CCEEFF"/>
          </w:tcPr>
          <w:p>
            <w:pPr>
              <w:ind w:left="560"/>
              <w:spacing w:after="0"/>
              <w:rPr>
                <w:sz w:val="20"/>
                <w:szCs w:val="20"/>
                <w:color w:val="auto"/>
              </w:rPr>
            </w:pPr>
            <w:r>
              <w:rPr>
                <w:rFonts w:ascii="Arial" w:cs="Arial" w:eastAsia="Arial" w:hAnsi="Arial"/>
                <w:sz w:val="16"/>
                <w:szCs w:val="16"/>
                <w:color w:val="auto"/>
              </w:rPr>
              <w:t>Receivables, net</w:t>
            </w:r>
          </w:p>
        </w:tc>
        <w:tc>
          <w:tcPr>
            <w:tcW w:w="1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w:t>
            </w:r>
          </w:p>
        </w:tc>
      </w:tr>
      <w:tr>
        <w:trPr>
          <w:trHeight w:val="215"/>
        </w:trPr>
        <w:tc>
          <w:tcPr>
            <w:tcW w:w="7520" w:type="dxa"/>
            <w:vAlign w:val="bottom"/>
          </w:tcPr>
          <w:p>
            <w:pPr>
              <w:ind w:left="560"/>
              <w:spacing w:after="0"/>
              <w:rPr>
                <w:sz w:val="20"/>
                <w:szCs w:val="20"/>
                <w:color w:val="auto"/>
              </w:rPr>
            </w:pPr>
            <w:r>
              <w:rPr>
                <w:rFonts w:ascii="Arial" w:cs="Arial" w:eastAsia="Arial" w:hAnsi="Arial"/>
                <w:sz w:val="16"/>
                <w:szCs w:val="16"/>
                <w:color w:val="auto"/>
              </w:rPr>
              <w:t>Inventories, net</w:t>
            </w:r>
          </w:p>
        </w:tc>
        <w:tc>
          <w:tcPr>
            <w:tcW w:w="1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(967)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(710)</w:t>
            </w:r>
          </w:p>
        </w:tc>
      </w:tr>
      <w:tr>
        <w:trPr>
          <w:trHeight w:val="217"/>
        </w:trPr>
        <w:tc>
          <w:tcPr>
            <w:tcW w:w="7520" w:type="dxa"/>
            <w:vAlign w:val="bottom"/>
            <w:shd w:val="clear" w:color="auto" w:fill="CCEEFF"/>
          </w:tcPr>
          <w:p>
            <w:pPr>
              <w:ind w:left="560"/>
              <w:spacing w:after="0"/>
              <w:rPr>
                <w:sz w:val="20"/>
                <w:szCs w:val="20"/>
                <w:color w:val="auto"/>
              </w:rPr>
            </w:pPr>
            <w:r>
              <w:rPr>
                <w:rFonts w:ascii="Arial" w:cs="Arial" w:eastAsia="Arial" w:hAnsi="Arial"/>
                <w:sz w:val="16"/>
                <w:szCs w:val="16"/>
                <w:color w:val="auto"/>
              </w:rPr>
              <w:t>Accounts payable</w:t>
            </w:r>
          </w:p>
        </w:tc>
        <w:tc>
          <w:tcPr>
            <w:tcW w:w="1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951</w:t>
            </w:r>
          </w:p>
        </w:tc>
      </w:tr>
      <w:tr>
        <w:trPr>
          <w:trHeight w:val="215"/>
        </w:trPr>
        <w:tc>
          <w:tcPr>
            <w:tcW w:w="7520" w:type="dxa"/>
            <w:vAlign w:val="bottom"/>
          </w:tcPr>
          <w:p>
            <w:pPr>
              <w:ind w:left="560"/>
              <w:spacing w:after="0"/>
              <w:rPr>
                <w:sz w:val="20"/>
                <w:szCs w:val="20"/>
                <w:color w:val="auto"/>
              </w:rPr>
            </w:pPr>
            <w:r>
              <w:rPr>
                <w:rFonts w:ascii="Arial" w:cs="Arial" w:eastAsia="Arial" w:hAnsi="Arial"/>
                <w:sz w:val="16"/>
                <w:szCs w:val="16"/>
                <w:color w:val="auto"/>
              </w:rPr>
              <w:t>Other current assets</w:t>
            </w:r>
          </w:p>
        </w:tc>
        <w:tc>
          <w:tcPr>
            <w:tcW w:w="1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(287)</w:t>
            </w:r>
          </w:p>
        </w:tc>
      </w:tr>
      <w:tr>
        <w:trPr>
          <w:trHeight w:val="217"/>
        </w:trPr>
        <w:tc>
          <w:tcPr>
            <w:tcW w:w="7520" w:type="dxa"/>
            <w:vAlign w:val="bottom"/>
            <w:shd w:val="clear" w:color="auto" w:fill="CCEEFF"/>
          </w:tcPr>
          <w:p>
            <w:pPr>
              <w:ind w:left="560"/>
              <w:spacing w:after="0"/>
              <w:rPr>
                <w:sz w:val="20"/>
                <w:szCs w:val="20"/>
                <w:color w:val="auto"/>
              </w:rPr>
            </w:pPr>
            <w:r>
              <w:rPr>
                <w:rFonts w:ascii="Arial" w:cs="Arial" w:eastAsia="Arial" w:hAnsi="Arial"/>
                <w:sz w:val="16"/>
                <w:szCs w:val="16"/>
                <w:color w:val="auto"/>
              </w:rPr>
              <w:t>Other current liabilities</w:t>
            </w:r>
          </w:p>
        </w:tc>
        <w:tc>
          <w:tcPr>
            <w:tcW w:w="1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(903)</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(992)</w:t>
            </w:r>
          </w:p>
        </w:tc>
      </w:tr>
      <w:tr>
        <w:trPr>
          <w:trHeight w:val="215"/>
        </w:trPr>
        <w:tc>
          <w:tcPr>
            <w:tcW w:w="752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Change in pension and postretirement assets and liabilities, net</w:t>
            </w:r>
          </w:p>
        </w:tc>
        <w:tc>
          <w:tcPr>
            <w:tcW w:w="1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249</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w:t>
            </w:r>
          </w:p>
        </w:tc>
      </w:tr>
      <w:tr>
        <w:trPr>
          <w:trHeight w:val="210"/>
        </w:trPr>
        <w:tc>
          <w:tcPr>
            <w:tcW w:w="7520" w:type="dxa"/>
            <w:vAlign w:val="bottom"/>
            <w:shd w:val="clear" w:color="auto" w:fill="CCEEFF"/>
          </w:tcPr>
          <w:p>
            <w:pPr>
              <w:ind w:left="560"/>
              <w:spacing w:after="0"/>
              <w:rPr>
                <w:sz w:val="20"/>
                <w:szCs w:val="20"/>
                <w:color w:val="auto"/>
              </w:rPr>
            </w:pPr>
            <w:r>
              <w:rPr>
                <w:rFonts w:ascii="Arial" w:cs="Arial" w:eastAsia="Arial" w:hAnsi="Arial"/>
                <w:sz w:val="16"/>
                <w:szCs w:val="16"/>
                <w:color w:val="auto"/>
              </w:rPr>
              <w:t>Net cash provided by operating activities</w:t>
            </w:r>
          </w:p>
        </w:tc>
        <w:tc>
          <w:tcPr>
            <w:tcW w:w="1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2,117</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3,451</w:t>
            </w:r>
          </w:p>
        </w:tc>
      </w:tr>
      <w:tr>
        <w:trPr>
          <w:trHeight w:val="195"/>
        </w:trPr>
        <w:tc>
          <w:tcPr>
            <w:tcW w:w="7520" w:type="dxa"/>
            <w:vAlign w:val="bottom"/>
          </w:tcPr>
          <w:p>
            <w:pPr>
              <w:ind w:left="20"/>
              <w:spacing w:after="0"/>
              <w:rPr>
                <w:sz w:val="20"/>
                <w:szCs w:val="20"/>
                <w:color w:val="auto"/>
              </w:rPr>
            </w:pPr>
            <w:r>
              <w:rPr>
                <w:rFonts w:ascii="Arial" w:cs="Arial" w:eastAsia="Arial" w:hAnsi="Arial"/>
                <w:sz w:val="16"/>
                <w:szCs w:val="16"/>
                <w:color w:val="auto"/>
              </w:rPr>
              <w:t>CASH PROVIDED BY/(USED IN) INVESTING ACTIVITIES</w:t>
            </w:r>
          </w:p>
        </w:tc>
        <w:tc>
          <w:tcPr>
            <w:tcW w:w="1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217"/>
        </w:trPr>
        <w:tc>
          <w:tcPr>
            <w:tcW w:w="75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Capital expenditures</w:t>
            </w:r>
          </w:p>
        </w:tc>
        <w:tc>
          <w:tcPr>
            <w:tcW w:w="1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(881)</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(982)</w:t>
            </w:r>
          </w:p>
        </w:tc>
      </w:tr>
      <w:tr>
        <w:trPr>
          <w:trHeight w:val="215"/>
        </w:trPr>
        <w:tc>
          <w:tcPr>
            <w:tcW w:w="7520" w:type="dxa"/>
            <w:vAlign w:val="bottom"/>
          </w:tcPr>
          <w:p>
            <w:pPr>
              <w:ind w:left="140"/>
              <w:spacing w:after="0"/>
              <w:rPr>
                <w:sz w:val="20"/>
                <w:szCs w:val="20"/>
                <w:color w:val="auto"/>
              </w:rPr>
            </w:pPr>
            <w:r>
              <w:rPr>
                <w:rFonts w:ascii="Arial" w:cs="Arial" w:eastAsia="Arial" w:hAnsi="Arial"/>
                <w:sz w:val="16"/>
                <w:szCs w:val="16"/>
                <w:color w:val="auto"/>
              </w:rPr>
              <w:t>Acquisitions, net of cash received</w:t>
            </w:r>
          </w:p>
        </w:tc>
        <w:tc>
          <w:tcPr>
            <w:tcW w:w="1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75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Proceeds from divestitures</w:t>
            </w:r>
          </w:p>
        </w:tc>
        <w:tc>
          <w:tcPr>
            <w:tcW w:w="1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r>
      <w:tr>
        <w:trPr>
          <w:trHeight w:val="215"/>
        </w:trPr>
        <w:tc>
          <w:tcPr>
            <w:tcW w:w="7520" w:type="dxa"/>
            <w:vAlign w:val="bottom"/>
          </w:tcPr>
          <w:p>
            <w:pPr>
              <w:ind w:left="140"/>
              <w:spacing w:after="0"/>
              <w:rPr>
                <w:sz w:val="20"/>
                <w:szCs w:val="20"/>
                <w:color w:val="auto"/>
              </w:rPr>
            </w:pPr>
            <w:r>
              <w:rPr>
                <w:rFonts w:ascii="Arial" w:cs="Arial" w:eastAsia="Arial" w:hAnsi="Arial"/>
                <w:sz w:val="16"/>
                <w:szCs w:val="16"/>
                <w:color w:val="auto"/>
              </w:rPr>
              <w:t>Proceeds from derivative settlements</w:t>
            </w:r>
          </w:p>
        </w:tc>
        <w:tc>
          <w:tcPr>
            <w:tcW w:w="1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191</w:t>
            </w:r>
          </w:p>
        </w:tc>
      </w:tr>
      <w:tr>
        <w:trPr>
          <w:trHeight w:val="217"/>
        </w:trPr>
        <w:tc>
          <w:tcPr>
            <w:tcW w:w="75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Payments for derivative settlements</w:t>
            </w:r>
          </w:p>
        </w:tc>
        <w:tc>
          <w:tcPr>
            <w:tcW w:w="1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w:t>
            </w:r>
          </w:p>
        </w:tc>
      </w:tr>
      <w:tr>
        <w:trPr>
          <w:trHeight w:val="215"/>
        </w:trPr>
        <w:tc>
          <w:tcPr>
            <w:tcW w:w="7520" w:type="dxa"/>
            <w:vAlign w:val="bottom"/>
          </w:tcPr>
          <w:p>
            <w:pPr>
              <w:ind w:left="140"/>
              <w:spacing w:after="0"/>
              <w:rPr>
                <w:sz w:val="20"/>
                <w:szCs w:val="20"/>
                <w:color w:val="auto"/>
              </w:rPr>
            </w:pPr>
            <w:r>
              <w:rPr>
                <w:rFonts w:ascii="Arial" w:cs="Arial" w:eastAsia="Arial" w:hAnsi="Arial"/>
                <w:sz w:val="16"/>
                <w:szCs w:val="16"/>
                <w:color w:val="auto"/>
              </w:rPr>
              <w:t>Proceeds from/(contributions to) investments</w:t>
            </w:r>
          </w:p>
        </w:tc>
        <w:tc>
          <w:tcPr>
            <w:tcW w:w="1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(249)</w:t>
            </w:r>
          </w:p>
        </w:tc>
      </w:tr>
      <w:tr>
        <w:trPr>
          <w:trHeight w:val="217"/>
        </w:trPr>
        <w:tc>
          <w:tcPr>
            <w:tcW w:w="75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Proceeds from sales of property, plant and equipment and other</w:t>
            </w:r>
          </w:p>
        </w:tc>
        <w:tc>
          <w:tcPr>
            <w:tcW w:w="1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w:t>
            </w:r>
          </w:p>
        </w:tc>
      </w:tr>
      <w:tr>
        <w:trPr>
          <w:trHeight w:val="209"/>
        </w:trPr>
        <w:tc>
          <w:tcPr>
            <w:tcW w:w="7520" w:type="dxa"/>
            <w:vAlign w:val="bottom"/>
            <w:tcBorders>
              <w:bottom w:val="single" w:sz="8" w:color="CCEEFF"/>
            </w:tcBorders>
          </w:tcPr>
          <w:p>
            <w:pPr>
              <w:ind w:left="560"/>
              <w:spacing w:after="0"/>
              <w:rPr>
                <w:sz w:val="20"/>
                <w:szCs w:val="20"/>
                <w:color w:val="auto"/>
              </w:rPr>
            </w:pPr>
            <w:r>
              <w:rPr>
                <w:rFonts w:ascii="Arial" w:cs="Arial" w:eastAsia="Arial" w:hAnsi="Arial"/>
                <w:sz w:val="16"/>
                <w:szCs w:val="16"/>
                <w:color w:val="auto"/>
              </w:rPr>
              <w:t>Net cash used in investing activities</w:t>
            </w:r>
          </w:p>
        </w:tc>
        <w:tc>
          <w:tcPr>
            <w:tcW w:w="1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(930)</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(1,170)</w:t>
            </w:r>
          </w:p>
        </w:tc>
      </w:tr>
      <w:tr>
        <w:trPr>
          <w:trHeight w:val="197"/>
        </w:trPr>
        <w:tc>
          <w:tcPr>
            <w:tcW w:w="7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PROVIDED BY/(USED IN) FINANCING ACTIVITIES</w:t>
            </w:r>
          </w:p>
        </w:tc>
        <w:tc>
          <w:tcPr>
            <w:tcW w:w="1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r>
      <w:tr>
        <w:trPr>
          <w:trHeight w:val="215"/>
        </w:trPr>
        <w:tc>
          <w:tcPr>
            <w:tcW w:w="7520" w:type="dxa"/>
            <w:vAlign w:val="bottom"/>
          </w:tcPr>
          <w:p>
            <w:pPr>
              <w:ind w:left="140"/>
              <w:spacing w:after="0"/>
              <w:rPr>
                <w:sz w:val="20"/>
                <w:szCs w:val="20"/>
                <w:color w:val="auto"/>
              </w:rPr>
            </w:pPr>
            <w:r>
              <w:rPr>
                <w:rFonts w:ascii="Arial" w:cs="Arial" w:eastAsia="Arial" w:hAnsi="Arial"/>
                <w:sz w:val="16"/>
                <w:szCs w:val="16"/>
                <w:color w:val="auto"/>
              </w:rPr>
              <w:t>Net issuance of short-term borrowings</w:t>
            </w:r>
          </w:p>
        </w:tc>
        <w:tc>
          <w:tcPr>
            <w:tcW w:w="1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2,569</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1,065</w:t>
            </w:r>
          </w:p>
        </w:tc>
      </w:tr>
      <w:tr>
        <w:trPr>
          <w:trHeight w:val="217"/>
        </w:trPr>
        <w:tc>
          <w:tcPr>
            <w:tcW w:w="75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Long-term debt proceeds</w:t>
            </w:r>
          </w:p>
        </w:tc>
        <w:tc>
          <w:tcPr>
            <w:tcW w:w="1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1,594</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1,671</w:t>
            </w:r>
          </w:p>
        </w:tc>
      </w:tr>
      <w:tr>
        <w:trPr>
          <w:trHeight w:val="215"/>
        </w:trPr>
        <w:tc>
          <w:tcPr>
            <w:tcW w:w="7520" w:type="dxa"/>
            <w:vAlign w:val="bottom"/>
          </w:tcPr>
          <w:p>
            <w:pPr>
              <w:ind w:left="140"/>
              <w:spacing w:after="0"/>
              <w:rPr>
                <w:sz w:val="20"/>
                <w:szCs w:val="20"/>
                <w:color w:val="auto"/>
              </w:rPr>
            </w:pPr>
            <w:r>
              <w:rPr>
                <w:rFonts w:ascii="Arial" w:cs="Arial" w:eastAsia="Arial" w:hAnsi="Arial"/>
                <w:sz w:val="16"/>
                <w:szCs w:val="16"/>
                <w:color w:val="auto"/>
              </w:rPr>
              <w:t>Long-term debt repayments</w:t>
            </w:r>
          </w:p>
        </w:tc>
        <w:tc>
          <w:tcPr>
            <w:tcW w:w="1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(1,782)</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(2,517)</w:t>
            </w:r>
          </w:p>
        </w:tc>
      </w:tr>
      <w:tr>
        <w:trPr>
          <w:trHeight w:val="217"/>
        </w:trPr>
        <w:tc>
          <w:tcPr>
            <w:tcW w:w="75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Repurchases of Common Stock</w:t>
            </w:r>
          </w:p>
        </w:tc>
        <w:tc>
          <w:tcPr>
            <w:tcW w:w="1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(1,893)</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(1,187)</w:t>
            </w:r>
          </w:p>
        </w:tc>
      </w:tr>
      <w:tr>
        <w:trPr>
          <w:trHeight w:val="215"/>
        </w:trPr>
        <w:tc>
          <w:tcPr>
            <w:tcW w:w="7520" w:type="dxa"/>
            <w:vAlign w:val="bottom"/>
          </w:tcPr>
          <w:p>
            <w:pPr>
              <w:ind w:left="140"/>
              <w:spacing w:after="0"/>
              <w:rPr>
                <w:sz w:val="20"/>
                <w:szCs w:val="20"/>
                <w:color w:val="auto"/>
              </w:rPr>
            </w:pPr>
            <w:r>
              <w:rPr>
                <w:rFonts w:ascii="Arial" w:cs="Arial" w:eastAsia="Arial" w:hAnsi="Arial"/>
                <w:sz w:val="16"/>
                <w:szCs w:val="16"/>
                <w:color w:val="auto"/>
              </w:rPr>
              <w:t>Dividends paid</w:t>
            </w:r>
          </w:p>
        </w:tc>
        <w:tc>
          <w:tcPr>
            <w:tcW w:w="1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(1,842)</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(1,722)</w:t>
            </w:r>
          </w:p>
        </w:tc>
      </w:tr>
      <w:tr>
        <w:trPr>
          <w:trHeight w:val="217"/>
        </w:trPr>
        <w:tc>
          <w:tcPr>
            <w:tcW w:w="75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w:t>
            </w:r>
          </w:p>
        </w:tc>
        <w:tc>
          <w:tcPr>
            <w:tcW w:w="1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w:t>
            </w:r>
          </w:p>
        </w:tc>
      </w:tr>
      <w:tr>
        <w:trPr>
          <w:trHeight w:val="209"/>
        </w:trPr>
        <w:tc>
          <w:tcPr>
            <w:tcW w:w="7520" w:type="dxa"/>
            <w:vAlign w:val="bottom"/>
            <w:tcBorders>
              <w:bottom w:val="single" w:sz="8" w:color="CCEEFF"/>
            </w:tcBorders>
          </w:tcPr>
          <w:p>
            <w:pPr>
              <w:ind w:left="560"/>
              <w:spacing w:after="0"/>
              <w:rPr>
                <w:sz w:val="20"/>
                <w:szCs w:val="20"/>
                <w:color w:val="auto"/>
              </w:rPr>
            </w:pPr>
            <w:r>
              <w:rPr>
                <w:rFonts w:ascii="Arial" w:cs="Arial" w:eastAsia="Arial" w:hAnsi="Arial"/>
                <w:sz w:val="16"/>
                <w:szCs w:val="16"/>
                <w:color w:val="auto"/>
              </w:rPr>
              <w:t>Net cash used in financing activities</w:t>
            </w:r>
          </w:p>
        </w:tc>
        <w:tc>
          <w:tcPr>
            <w:tcW w:w="1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(1,346)</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(2,558)</w:t>
            </w:r>
          </w:p>
        </w:tc>
      </w:tr>
      <w:tr>
        <w:trPr>
          <w:trHeight w:val="210"/>
        </w:trPr>
        <w:tc>
          <w:tcPr>
            <w:tcW w:w="7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 of exchange rate changes on cash, cash equivalents and restricted cash</w:t>
            </w:r>
          </w:p>
        </w:tc>
        <w:tc>
          <w:tcPr>
            <w:tcW w:w="1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225</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w:t>
            </w:r>
          </w:p>
        </w:tc>
      </w:tr>
      <w:tr>
        <w:trPr>
          <w:trHeight w:val="195"/>
        </w:trPr>
        <w:tc>
          <w:tcPr>
            <w:tcW w:w="7520" w:type="dxa"/>
            <w:vAlign w:val="bottom"/>
          </w:tcPr>
          <w:p>
            <w:pPr>
              <w:ind w:left="20"/>
              <w:spacing w:after="0"/>
              <w:rPr>
                <w:sz w:val="20"/>
                <w:szCs w:val="20"/>
                <w:color w:val="auto"/>
              </w:rPr>
            </w:pPr>
            <w:r>
              <w:rPr>
                <w:rFonts w:ascii="Arial" w:cs="Arial" w:eastAsia="Arial" w:hAnsi="Arial"/>
                <w:sz w:val="16"/>
                <w:szCs w:val="16"/>
                <w:color w:val="auto"/>
              </w:rPr>
              <w:t>Cash, cash equivalents and restricted cash:</w:t>
            </w:r>
          </w:p>
        </w:tc>
        <w:tc>
          <w:tcPr>
            <w:tcW w:w="1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217"/>
        </w:trPr>
        <w:tc>
          <w:tcPr>
            <w:tcW w:w="75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Increase/(decrease)</w:t>
            </w:r>
          </w:p>
        </w:tc>
        <w:tc>
          <w:tcPr>
            <w:tcW w:w="1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(311)</w:t>
            </w:r>
          </w:p>
        </w:tc>
      </w:tr>
      <w:tr>
        <w:trPr>
          <w:trHeight w:val="215"/>
        </w:trPr>
        <w:tc>
          <w:tcPr>
            <w:tcW w:w="75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Balance at beginning of period</w:t>
            </w:r>
          </w:p>
        </w:tc>
        <w:tc>
          <w:tcPr>
            <w:tcW w:w="1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1,400</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1,884</w:t>
            </w:r>
          </w:p>
        </w:tc>
      </w:tr>
      <w:tr>
        <w:trPr>
          <w:trHeight w:val="235"/>
        </w:trPr>
        <w:tc>
          <w:tcPr>
            <w:tcW w:w="75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Balance at end of period</w:t>
            </w:r>
          </w:p>
        </w:tc>
        <w:tc>
          <w:tcPr>
            <w:tcW w:w="1140" w:type="dxa"/>
            <w:vAlign w:val="bottom"/>
            <w:tcBorders>
              <w:bottom w:val="single" w:sz="8" w:color="auto"/>
            </w:tcBorders>
            <w:shd w:val="clear" w:color="auto" w:fill="CCEEFF"/>
          </w:tcPr>
          <w:p>
            <w:pPr>
              <w:jc w:val="right"/>
              <w:ind w:right="962"/>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1,466</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1,573</w:t>
            </w: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6845935</wp:posOffset>
            </wp:positionH>
            <wp:positionV relativeFrom="paragraph">
              <wp:posOffset>52070</wp:posOffset>
            </wp:positionV>
            <wp:extent cx="282575" cy="1885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279400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4" w:right="37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Mondelēz International,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w:t>
      </w:r>
    </w:p>
    <w:p>
      <w:pPr>
        <w:spacing w:after="0" w:line="23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interim condensed consolidated financial statements are unaudited. Certain information and footnote disclosures normally included in annual financial statements prepared in accordance with accounting principles generally accepted in the United States of America (“U.S. GAAP”) have been omitted. It is management’s opinion that these financial statements include all normal and recurring adjustments necessary for a fair presentation of our results of operations, financial position and cash flows. Results of operations for any interim period are not necessarily indicative of future or annual results. For a complete set of consolidated financial statements and related notes, refer to our Annual Report on Form 10-K for the year ended December 31, 2024.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Principles of Consolidation</w:t>
      </w:r>
    </w:p>
    <w:p>
      <w:pPr>
        <w:spacing w:after="0" w:line="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condensed consolidated financial statements include Mondelēz International, Inc. as well as our wholly owned and majority owned subsidiaries, except our Venezuelan subsidiaries that were deconsolidated in 2015. All intercompany transactions are eliminated. The noncontrolling interest represents the noncontrolling investors' interests in the results of subsidiaries that we control and consolidate. We account for investments in common stock or in-substance common stock over which we exercise significant influence under the equity method of accounting.</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Highly Inflationary Accounting</w:t>
      </w:r>
    </w:p>
    <w:p>
      <w:pPr>
        <w:spacing w:after="0" w:line="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Within our consolidated entities, Argentina, Türkiye, Egypt and Nigeria are accounted for as highly inflationary countries. Argentina, Türkiye, Egypt and Nigeria represent 1.1%, 0.6%, 0.5% and 0.3%, respectively, of our consolidated net revenues for the three months ended September 30, 2025 and 1.4%, 0.7%, 0.5% and 0.3% of our consolidated net revenues for the nine months ended September 30, 2025. The aggregate losses from remeasurements of monetary assets and liabilities into our reporting currency for the highly inflationary countries were $9 million and $9 million for the three months ended September 30, 2025 and 2024, respectively, and $ 24 million and $26 million for the nine months ended September 30, 2025 and 2024, respectively. Given the continued volatility of these currencies, impacts to our financial statements in future periods could be significantly different from historical levels.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Cash Equivalents and Restricted Cash</w:t>
      </w:r>
    </w:p>
    <w:p>
      <w:pPr>
        <w:spacing w:after="0" w:line="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Cash and cash equivalents include demand deposits with banks and all highly liquid investments with original maturities of three months or less. Restricted cash primarily includes cash held on behalf of financial institutions in accordance with accounts receivable factoring arrangements and letters of credit arrangements with legally restricted cash collateral provisions. Restricted cash is recorded within other current assets and was $99 million as of September 30, 2025 and $49 million as of December 31, 2024. Total cash, cash equivalents and restricted cash was $1,466 million as of September 30, 2025 and $1,400 million as of December 31, 2024.</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Allowances for Credit Losses</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Changes in allowances for credit losses consisted of:</w:t>
      </w:r>
    </w:p>
    <w:p>
      <w:pPr>
        <w:spacing w:after="0" w:line="11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Allowance for</w:t>
            </w:r>
          </w:p>
        </w:tc>
        <w:tc>
          <w:tcPr>
            <w:tcW w:w="180" w:type="dxa"/>
            <w:vAlign w:val="bottom"/>
          </w:tcPr>
          <w:p>
            <w:pPr>
              <w:spacing w:after="0"/>
              <w:rPr>
                <w:sz w:val="14"/>
                <w:szCs w:val="14"/>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Allowance for</w:t>
            </w:r>
          </w:p>
        </w:tc>
        <w:tc>
          <w:tcPr>
            <w:tcW w:w="180" w:type="dxa"/>
            <w:vAlign w:val="bottom"/>
          </w:tcPr>
          <w:p>
            <w:pPr>
              <w:spacing w:after="0"/>
              <w:rPr>
                <w:sz w:val="14"/>
                <w:szCs w:val="14"/>
                <w:color w:val="auto"/>
              </w:rPr>
            </w:pPr>
          </w:p>
        </w:tc>
        <w:tc>
          <w:tcPr>
            <w:tcW w:w="1200" w:type="dxa"/>
            <w:vAlign w:val="bottom"/>
          </w:tcPr>
          <w:p>
            <w:pPr>
              <w:jc w:val="center"/>
              <w:ind w:right="97"/>
              <w:spacing w:after="0"/>
              <w:rPr>
                <w:sz w:val="20"/>
                <w:szCs w:val="20"/>
                <w:color w:val="auto"/>
              </w:rPr>
            </w:pPr>
            <w:r>
              <w:rPr>
                <w:rFonts w:ascii="Arial" w:cs="Arial" w:eastAsia="Arial" w:hAnsi="Arial"/>
                <w:sz w:val="14"/>
                <w:szCs w:val="14"/>
                <w:b w:val="1"/>
                <w:bCs w:val="1"/>
                <w:color w:val="auto"/>
              </w:rPr>
              <w:t>Allowance for</w:t>
            </w:r>
          </w:p>
        </w:tc>
        <w:tc>
          <w:tcPr>
            <w:tcW w:w="0" w:type="dxa"/>
            <w:vAlign w:val="bottom"/>
          </w:tcPr>
          <w:p>
            <w:pPr>
              <w:spacing w:after="0"/>
              <w:rPr>
                <w:sz w:val="1"/>
                <w:szCs w:val="1"/>
                <w:color w:val="auto"/>
              </w:rPr>
            </w:pPr>
          </w:p>
        </w:tc>
      </w:tr>
      <w:tr>
        <w:trPr>
          <w:trHeight w:val="148"/>
        </w:trPr>
        <w:tc>
          <w:tcPr>
            <w:tcW w:w="6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Other Current</w:t>
            </w:r>
          </w:p>
        </w:tc>
        <w:tc>
          <w:tcPr>
            <w:tcW w:w="180" w:type="dxa"/>
            <w:vAlign w:val="bottom"/>
          </w:tcPr>
          <w:p>
            <w:pPr>
              <w:spacing w:after="0"/>
              <w:rPr>
                <w:sz w:val="12"/>
                <w:szCs w:val="12"/>
                <w:color w:val="auto"/>
              </w:rPr>
            </w:pPr>
          </w:p>
        </w:tc>
        <w:tc>
          <w:tcPr>
            <w:tcW w:w="1200" w:type="dxa"/>
            <w:vAlign w:val="bottom"/>
          </w:tcPr>
          <w:p>
            <w:pPr>
              <w:jc w:val="center"/>
              <w:ind w:right="97"/>
              <w:spacing w:after="0" w:line="149" w:lineRule="exact"/>
              <w:rPr>
                <w:sz w:val="20"/>
                <w:szCs w:val="20"/>
                <w:color w:val="auto"/>
              </w:rPr>
            </w:pPr>
            <w:r>
              <w:rPr>
                <w:rFonts w:ascii="Arial" w:cs="Arial" w:eastAsia="Arial" w:hAnsi="Arial"/>
                <w:sz w:val="14"/>
                <w:szCs w:val="14"/>
                <w:b w:val="1"/>
                <w:bCs w:val="1"/>
                <w:color w:val="auto"/>
              </w:rPr>
              <w:t>Long-Term</w:t>
            </w:r>
          </w:p>
        </w:tc>
        <w:tc>
          <w:tcPr>
            <w:tcW w:w="0" w:type="dxa"/>
            <w:vAlign w:val="bottom"/>
          </w:tcPr>
          <w:p>
            <w:pPr>
              <w:spacing w:after="0"/>
              <w:rPr>
                <w:sz w:val="1"/>
                <w:szCs w:val="1"/>
                <w:color w:val="auto"/>
              </w:rPr>
            </w:pPr>
          </w:p>
        </w:tc>
      </w:tr>
      <w:tr>
        <w:trPr>
          <w:trHeight w:val="189"/>
        </w:trPr>
        <w:tc>
          <w:tcPr>
            <w:tcW w:w="6840" w:type="dxa"/>
            <w:vAlign w:val="bottom"/>
          </w:tcPr>
          <w:p>
            <w:pPr>
              <w:spacing w:after="0"/>
              <w:rPr>
                <w:sz w:val="16"/>
                <w:szCs w:val="16"/>
                <w:color w:val="auto"/>
              </w:rPr>
            </w:pPr>
          </w:p>
        </w:tc>
        <w:tc>
          <w:tcPr>
            <w:tcW w:w="150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rPr>
              <w:t>Trade Receivables</w:t>
            </w: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rPr>
              <w:t>Receivables</w:t>
            </w: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rPr>
              <w:t>Receivables</w:t>
            </w:r>
          </w:p>
        </w:tc>
        <w:tc>
          <w:tcPr>
            <w:tcW w:w="0" w:type="dxa"/>
            <w:vAlign w:val="bottom"/>
          </w:tcPr>
          <w:p>
            <w:pPr>
              <w:spacing w:after="0"/>
              <w:rPr>
                <w:sz w:val="1"/>
                <w:szCs w:val="1"/>
                <w:color w:val="auto"/>
              </w:rPr>
            </w:pPr>
          </w:p>
        </w:tc>
      </w:tr>
      <w:tr>
        <w:trPr>
          <w:trHeight w:val="209"/>
        </w:trPr>
        <w:tc>
          <w:tcPr>
            <w:tcW w:w="6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January 1, 2025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6840" w:type="dxa"/>
            <w:vAlign w:val="bottom"/>
          </w:tcPr>
          <w:p>
            <w:pPr>
              <w:ind w:left="140"/>
              <w:spacing w:after="0"/>
              <w:rPr>
                <w:sz w:val="20"/>
                <w:szCs w:val="20"/>
                <w:color w:val="auto"/>
              </w:rPr>
            </w:pPr>
            <w:r>
              <w:rPr>
                <w:rFonts w:ascii="Arial" w:cs="Arial" w:eastAsia="Arial" w:hAnsi="Arial"/>
                <w:sz w:val="18"/>
                <w:szCs w:val="18"/>
                <w:color w:val="auto"/>
              </w:rPr>
              <w:t>Net (provision)/recovery for expected credit losses</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Write-offs charged against the allowance</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8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Currency and other</w:t>
            </w: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8"/>
        </w:trPr>
        <w:tc>
          <w:tcPr>
            <w:tcW w:w="6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September 30, 2025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68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Transfers of Financial Assets</w:t>
      </w:r>
    </w:p>
    <w:p>
      <w:pPr>
        <w:spacing w:after="0" w:line="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outstanding principal amount of receivables under our uncommitted revolving non-recourse accounts receivable factoring arrangements amounted to $857 million as of September 30, 2025 and $159 million as of December 31, 2024. The incremental cost of factoring receivables under this arrangement was not material for all periods presented. The proceeds from the sales of receivables are included in cash from operating activities in the condensed 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6845935</wp:posOffset>
            </wp:positionH>
            <wp:positionV relativeFrom="paragraph">
              <wp:posOffset>24765</wp:posOffset>
            </wp:positionV>
            <wp:extent cx="282575" cy="1885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pacing w:after="0" w:line="17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279400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Non-Cash Lease Transactions</w:t>
      </w:r>
    </w:p>
    <w:p>
      <w:pPr>
        <w:spacing w:after="0" w:line="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recorded $119 million in operating lease and $139 million in finance lease right-of-use assets obtained in exchange for lease obligations during the nine months ended September 30, 2025 and $244 million in operating lease and $90 million in finance lease right-of-use assets obtained in exchange for lease obligations during the nine months ended September 30, 2024.</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Supply Chain Financing</w:t>
      </w:r>
    </w:p>
    <w:p>
      <w:pPr>
        <w:spacing w:after="0" w:line="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As part of our continued efforts to improve our working capital efficiency, we have worked with our suppliers over the past several years to optimize our terms and conditions, which include the extension of payment terms. We also facilitate voluntary supply chain financing (“SCF”) programs through several participating financial institutions. Amounts due to our suppliers that elected to participate in the SCF program are included in </w:t>
      </w:r>
      <w:r>
        <w:rPr>
          <w:rFonts w:ascii="Arial" w:cs="Arial" w:eastAsia="Arial" w:hAnsi="Arial"/>
          <w:sz w:val="18"/>
          <w:szCs w:val="18"/>
          <w:i w:val="1"/>
          <w:iCs w:val="1"/>
          <w:color w:val="auto"/>
        </w:rPr>
        <w:t>Accounts payable</w:t>
      </w:r>
      <w:r>
        <w:rPr>
          <w:rFonts w:ascii="Arial" w:cs="Arial" w:eastAsia="Arial" w:hAnsi="Arial"/>
          <w:sz w:val="18"/>
          <w:szCs w:val="18"/>
          <w:color w:val="auto"/>
        </w:rPr>
        <w:t xml:space="preserve"> in our consolidated balance sheets. Our outstanding obligations confirmed as valid under our SCF program are $3.6 billion and $3.7 billion as of September 30, 2025 and December 31, 2024, respectively.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Pronouncements</w:t>
      </w:r>
    </w:p>
    <w:p>
      <w:pPr>
        <w:spacing w:after="0" w:line="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December 2023, the FASB issued an Accounting Standards Update ("ASU") to enhance the transparency of annual income tax disclosures, primarily related to the rate reconciliation and income taxes paid. The ASU is effective for fiscal years beginning after December 15, 2024 with early adoption permitted. We will adopt the guidance when it becomes effective, for our annual reporting for the year ending December 31, 2025.</w:t>
      </w:r>
    </w:p>
    <w:p>
      <w:pPr>
        <w:spacing w:after="0" w:line="20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November 2024, the FASB issued an ASU that will require incremental disclosures in the notes to the financial statements to disaggregate income statement expense line items into specified expense categories and to provide additional information about certain expenses. The guidance is effective for the first annual reporting period beginning after December 15, 2026 and for interim reporting periods within annual reporting periods beginning after December 15, 2027. Early adoption is permitted. The guidance may be applied either on a prospective or retrospective basis. We currently expect to adopt the guidance when it becomes effective, for our annual reporting for the year ending December 31, 2027 and for our interim reporting in the first quarter of 2028. We are currently assessing whether we will adopt the guidance on a prospective or retrospective basis.</w:t>
      </w:r>
    </w:p>
    <w:p>
      <w:pPr>
        <w:spacing w:after="0" w:line="21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July 2025, the FASB issued an ASU which introduces a practical expedient that allows entities to measure expected credit losses on current accounts receivable and current contract assets by assuming that the conditions existing at the balance sheet date remain unchanged over the remaining life of those assets, The amendment is intended to simplify the application of the current expected credit loss model by reducing the need to develop forward-looking forecasts for short-term trade receivables. The amendments are effective for annual periods beginning after December 15, 2025, including interim periods, with early adoption permitted. We are currently assessing the impact on our consolidated financial statements and related disclosures.</w:t>
      </w:r>
    </w:p>
    <w:p>
      <w:pPr>
        <w:spacing w:after="0" w:line="20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September 2025, the FASB issued an ASU that refines the scope of derivative accounting by introducing a new exception for contracts whose underlyings are based on the operations or activities of one of the parties among other updates. The ASU is effective for annual periods beginning after December 15, 2026, including interim periods, with early adoption permitted. The guidance may be applied either on a prospective or modified retrospective basis. We are currently assessing the impact on our consolidated financial statements and related disclosures.</w:t>
      </w:r>
    </w:p>
    <w:p>
      <w:pPr>
        <w:spacing w:after="0" w:line="20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September 2025, the FASB issued an ASU that improves the accounting for internal-use software by replacing the previous capitalization guidance, which focused on a project's stage of development, with a principles-based "probable-to-complete" recognition threshold. The amendments are effective for annual periods after December 15, 2027, including interim periods, with early adoption permitted. The guidance may be applied on a prospective or retrospective basis. We are currently assessing the impact on our consolidated financial statements and related disclosures.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Acquisitions and Divestitures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Evirth</w:t>
      </w:r>
    </w:p>
    <w:p>
      <w:pPr>
        <w:spacing w:after="0" w:line="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On November 1, 2024, we acquired Evirth (Shanghai) Industrial Co., Ltd. ("Evirth"), a leading manufacturer of cakes and pastries in China. The acquisition will continue to expand our growth in the cakes and pastries categories. The cash consideration paid totaled ¥1.8 billion ($255 million), net of cash received.</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We are working to complete the valuation of assets acquired and liabilities assumed and have recorded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6845935</wp:posOffset>
            </wp:positionH>
            <wp:positionV relativeFrom="paragraph">
              <wp:posOffset>43180</wp:posOffset>
            </wp:positionV>
            <wp:extent cx="282575" cy="1885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pacing w:after="0" w:line="20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287655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preliminary purchase price allocation.</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purchase price was primarily allocated to definite-lived intangible assets and goodwill. Within definite-lived intangible assets, we allocated $117 million to customer relationships which have an estimated useful life of 17 years. The fair value of customer relationships at the acquisition date was determined using the multi-period excess earnings method, which is an income approach. Those fair value measurements are classified as Level 3 in the fair value hierarchy because they use significant unobservable inputs. Significant assumptions used in assessing the fair values of the intangible assets include discounted cash flows, customer attrition rates and discount rates.</w:t>
      </w:r>
    </w:p>
    <w:p>
      <w:pPr>
        <w:spacing w:after="0" w:line="20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Goodwill of $125 million was determined as the excess of the purchase price over the fair value of the net assets acquired and arose principally as a result of expansion opportunities and synergies across China. None of the goodwill recognized will be deductible for income tax purposes. All of the goodwill was assigned to the AMEA operating segment. For further detail, refer to Note 5, </w:t>
      </w:r>
      <w:r>
        <w:rPr>
          <w:rFonts w:ascii="Arial" w:cs="Arial" w:eastAsia="Arial" w:hAnsi="Arial"/>
          <w:sz w:val="18"/>
          <w:szCs w:val="18"/>
          <w:i w:val="1"/>
          <w:iCs w:val="1"/>
          <w:color w:val="auto"/>
        </w:rPr>
        <w:t>Goodwill and Intangible</w:t>
      </w:r>
      <w:r>
        <w:rPr>
          <w:rFonts w:ascii="Arial" w:cs="Arial" w:eastAsia="Arial" w:hAnsi="Arial"/>
          <w:sz w:val="18"/>
          <w:szCs w:val="18"/>
          <w:color w:val="auto"/>
        </w:rPr>
        <w:t xml:space="preserve"> </w:t>
      </w:r>
      <w:r>
        <w:rPr>
          <w:rFonts w:ascii="Arial" w:cs="Arial" w:eastAsia="Arial" w:hAnsi="Arial"/>
          <w:sz w:val="18"/>
          <w:szCs w:val="18"/>
          <w:i w:val="1"/>
          <w:iCs w:val="1"/>
          <w:color w:val="auto"/>
        </w:rPr>
        <w:t>Assets</w:t>
      </w:r>
      <w:r>
        <w:rPr>
          <w:rFonts w:ascii="Times New Roman" w:cs="Times New Roman" w:eastAsia="Times New Roman" w:hAnsi="Times New Roman"/>
          <w:sz w:val="18"/>
          <w:szCs w:val="18"/>
          <w:color w:val="auto"/>
        </w:rPr>
        <w: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and Divestiture-Related Costs</w:t>
      </w:r>
    </w:p>
    <w:p>
      <w:pPr>
        <w:spacing w:after="0" w:line="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incurred net costs of $18 million and recorded a net gain $11 million in the three and nine months ended September 30, 2025 and recorded net gains of $326 million and $247 million in the three and nine months ended September 30, 2024 in total acquisition-related costs, including contingent consideration adjustments.</w:t>
      </w:r>
    </w:p>
    <w:p>
      <w:pPr>
        <w:spacing w:after="0" w:line="20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recorded a net gain of zero and $ 7 million in the three and nine months ended September 30, 2025 and recorded a net gain of $2 million and incurred net costs of $2 million in the three and nine months ended September 30, 2024 in total divestiture-related costs.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Inventories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Inventories consisted of the following:</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rPr>
              <w:t>As of September 30,</w:t>
            </w:r>
          </w:p>
        </w:tc>
        <w:tc>
          <w:tcPr>
            <w:tcW w:w="18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As of December 31, 2024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rPr>
              <w:t>2025</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20" w:type="dxa"/>
            <w:vAlign w:val="bottom"/>
            <w:gridSpan w:val="4"/>
          </w:tcPr>
          <w:p>
            <w:pPr>
              <w:jc w:val="right"/>
              <w:ind w:right="336"/>
              <w:spacing w:after="0"/>
              <w:rPr>
                <w:sz w:val="20"/>
                <w:szCs w:val="20"/>
                <w:color w:val="auto"/>
              </w:rPr>
            </w:pPr>
            <w:r>
              <w:rPr>
                <w:rFonts w:ascii="Arial" w:cs="Arial" w:eastAsia="Arial" w:hAnsi="Arial"/>
                <w:sz w:val="14"/>
                <w:szCs w:val="14"/>
                <w:b w:val="1"/>
                <w:bCs w:val="1"/>
                <w:color w:val="auto"/>
              </w:rPr>
              <w:t>(in millions)</w:t>
            </w: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20"/>
                <w:szCs w:val="20"/>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1,211</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556"/>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center"/>
              <w:ind w:left="370"/>
              <w:spacing w:after="0"/>
              <w:rPr>
                <w:sz w:val="20"/>
                <w:szCs w:val="20"/>
                <w:color w:val="auto"/>
              </w:rPr>
            </w:pPr>
            <w:r>
              <w:rPr>
                <w:rFonts w:ascii="Arial" w:cs="Arial" w:eastAsia="Arial" w:hAnsi="Arial"/>
                <w:sz w:val="18"/>
                <w:szCs w:val="18"/>
                <w:color w:val="auto"/>
                <w:w w:val="97"/>
              </w:rPr>
              <w:t>1,058</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74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Finished product</w:t>
            </w:r>
          </w:p>
        </w:tc>
        <w:tc>
          <w:tcPr>
            <w:tcW w:w="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4,069</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left="370"/>
              <w:spacing w:after="0"/>
              <w:rPr>
                <w:sz w:val="20"/>
                <w:szCs w:val="20"/>
                <w:color w:val="auto"/>
              </w:rPr>
            </w:pPr>
            <w:r>
              <w:rPr>
                <w:rFonts w:ascii="Arial" w:cs="Arial" w:eastAsia="Arial" w:hAnsi="Arial"/>
                <w:sz w:val="18"/>
                <w:szCs w:val="18"/>
                <w:color w:val="auto"/>
                <w:w w:val="97"/>
              </w:rPr>
              <w:t>2,940</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4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20" w:type="dxa"/>
            <w:vAlign w:val="bottom"/>
            <w:shd w:val="clear" w:color="auto" w:fill="CCEEFF"/>
          </w:tcPr>
          <w:p>
            <w:pPr>
              <w:jc w:val="center"/>
              <w:ind w:left="370"/>
              <w:spacing w:after="0"/>
              <w:rPr>
                <w:sz w:val="20"/>
                <w:szCs w:val="20"/>
                <w:color w:val="auto"/>
              </w:rPr>
            </w:pPr>
            <w:r>
              <w:rPr>
                <w:rFonts w:ascii="Arial" w:cs="Arial" w:eastAsia="Arial" w:hAnsi="Arial"/>
                <w:sz w:val="18"/>
                <w:szCs w:val="18"/>
                <w:color w:val="auto"/>
                <w:w w:val="97"/>
              </w:rPr>
              <w:t>3,998</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74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Inventory reserves</w:t>
            </w:r>
          </w:p>
        </w:tc>
        <w:tc>
          <w:tcPr>
            <w:tcW w:w="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4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Inventories, net</w:t>
            </w: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5,098</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556"/>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center"/>
              <w:ind w:left="370"/>
              <w:spacing w:after="0"/>
              <w:rPr>
                <w:sz w:val="20"/>
                <w:szCs w:val="20"/>
                <w:color w:val="auto"/>
              </w:rPr>
            </w:pPr>
            <w:r>
              <w:rPr>
                <w:rFonts w:ascii="Arial" w:cs="Arial" w:eastAsia="Arial" w:hAnsi="Arial"/>
                <w:sz w:val="18"/>
                <w:szCs w:val="18"/>
                <w:color w:val="auto"/>
                <w:w w:val="97"/>
              </w:rPr>
              <w:t>3,827</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48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b w:val="1"/>
                <w:bCs w:val="1"/>
                <w:color w:val="auto"/>
              </w:rPr>
              <w:t>Note 4. Property, Plant and Equipment</w:t>
            </w: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7480" w:type="dxa"/>
            <w:vAlign w:val="bottom"/>
            <w:gridSpan w:val="2"/>
            <w:vMerge w:val="continue"/>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1"/>
        </w:trPr>
        <w:tc>
          <w:tcPr>
            <w:tcW w:w="7480" w:type="dxa"/>
            <w:vAlign w:val="bottom"/>
            <w:gridSpan w:val="2"/>
          </w:tcPr>
          <w:p>
            <w:pPr>
              <w:spacing w:after="0"/>
              <w:rPr>
                <w:sz w:val="20"/>
                <w:szCs w:val="20"/>
                <w:color w:val="auto"/>
              </w:rPr>
            </w:pPr>
            <w:r>
              <w:rPr>
                <w:rFonts w:ascii="Arial" w:cs="Arial" w:eastAsia="Arial" w:hAnsi="Arial"/>
                <w:sz w:val="18"/>
                <w:szCs w:val="18"/>
                <w:color w:val="auto"/>
              </w:rPr>
              <w:t>Property, plant and equipment consisted of the following:</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7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rPr>
              <w:t>As of September 30,</w:t>
            </w:r>
          </w:p>
        </w:tc>
        <w:tc>
          <w:tcPr>
            <w:tcW w:w="18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As of December 31, 2024</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40" w:type="dxa"/>
            <w:vAlign w:val="bottom"/>
          </w:tcPr>
          <w:p>
            <w:pPr>
              <w:jc w:val="center"/>
              <w:ind w:right="116"/>
              <w:spacing w:after="0"/>
              <w:rPr>
                <w:sz w:val="20"/>
                <w:szCs w:val="20"/>
                <w:color w:val="auto"/>
              </w:rPr>
            </w:pPr>
            <w:r>
              <w:rPr>
                <w:rFonts w:ascii="Arial" w:cs="Arial" w:eastAsia="Arial" w:hAnsi="Arial"/>
                <w:sz w:val="14"/>
                <w:szCs w:val="14"/>
                <w:b w:val="1"/>
                <w:bCs w:val="1"/>
                <w:color w:val="auto"/>
              </w:rPr>
              <w:t>2025</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46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520" w:type="dxa"/>
            <w:vAlign w:val="bottom"/>
            <w:tcBorders>
              <w:top w:val="single" w:sz="8" w:color="auto"/>
            </w:tcBorders>
            <w:gridSpan w:val="4"/>
          </w:tcPr>
          <w:p>
            <w:pPr>
              <w:jc w:val="right"/>
              <w:ind w:right="356"/>
              <w:spacing w:after="0"/>
              <w:rPr>
                <w:sz w:val="20"/>
                <w:szCs w:val="20"/>
                <w:color w:val="auto"/>
              </w:rPr>
            </w:pPr>
            <w:r>
              <w:rPr>
                <w:rFonts w:ascii="Arial" w:cs="Arial" w:eastAsia="Arial" w:hAnsi="Arial"/>
                <w:sz w:val="14"/>
                <w:szCs w:val="14"/>
                <w:b w:val="1"/>
                <w:bCs w:val="1"/>
                <w:color w:val="auto"/>
              </w:rPr>
              <w:t>(in millions)</w:t>
            </w:r>
          </w:p>
        </w:tc>
        <w:tc>
          <w:tcPr>
            <w:tcW w:w="10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 and land improvements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576"/>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60" w:type="dxa"/>
            <w:vAlign w:val="bottom"/>
          </w:tcPr>
          <w:p>
            <w:pPr>
              <w:ind w:left="20"/>
              <w:spacing w:after="0"/>
              <w:rPr>
                <w:sz w:val="20"/>
                <w:szCs w:val="20"/>
                <w:color w:val="auto"/>
              </w:rPr>
            </w:pPr>
            <w:r>
              <w:rPr>
                <w:rFonts w:ascii="Arial" w:cs="Arial" w:eastAsia="Arial" w:hAnsi="Arial"/>
                <w:sz w:val="18"/>
                <w:szCs w:val="18"/>
                <w:color w:val="auto"/>
              </w:rPr>
              <w:t>Buildings and building improvements</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3,792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Machinery and equipment</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14,299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Construction in progress</w:t>
            </w:r>
          </w:p>
        </w:tc>
        <w:tc>
          <w:tcPr>
            <w:tcW w:w="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1,047</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19,537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Accumulated depreciation</w:t>
            </w:r>
          </w:p>
        </w:tc>
        <w:tc>
          <w:tcPr>
            <w:tcW w:w="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(9,204)</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left="310"/>
              <w:spacing w:after="0"/>
              <w:rPr>
                <w:sz w:val="20"/>
                <w:szCs w:val="20"/>
                <w:color w:val="auto"/>
              </w:rPr>
            </w:pPr>
            <w:r>
              <w:rPr>
                <w:rFonts w:ascii="Arial" w:cs="Arial" w:eastAsia="Arial" w:hAnsi="Arial"/>
                <w:sz w:val="18"/>
                <w:szCs w:val="18"/>
                <w:color w:val="auto"/>
              </w:rPr>
              <w:t>(8,135)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74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Property, plant and equipment, net</w:t>
            </w:r>
          </w:p>
        </w:tc>
        <w:tc>
          <w:tcPr>
            <w:tcW w:w="2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10,333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576"/>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9,481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nine months ended September 30, 2025, capital expenditures of $881 million excluded $408 million of accrued capital expenditures remaining unpaid at September 30, 2025 and included payment for the $458 million of capital expenditures that were accrued and unpaid at December 31, 2024. For the nine months ended September 30, 2024, capital expenditures of $982 million excluded $387 million of accrued capital expenditures remaining unpaid at September 30, 2024 and included payment for the $471 million of capital expenditures that were accrued and unpaid at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6845935</wp:posOffset>
            </wp:positionH>
            <wp:positionV relativeFrom="paragraph">
              <wp:posOffset>14605</wp:posOffset>
            </wp:positionV>
            <wp:extent cx="282575" cy="1885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pacing w:after="0" w:line="15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287655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Goodwill and Intangible Assets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Changes in goodwill consisted of:</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2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Latin America</w:t>
            </w: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AMEA</w:t>
            </w: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3"/>
          </w:tcPr>
          <w:p>
            <w:pPr>
              <w:ind w:left="520"/>
              <w:spacing w:after="0"/>
              <w:rPr>
                <w:sz w:val="20"/>
                <w:szCs w:val="20"/>
                <w:color w:val="auto"/>
              </w:rPr>
            </w:pPr>
            <w:r>
              <w:rPr>
                <w:rFonts w:ascii="Arial" w:cs="Arial" w:eastAsia="Arial" w:hAnsi="Arial"/>
                <w:sz w:val="14"/>
                <w:szCs w:val="14"/>
                <w:b w:val="1"/>
                <w:bCs w:val="1"/>
                <w:color w:val="auto"/>
              </w:rPr>
              <w:t>Europe</w:t>
            </w: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5"/>
          </w:tcPr>
          <w:p>
            <w:pPr>
              <w:ind w:left="260"/>
              <w:spacing w:after="0"/>
              <w:rPr>
                <w:sz w:val="20"/>
                <w:szCs w:val="20"/>
                <w:color w:val="auto"/>
              </w:rPr>
            </w:pPr>
            <w:r>
              <w:rPr>
                <w:rFonts w:ascii="Arial" w:cs="Arial" w:eastAsia="Arial" w:hAnsi="Arial"/>
                <w:sz w:val="14"/>
                <w:szCs w:val="14"/>
                <w:b w:val="1"/>
                <w:bCs w:val="1"/>
                <w:color w:val="auto"/>
              </w:rPr>
              <w:t>North America</w:t>
            </w:r>
          </w:p>
        </w:tc>
        <w:tc>
          <w:tcPr>
            <w:tcW w:w="2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3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gridSpan w:val="3"/>
          </w:tcPr>
          <w:p>
            <w:pPr>
              <w:jc w:val="right"/>
              <w:ind w:right="215"/>
              <w:spacing w:after="0"/>
              <w:rPr>
                <w:sz w:val="20"/>
                <w:szCs w:val="20"/>
                <w:color w:val="auto"/>
              </w:rPr>
            </w:pPr>
            <w:r>
              <w:rPr>
                <w:rFonts w:ascii="Arial" w:cs="Arial" w:eastAsia="Arial" w:hAnsi="Arial"/>
                <w:sz w:val="14"/>
                <w:szCs w:val="14"/>
                <w:b w:val="1"/>
                <w:bCs w:val="1"/>
                <w:color w:val="auto"/>
              </w:rPr>
              <w:t>(in millions)</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2024</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1,316</w:t>
            </w:r>
          </w:p>
        </w:tc>
        <w:tc>
          <w:tcPr>
            <w:tcW w:w="40" w:type="dxa"/>
            <w:vAlign w:val="bottom"/>
            <w:shd w:val="clear" w:color="auto" w:fill="CCEEFF"/>
          </w:tcPr>
          <w:p>
            <w:pPr>
              <w:spacing w:after="0"/>
              <w:rPr>
                <w:sz w:val="20"/>
                <w:szCs w:val="20"/>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3,040</w:t>
            </w:r>
          </w:p>
        </w:tc>
        <w:tc>
          <w:tcPr>
            <w:tcW w:w="1020" w:type="dxa"/>
            <w:vAlign w:val="bottom"/>
            <w:gridSpan w:val="3"/>
            <w:shd w:val="clear" w:color="auto" w:fill="CCEEFF"/>
          </w:tcPr>
          <w:p>
            <w:pPr>
              <w:jc w:val="right"/>
              <w:ind w:right="684"/>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7,842</w:t>
            </w:r>
          </w:p>
        </w:tc>
        <w:tc>
          <w:tcPr>
            <w:tcW w:w="660" w:type="dxa"/>
            <w:vAlign w:val="bottom"/>
            <w:gridSpan w:val="3"/>
            <w:shd w:val="clear" w:color="auto" w:fill="CCEEFF"/>
          </w:tcPr>
          <w:p>
            <w:pPr>
              <w:jc w:val="right"/>
              <w:ind w:right="32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10,819</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23,017</w:t>
            </w:r>
          </w:p>
        </w:tc>
        <w:tc>
          <w:tcPr>
            <w:tcW w:w="0" w:type="dxa"/>
            <w:vAlign w:val="bottom"/>
          </w:tcPr>
          <w:p>
            <w:pPr>
              <w:spacing w:after="0"/>
              <w:rPr>
                <w:sz w:val="1"/>
                <w:szCs w:val="1"/>
                <w:color w:val="auto"/>
              </w:rPr>
            </w:pPr>
          </w:p>
        </w:tc>
      </w:tr>
      <w:tr>
        <w:trPr>
          <w:trHeight w:val="230"/>
        </w:trPr>
        <w:tc>
          <w:tcPr>
            <w:tcW w:w="3280" w:type="dxa"/>
            <w:vAlign w:val="bottom"/>
          </w:tcPr>
          <w:p>
            <w:pPr>
              <w:ind w:left="140"/>
              <w:spacing w:after="0"/>
              <w:rPr>
                <w:sz w:val="20"/>
                <w:szCs w:val="20"/>
                <w:color w:val="auto"/>
              </w:rPr>
            </w:pPr>
            <w:r>
              <w:rPr>
                <w:rFonts w:ascii="Arial" w:cs="Arial" w:eastAsia="Arial" w:hAnsi="Arial"/>
                <w:sz w:val="18"/>
                <w:szCs w:val="18"/>
                <w:color w:val="auto"/>
              </w:rPr>
              <w:t>Currency</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175</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1,000</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1,255</w:t>
            </w:r>
          </w:p>
        </w:tc>
        <w:tc>
          <w:tcPr>
            <w:tcW w:w="0" w:type="dxa"/>
            <w:vAlign w:val="bottom"/>
          </w:tcPr>
          <w:p>
            <w:pPr>
              <w:spacing w:after="0"/>
              <w:rPr>
                <w:sz w:val="1"/>
                <w:szCs w:val="1"/>
                <w:color w:val="auto"/>
              </w:rPr>
            </w:pPr>
          </w:p>
        </w:tc>
      </w:tr>
      <w:tr>
        <w:trPr>
          <w:trHeight w:val="229"/>
        </w:trPr>
        <w:tc>
          <w:tcPr>
            <w:tcW w:w="3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3"/>
        </w:trPr>
        <w:tc>
          <w:tcPr>
            <w:tcW w:w="3280" w:type="dxa"/>
            <w:vAlign w:val="bottom"/>
          </w:tcPr>
          <w:p>
            <w:pPr>
              <w:ind w:left="20"/>
              <w:spacing w:after="0"/>
              <w:rPr>
                <w:sz w:val="20"/>
                <w:szCs w:val="20"/>
                <w:color w:val="auto"/>
              </w:rPr>
            </w:pPr>
            <w:r>
              <w:rPr>
                <w:rFonts w:ascii="Arial" w:cs="Arial" w:eastAsia="Arial" w:hAnsi="Arial"/>
                <w:sz w:val="18"/>
                <w:szCs w:val="18"/>
                <w:color w:val="auto"/>
              </w:rPr>
              <w:t>Balance at September 30, 2025</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1,491</w:t>
            </w:r>
          </w:p>
        </w:tc>
        <w:tc>
          <w:tcPr>
            <w:tcW w:w="4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3,102</w:t>
            </w:r>
          </w:p>
        </w:tc>
        <w:tc>
          <w:tcPr>
            <w:tcW w:w="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Borders>
              <w:bottom w:val="single" w:sz="8" w:color="auto"/>
            </w:tcBorders>
          </w:tcPr>
          <w:p>
            <w:pPr>
              <w:jc w:val="right"/>
              <w:ind w:right="684"/>
              <w:spacing w:after="0"/>
              <w:rPr>
                <w:sz w:val="20"/>
                <w:szCs w:val="20"/>
                <w:color w:val="auto"/>
              </w:rPr>
            </w:pPr>
            <w:r>
              <w:rPr>
                <w:rFonts w:ascii="Arial" w:cs="Arial" w:eastAsia="Arial" w:hAnsi="Arial"/>
                <w:sz w:val="18"/>
                <w:szCs w:val="18"/>
                <w:color w:val="auto"/>
                <w:w w:val="99"/>
              </w:rPr>
              <w:t>$</w:t>
            </w: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8,842</w:t>
            </w:r>
          </w:p>
        </w:tc>
        <w:tc>
          <w:tcPr>
            <w:tcW w:w="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22"/>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10,815</w:t>
            </w:r>
          </w:p>
        </w:tc>
        <w:tc>
          <w:tcPr>
            <w:tcW w:w="100" w:type="dxa"/>
            <w:vAlign w:val="bottom"/>
          </w:tcPr>
          <w:p>
            <w:pPr>
              <w:spacing w:after="0"/>
              <w:rPr>
                <w:sz w:val="19"/>
                <w:szCs w:val="19"/>
                <w:color w:val="auto"/>
              </w:rPr>
            </w:pP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24,250</w:t>
            </w:r>
          </w:p>
        </w:tc>
        <w:tc>
          <w:tcPr>
            <w:tcW w:w="0" w:type="dxa"/>
            <w:vAlign w:val="bottom"/>
          </w:tcPr>
          <w:p>
            <w:pPr>
              <w:spacing w:after="0"/>
              <w:rPr>
                <w:sz w:val="1"/>
                <w:szCs w:val="1"/>
                <w:color w:val="auto"/>
              </w:rPr>
            </w:pPr>
          </w:p>
        </w:tc>
      </w:tr>
      <w:tr>
        <w:trPr>
          <w:trHeight w:val="20"/>
        </w:trPr>
        <w:tc>
          <w:tcPr>
            <w:tcW w:w="3280" w:type="dxa"/>
            <w:vAlign w:val="bottom"/>
            <w:vMerge w:val="restart"/>
          </w:tcPr>
          <w:p>
            <w:pPr>
              <w:spacing w:after="0"/>
              <w:rPr>
                <w:sz w:val="20"/>
                <w:szCs w:val="20"/>
                <w:color w:val="auto"/>
              </w:rPr>
            </w:pPr>
            <w:r>
              <w:rPr>
                <w:rFonts w:ascii="Arial" w:cs="Arial" w:eastAsia="Arial" w:hAnsi="Arial"/>
                <w:sz w:val="18"/>
                <w:szCs w:val="18"/>
                <w:i w:val="1"/>
                <w:iCs w:val="1"/>
                <w:color w:val="auto"/>
              </w:rPr>
              <w:t>Intangible Assets</w:t>
            </w:r>
          </w:p>
        </w:tc>
        <w:tc>
          <w:tcPr>
            <w:tcW w:w="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8"/>
        </w:trPr>
        <w:tc>
          <w:tcPr>
            <w:tcW w:w="32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3520" w:type="dxa"/>
            <w:vAlign w:val="bottom"/>
            <w:gridSpan w:val="2"/>
          </w:tcPr>
          <w:p>
            <w:pPr>
              <w:spacing w:after="0"/>
              <w:rPr>
                <w:sz w:val="20"/>
                <w:szCs w:val="20"/>
                <w:color w:val="auto"/>
              </w:rPr>
            </w:pPr>
            <w:r>
              <w:rPr>
                <w:rFonts w:ascii="Arial" w:cs="Arial" w:eastAsia="Arial" w:hAnsi="Arial"/>
                <w:sz w:val="18"/>
                <w:szCs w:val="18"/>
                <w:color w:val="auto"/>
              </w:rPr>
              <w:t>Intangible assets consisted of the following:</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8"/>
        </w:trPr>
        <w:tc>
          <w:tcPr>
            <w:tcW w:w="3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8"/>
          </w:tcPr>
          <w:p>
            <w:pPr>
              <w:jc w:val="center"/>
              <w:ind w:left="714"/>
              <w:spacing w:after="0"/>
              <w:rPr>
                <w:sz w:val="20"/>
                <w:szCs w:val="20"/>
                <w:color w:val="auto"/>
              </w:rPr>
            </w:pPr>
            <w:r>
              <w:rPr>
                <w:rFonts w:ascii="Arial" w:cs="Arial" w:eastAsia="Arial" w:hAnsi="Arial"/>
                <w:sz w:val="14"/>
                <w:szCs w:val="14"/>
                <w:b w:val="1"/>
                <w:bCs w:val="1"/>
                <w:color w:val="auto"/>
              </w:rPr>
              <w:t>As of September 30, 2025</w:t>
            </w: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8"/>
          </w:tcPr>
          <w:p>
            <w:pPr>
              <w:jc w:val="center"/>
              <w:ind w:left="302"/>
              <w:spacing w:after="0"/>
              <w:rPr>
                <w:sz w:val="20"/>
                <w:szCs w:val="20"/>
                <w:color w:val="auto"/>
              </w:rPr>
            </w:pPr>
            <w:r>
              <w:rPr>
                <w:rFonts w:ascii="Arial" w:cs="Arial" w:eastAsia="Arial" w:hAnsi="Arial"/>
                <w:sz w:val="14"/>
                <w:szCs w:val="14"/>
                <w:b w:val="1"/>
                <w:bCs w:val="1"/>
                <w:color w:val="auto"/>
              </w:rPr>
              <w:t>As of December 31, 2024</w:t>
            </w: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3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gridSpan w:val="3"/>
          </w:tcPr>
          <w:p>
            <w:pPr>
              <w:jc w:val="center"/>
              <w:ind w:right="60"/>
              <w:spacing w:after="0" w:line="143" w:lineRule="exact"/>
              <w:rPr>
                <w:sz w:val="20"/>
                <w:szCs w:val="20"/>
                <w:color w:val="auto"/>
              </w:rPr>
            </w:pPr>
            <w:r>
              <w:rPr>
                <w:rFonts w:ascii="Arial" w:cs="Arial" w:eastAsia="Arial" w:hAnsi="Arial"/>
                <w:sz w:val="14"/>
                <w:szCs w:val="14"/>
                <w:b w:val="1"/>
                <w:bCs w:val="1"/>
                <w:color w:val="auto"/>
              </w:rPr>
              <w:t>Gross carrying</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center"/>
              <w:ind w:right="97"/>
              <w:spacing w:after="0" w:line="143" w:lineRule="exact"/>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4"/>
          </w:tcPr>
          <w:p>
            <w:pPr>
              <w:jc w:val="center"/>
              <w:ind w:right="260"/>
              <w:spacing w:after="0" w:line="143" w:lineRule="exact"/>
              <w:rPr>
                <w:sz w:val="20"/>
                <w:szCs w:val="20"/>
                <w:color w:val="auto"/>
              </w:rPr>
            </w:pPr>
            <w:r>
              <w:rPr>
                <w:rFonts w:ascii="Arial" w:cs="Arial" w:eastAsia="Arial" w:hAnsi="Arial"/>
                <w:sz w:val="14"/>
                <w:szCs w:val="14"/>
                <w:b w:val="1"/>
                <w:bCs w:val="1"/>
                <w:color w:val="auto"/>
              </w:rPr>
              <w:t>Net carrying</w:t>
            </w:r>
          </w:p>
        </w:tc>
        <w:tc>
          <w:tcPr>
            <w:tcW w:w="1280" w:type="dxa"/>
            <w:vAlign w:val="bottom"/>
            <w:gridSpan w:val="5"/>
          </w:tcPr>
          <w:p>
            <w:pPr>
              <w:jc w:val="center"/>
              <w:ind w:right="100"/>
              <w:spacing w:after="0" w:line="143" w:lineRule="exact"/>
              <w:rPr>
                <w:sz w:val="20"/>
                <w:szCs w:val="20"/>
                <w:color w:val="auto"/>
              </w:rPr>
            </w:pPr>
            <w:r>
              <w:rPr>
                <w:rFonts w:ascii="Arial" w:cs="Arial" w:eastAsia="Arial" w:hAnsi="Arial"/>
                <w:sz w:val="14"/>
                <w:szCs w:val="14"/>
                <w:b w:val="1"/>
                <w:bCs w:val="1"/>
                <w:color w:val="auto"/>
              </w:rPr>
              <w:t>Gross carrying</w:t>
            </w:r>
          </w:p>
        </w:tc>
        <w:tc>
          <w:tcPr>
            <w:tcW w:w="140" w:type="dxa"/>
            <w:vAlign w:val="bottom"/>
          </w:tcPr>
          <w:p>
            <w:pPr>
              <w:spacing w:after="0"/>
              <w:rPr>
                <w:sz w:val="12"/>
                <w:szCs w:val="12"/>
                <w:color w:val="auto"/>
              </w:rPr>
            </w:pPr>
          </w:p>
        </w:tc>
        <w:tc>
          <w:tcPr>
            <w:tcW w:w="1200" w:type="dxa"/>
            <w:vAlign w:val="bottom"/>
            <w:gridSpan w:val="4"/>
          </w:tcPr>
          <w:p>
            <w:pPr>
              <w:jc w:val="center"/>
              <w:ind w:right="220"/>
              <w:spacing w:after="0" w:line="143" w:lineRule="exact"/>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2"/>
                <w:szCs w:val="12"/>
                <w:color w:val="auto"/>
              </w:rPr>
            </w:pPr>
          </w:p>
        </w:tc>
        <w:tc>
          <w:tcPr>
            <w:tcW w:w="1020" w:type="dxa"/>
            <w:vAlign w:val="bottom"/>
          </w:tcPr>
          <w:p>
            <w:pPr>
              <w:jc w:val="right"/>
              <w:ind w:right="75"/>
              <w:spacing w:after="0" w:line="143" w:lineRule="exact"/>
              <w:rPr>
                <w:sz w:val="20"/>
                <w:szCs w:val="20"/>
                <w:color w:val="auto"/>
              </w:rPr>
            </w:pPr>
            <w:r>
              <w:rPr>
                <w:rFonts w:ascii="Arial" w:cs="Arial" w:eastAsia="Arial" w:hAnsi="Arial"/>
                <w:sz w:val="14"/>
                <w:szCs w:val="14"/>
                <w:b w:val="1"/>
                <w:bCs w:val="1"/>
                <w:color w:val="auto"/>
              </w:rPr>
              <w:t>Net carrying</w:t>
            </w:r>
          </w:p>
        </w:tc>
        <w:tc>
          <w:tcPr>
            <w:tcW w:w="0" w:type="dxa"/>
            <w:vAlign w:val="bottom"/>
          </w:tcPr>
          <w:p>
            <w:pPr>
              <w:spacing w:after="0"/>
              <w:rPr>
                <w:sz w:val="1"/>
                <w:szCs w:val="1"/>
                <w:color w:val="auto"/>
              </w:rPr>
            </w:pPr>
          </w:p>
        </w:tc>
      </w:tr>
      <w:tr>
        <w:trPr>
          <w:trHeight w:val="189"/>
        </w:trPr>
        <w:tc>
          <w:tcPr>
            <w:tcW w:w="3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amount</w:t>
            </w: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rPr>
              <w:t>amount</w:t>
            </w:r>
          </w:p>
        </w:tc>
        <w:tc>
          <w:tcPr>
            <w:tcW w:w="1280" w:type="dxa"/>
            <w:vAlign w:val="bottom"/>
            <w:tcBorders>
              <w:bottom w:val="single" w:sz="8" w:color="auto"/>
            </w:tcBorders>
            <w:gridSpan w:val="5"/>
          </w:tcPr>
          <w:p>
            <w:pPr>
              <w:jc w:val="center"/>
              <w:ind w:right="80"/>
              <w:spacing w:after="0"/>
              <w:rPr>
                <w:sz w:val="20"/>
                <w:szCs w:val="20"/>
                <w:color w:val="auto"/>
              </w:rPr>
            </w:pPr>
            <w:r>
              <w:rPr>
                <w:rFonts w:ascii="Arial" w:cs="Arial" w:eastAsia="Arial" w:hAnsi="Arial"/>
                <w:sz w:val="14"/>
                <w:szCs w:val="14"/>
                <w:b w:val="1"/>
                <w:bCs w:val="1"/>
                <w:color w:val="auto"/>
              </w:rPr>
              <w:t>amount</w:t>
            </w: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4"/>
          </w:tcPr>
          <w:p>
            <w:pPr>
              <w:jc w:val="center"/>
              <w:ind w:right="220"/>
              <w:spacing w:after="0"/>
              <w:rPr>
                <w:sz w:val="20"/>
                <w:szCs w:val="20"/>
                <w:color w:val="auto"/>
              </w:rPr>
            </w:pPr>
            <w:r>
              <w:rPr>
                <w:rFonts w:ascii="Arial" w:cs="Arial" w:eastAsia="Arial" w:hAnsi="Arial"/>
                <w:sz w:val="14"/>
                <w:szCs w:val="14"/>
                <w:b w:val="1"/>
                <w:bCs w:val="1"/>
                <w:color w:val="auto"/>
              </w:rPr>
              <w:t>amortization</w:t>
            </w: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95"/>
        </w:trPr>
        <w:tc>
          <w:tcPr>
            <w:tcW w:w="3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gridSpan w:val="3"/>
          </w:tcPr>
          <w:p>
            <w:pPr>
              <w:ind w:left="520"/>
              <w:spacing w:after="0"/>
              <w:rPr>
                <w:sz w:val="20"/>
                <w:szCs w:val="20"/>
                <w:color w:val="auto"/>
              </w:rPr>
            </w:pPr>
            <w:r>
              <w:rPr>
                <w:rFonts w:ascii="Arial" w:cs="Arial" w:eastAsia="Arial" w:hAnsi="Arial"/>
                <w:sz w:val="14"/>
                <w:szCs w:val="14"/>
                <w:b w:val="1"/>
                <w:bCs w:val="1"/>
                <w:color w:val="auto"/>
              </w:rPr>
              <w:t>(in millions)</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Indefinite-life intangible assets</w:t>
            </w:r>
          </w:p>
        </w:tc>
        <w:tc>
          <w:tcPr>
            <w:tcW w:w="24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18,601</w:t>
            </w:r>
          </w:p>
        </w:tc>
        <w:tc>
          <w:tcPr>
            <w:tcW w:w="40" w:type="dxa"/>
            <w:vAlign w:val="bottom"/>
            <w:shd w:val="clear" w:color="auto" w:fill="CCEEFF"/>
          </w:tcPr>
          <w:p>
            <w:pPr>
              <w:spacing w:after="0"/>
              <w:rPr>
                <w:sz w:val="20"/>
                <w:szCs w:val="20"/>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4"/>
              <w:spacing w:after="0"/>
              <w:rPr>
                <w:sz w:val="20"/>
                <w:szCs w:val="20"/>
                <w:color w:val="auto"/>
              </w:rPr>
            </w:pPr>
            <w:r>
              <w:rPr>
                <w:rFonts w:ascii="Arial" w:cs="Arial" w:eastAsia="Arial" w:hAnsi="Arial"/>
                <w:sz w:val="18"/>
                <w:szCs w:val="18"/>
                <w:color w:val="auto"/>
              </w:rPr>
              <w:t>18,601</w:t>
            </w:r>
          </w:p>
        </w:tc>
        <w:tc>
          <w:tcPr>
            <w:tcW w:w="8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15"/>
              <w:spacing w:after="0"/>
              <w:rPr>
                <w:sz w:val="20"/>
                <w:szCs w:val="20"/>
                <w:color w:val="auto"/>
              </w:rPr>
            </w:pPr>
            <w:r>
              <w:rPr>
                <w:rFonts w:ascii="Arial" w:cs="Arial" w:eastAsia="Arial" w:hAnsi="Arial"/>
                <w:sz w:val="18"/>
                <w:szCs w:val="18"/>
                <w:color w:val="auto"/>
                <w:w w:val="99"/>
              </w:rPr>
              <w:t>$</w:t>
            </w:r>
          </w:p>
        </w:tc>
        <w:tc>
          <w:tcPr>
            <w:tcW w:w="660" w:type="dxa"/>
            <w:vAlign w:val="bottom"/>
            <w:gridSpan w:val="3"/>
            <w:shd w:val="clear" w:color="auto" w:fill="CCEEFF"/>
          </w:tcPr>
          <w:p>
            <w:pPr>
              <w:jc w:val="right"/>
              <w:ind w:right="2"/>
              <w:spacing w:after="0"/>
              <w:rPr>
                <w:sz w:val="20"/>
                <w:szCs w:val="20"/>
                <w:color w:val="auto"/>
              </w:rPr>
            </w:pPr>
            <w:r>
              <w:rPr>
                <w:rFonts w:ascii="Arial" w:cs="Arial" w:eastAsia="Arial" w:hAnsi="Arial"/>
                <w:sz w:val="18"/>
                <w:szCs w:val="18"/>
                <w:color w:val="auto"/>
              </w:rPr>
              <w:t>17,770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17,770</w:t>
            </w:r>
          </w:p>
        </w:tc>
        <w:tc>
          <w:tcPr>
            <w:tcW w:w="0" w:type="dxa"/>
            <w:vAlign w:val="bottom"/>
          </w:tcPr>
          <w:p>
            <w:pPr>
              <w:spacing w:after="0"/>
              <w:rPr>
                <w:sz w:val="1"/>
                <w:szCs w:val="1"/>
                <w:color w:val="auto"/>
              </w:rPr>
            </w:pPr>
          </w:p>
        </w:tc>
      </w:tr>
      <w:tr>
        <w:trPr>
          <w:trHeight w:val="230"/>
        </w:trPr>
        <w:tc>
          <w:tcPr>
            <w:tcW w:w="3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Definite-life intangible assets</w:t>
            </w:r>
          </w:p>
        </w:tc>
        <w:tc>
          <w:tcPr>
            <w:tcW w:w="2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3,465</w:t>
            </w: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3"/>
          </w:tcPr>
          <w:p>
            <w:pPr>
              <w:jc w:val="right"/>
              <w:ind w:right="4"/>
              <w:spacing w:after="0"/>
              <w:rPr>
                <w:sz w:val="20"/>
                <w:szCs w:val="20"/>
                <w:color w:val="auto"/>
              </w:rPr>
            </w:pPr>
            <w:r>
              <w:rPr>
                <w:rFonts w:ascii="Arial" w:cs="Arial" w:eastAsia="Arial" w:hAnsi="Arial"/>
                <w:sz w:val="18"/>
                <w:szCs w:val="18"/>
                <w:color w:val="auto"/>
              </w:rPr>
              <w:t>1,010</w:t>
            </w:r>
          </w:p>
        </w:tc>
        <w:tc>
          <w:tcPr>
            <w:tcW w:w="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3"/>
          </w:tcPr>
          <w:p>
            <w:pPr>
              <w:jc w:val="right"/>
              <w:ind w:right="2"/>
              <w:spacing w:after="0"/>
              <w:rPr>
                <w:sz w:val="20"/>
                <w:szCs w:val="20"/>
                <w:color w:val="auto"/>
              </w:rPr>
            </w:pPr>
            <w:r>
              <w:rPr>
                <w:rFonts w:ascii="Arial" w:cs="Arial" w:eastAsia="Arial" w:hAnsi="Arial"/>
                <w:sz w:val="18"/>
                <w:szCs w:val="18"/>
                <w:color w:val="auto"/>
              </w:rPr>
              <w:t>3,306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(2,228)</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1,078</w:t>
            </w:r>
          </w:p>
        </w:tc>
        <w:tc>
          <w:tcPr>
            <w:tcW w:w="0" w:type="dxa"/>
            <w:vAlign w:val="bottom"/>
          </w:tcPr>
          <w:p>
            <w:pPr>
              <w:spacing w:after="0"/>
              <w:rPr>
                <w:sz w:val="1"/>
                <w:szCs w:val="1"/>
                <w:color w:val="auto"/>
              </w:rPr>
            </w:pPr>
          </w:p>
        </w:tc>
      </w:tr>
      <w:tr>
        <w:trPr>
          <w:trHeight w:val="248"/>
        </w:trPr>
        <w:tc>
          <w:tcPr>
            <w:tcW w:w="3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22,066</w:t>
            </w: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gridSpan w:val="3"/>
            <w:shd w:val="clear" w:color="auto" w:fill="CCEEFF"/>
          </w:tcPr>
          <w:p>
            <w:pPr>
              <w:jc w:val="right"/>
              <w:ind w:right="4"/>
              <w:spacing w:after="0"/>
              <w:rPr>
                <w:sz w:val="20"/>
                <w:szCs w:val="20"/>
                <w:color w:val="auto"/>
              </w:rPr>
            </w:pPr>
            <w:r>
              <w:rPr>
                <w:rFonts w:ascii="Arial" w:cs="Arial" w:eastAsia="Arial" w:hAnsi="Arial"/>
                <w:sz w:val="18"/>
                <w:szCs w:val="18"/>
                <w:color w:val="auto"/>
              </w:rPr>
              <w:t>19,611</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5"/>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gridSpan w:val="3"/>
            <w:shd w:val="clear" w:color="auto" w:fill="CCEEFF"/>
          </w:tcPr>
          <w:p>
            <w:pPr>
              <w:jc w:val="right"/>
              <w:ind w:right="2"/>
              <w:spacing w:after="0"/>
              <w:rPr>
                <w:sz w:val="20"/>
                <w:szCs w:val="20"/>
                <w:color w:val="auto"/>
              </w:rPr>
            </w:pPr>
            <w:r>
              <w:rPr>
                <w:rFonts w:ascii="Arial" w:cs="Arial" w:eastAsia="Arial" w:hAnsi="Arial"/>
                <w:sz w:val="18"/>
                <w:szCs w:val="18"/>
                <w:color w:val="auto"/>
              </w:rPr>
              <w:t>21,076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(2,228)</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18,848</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Indefinite-life intangible assets consist principally of brand names purchased through our acquisitions of Nabisco Holdings Corp., the global </w:t>
      </w:r>
      <w:r>
        <w:rPr>
          <w:rFonts w:ascii="Arial" w:cs="Arial" w:eastAsia="Arial" w:hAnsi="Arial"/>
          <w:sz w:val="18"/>
          <w:szCs w:val="18"/>
          <w:i w:val="1"/>
          <w:iCs w:val="1"/>
          <w:color w:val="auto"/>
        </w:rPr>
        <w:t xml:space="preserve">LU </w:t>
      </w:r>
      <w:r>
        <w:rPr>
          <w:rFonts w:ascii="Arial" w:cs="Arial" w:eastAsia="Arial" w:hAnsi="Arial"/>
          <w:sz w:val="18"/>
          <w:szCs w:val="18"/>
          <w:color w:val="auto"/>
        </w:rPr>
        <w:t>biscuit business of Groupe Danone S.A., Cadbury Limited and Clif Bar. Definite-life intangible assets consist primarily of customer-related</w:t>
      </w:r>
      <w:r>
        <w:rPr>
          <w:rFonts w:ascii="Arial" w:cs="Arial" w:eastAsia="Arial" w:hAnsi="Arial"/>
          <w:sz w:val="18"/>
          <w:szCs w:val="18"/>
          <w:i w:val="1"/>
          <w:iCs w:val="1"/>
          <w:color w:val="auto"/>
        </w:rPr>
        <w:t xml:space="preserve"> </w:t>
      </w:r>
      <w:r>
        <w:rPr>
          <w:rFonts w:ascii="Arial" w:cs="Arial" w:eastAsia="Arial" w:hAnsi="Arial"/>
          <w:sz w:val="18"/>
          <w:szCs w:val="18"/>
          <w:color w:val="auto"/>
        </w:rPr>
        <w:t>intangibles, process technology and trademarks.</w:t>
      </w:r>
    </w:p>
    <w:p>
      <w:pPr>
        <w:spacing w:after="0" w:line="19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Amortization expense for intangible assets was $32 million and $40 million for the three months ended September 30, 2025 and 2024, respectively, and $107 million and $115 million for the nine months ended September 30, 2025 and 2024, respectively.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Assessments</w:t>
      </w:r>
    </w:p>
    <w:p>
      <w:pPr>
        <w:spacing w:after="0" w:line="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We test our reporting units and indefinite-life intangible assets for impairment annually as of July 1, or more frequently if events or circumstances indicate it is more likely than not that the fair value of a reporting unit or brand is less than its carrying amount.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There were no impairments of goodwill during the three and nine months ended September 30, 2025 and 2024.</w:t>
      </w:r>
    </w:p>
    <w:p>
      <w:pPr>
        <w:spacing w:after="0" w:line="25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In the third quarters of 2025 and 2024, we recognized impairment charges of $33 million and $ 153 million, respectively, to reduce the carrying amounts of certain of our brands to their estimated fair values. Those charges are reported within </w:t>
      </w:r>
      <w:r>
        <w:rPr>
          <w:rFonts w:ascii="Arial" w:cs="Arial" w:eastAsia="Arial" w:hAnsi="Arial"/>
          <w:sz w:val="18"/>
          <w:szCs w:val="18"/>
          <w:i w:val="1"/>
          <w:iCs w:val="1"/>
          <w:color w:val="auto"/>
        </w:rPr>
        <w:t>Asset impairments and exit costs</w:t>
      </w:r>
      <w:r>
        <w:rPr>
          <w:rFonts w:ascii="Arial" w:cs="Arial" w:eastAsia="Arial" w:hAnsi="Arial"/>
          <w:sz w:val="18"/>
          <w:szCs w:val="18"/>
          <w:color w:val="auto"/>
        </w:rPr>
        <w:t xml:space="preserve"> in the condensed consolidated statements of earnings. The 2025 impairments related to two biscuit brands in the Europe segment, one biscuit brand in the AMEA segment and one candy brand in the Latin America segment. The 2024 impairments related to two biscuit brands in the Europe segment, one biscuit brand in the AMEA segment and one candy and one biscuit brand in the Latin America segment. The impairments were driven by lower expectations of future business performance to reflect current or expected market conditions in select markets as well as changes in management strategy.</w:t>
      </w:r>
    </w:p>
    <w:p>
      <w:pPr>
        <w:spacing w:after="0" w:line="21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fair values of our brand intangibles were determined using several valuation methods, including the relief from royalty method, the excess earnings method and the excess margin method. Inputs to those valuation methods include our most recent forecasts of revenue and earnings, as well as estimates of royalty rates and discount rates. Fair value measurements of brand intangible assets are classified as Level 3 in the fair value hierarchy because they involve significant unobservable inputs.</w:t>
      </w:r>
    </w:p>
    <w:p>
      <w:pPr>
        <w:spacing w:after="0" w:line="20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Including the four brand intangibles for which we recognized impairments in the current period, we identified five brand intangibles for which fair value exceeded book value by less than 10%. The aggregate book value of those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6845935</wp:posOffset>
            </wp:positionH>
            <wp:positionV relativeFrom="paragraph">
              <wp:posOffset>6350</wp:posOffset>
            </wp:positionV>
            <wp:extent cx="282575" cy="1885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pacing w:after="0" w:line="14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279400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five brand intangibles was $1.5 billion as of September 30, 2025. We are closely monitoring the performance of those brands and if there are adverse changes to the related sales and earnings forecasts in the future, whether caused by business-specific or broader macroeconomic factors, one or more of those indefinite-life intangible assets could become impaired.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Equity Method Investments</w:t>
      </w:r>
    </w:p>
    <w:p>
      <w:pPr>
        <w:spacing w:after="0" w:line="25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current equity method investments primarily relate to our ownership interests in Dong Suh Foods Corporation and Dong Suh Oil &amp; Fats Co. Ltd. As of September 30, 2025, we owned 50.0% and 49.0%, respectively, of these companies' outstanding shares. Our ownership interests may change over time due to investee stock-based compensation arrangements, share issuances or other equity-related transactions.</w:t>
      </w:r>
    </w:p>
    <w:p>
      <w:pPr>
        <w:spacing w:after="0" w:line="20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investments accounted for under the equity method totaled $669 million as of September 30, 2025 and $635 million as of December 31, 2024. We recorded equity earnings of $19 million and received cash dividends of $1 million in the three months ended September 30, 2025 and recorded equity earnings of $54 million and received cash dividends of $33 million in the three months ended September 30, 2024. We recorded equity earnings of $54 million and received cash dividends of $45 million in the nine months ended September 30, 2025 and recorded equity earnings of $133 million and received cash dividends of $115 million in the nine months ended September 30, 2024. The activity during 2024 included our prior investment in JDE Peet’s N.V. (“JDEP”). During the fourth quarter of 2024, we sold our remaining 85.9 million shares in JDEP to JAB Holding Company ("JAB") and fully exited the investment.</w:t>
      </w:r>
    </w:p>
    <w:p>
      <w:pPr>
        <w:spacing w:after="0" w:line="21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On August 24, 2025, Keurig Dr Pepper Inc. (“KDP”) and JDEP entered into a definitive agreement under which KDP will acquire JDEP. As a result of that definitive agreement, we became entitled to a cash payment of €145 million ($169 million) from JAB that we received in the third quarter of 2025. The related gain is reported within </w:t>
      </w:r>
      <w:r>
        <w:rPr>
          <w:rFonts w:ascii="Arial" w:cs="Arial" w:eastAsia="Arial" w:hAnsi="Arial"/>
          <w:sz w:val="18"/>
          <w:szCs w:val="18"/>
          <w:i w:val="1"/>
          <w:iCs w:val="1"/>
          <w:color w:val="auto"/>
        </w:rPr>
        <w:t>Gain/(loss) on equity method investment transactions</w:t>
      </w:r>
      <w:r>
        <w:rPr>
          <w:rFonts w:ascii="Arial" w:cs="Arial" w:eastAsia="Arial" w:hAnsi="Arial"/>
          <w:sz w:val="18"/>
          <w:szCs w:val="18"/>
          <w:color w:val="auto"/>
        </w:rPr>
        <w:t xml:space="preserve"> in the condensed consolidated statements of earnings.</w:t>
      </w:r>
    </w:p>
    <w:p>
      <w:pPr>
        <w:spacing w:after="0" w:line="20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During the three months ended March 31, 2024, we recorded an impairment charge of €612 million ($665 million) related to our JDEP investment. This charge was included within </w:t>
      </w:r>
      <w:r>
        <w:rPr>
          <w:rFonts w:ascii="Arial" w:cs="Arial" w:eastAsia="Arial" w:hAnsi="Arial"/>
          <w:sz w:val="18"/>
          <w:szCs w:val="18"/>
          <w:i w:val="1"/>
          <w:iCs w:val="1"/>
          <w:color w:val="auto"/>
        </w:rPr>
        <w:t>Gain/(loss) on equity method investment transactions</w:t>
      </w:r>
      <w:r>
        <w:rPr>
          <w:rFonts w:ascii="Arial" w:cs="Arial" w:eastAsia="Arial" w:hAnsi="Arial"/>
          <w:sz w:val="18"/>
          <w:szCs w:val="18"/>
          <w:color w:val="auto"/>
        </w:rPr>
        <w:t xml:space="preserve"> in the condensed consolidated statements of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6845935</wp:posOffset>
            </wp:positionH>
            <wp:positionV relativeFrom="paragraph">
              <wp:posOffset>2786380</wp:posOffset>
            </wp:positionV>
            <wp:extent cx="282575" cy="1885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287655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Debt and Borrowing Arrangements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Short-Term Borrowings</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Our short-term borrowings and related weighted-average interest rates consisted of:</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4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140" w:type="dxa"/>
            <w:vAlign w:val="bottom"/>
            <w:tcBorders>
              <w:bottom w:val="single" w:sz="8" w:color="auto"/>
            </w:tcBorders>
            <w:gridSpan w:val="2"/>
          </w:tcPr>
          <w:p>
            <w:pPr>
              <w:jc w:val="right"/>
              <w:ind w:right="741"/>
              <w:spacing w:after="0"/>
              <w:rPr>
                <w:sz w:val="20"/>
                <w:szCs w:val="20"/>
                <w:color w:val="auto"/>
              </w:rPr>
            </w:pPr>
            <w:r>
              <w:rPr>
                <w:rFonts w:ascii="Arial" w:cs="Arial" w:eastAsia="Arial" w:hAnsi="Arial"/>
                <w:sz w:val="14"/>
                <w:szCs w:val="14"/>
                <w:b w:val="1"/>
                <w:bCs w:val="1"/>
                <w:color w:val="auto"/>
              </w:rPr>
              <w:t>As of September 30, 2025</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120" w:type="dxa"/>
            <w:vAlign w:val="bottom"/>
            <w:tcBorders>
              <w:bottom w:val="single" w:sz="8" w:color="auto"/>
            </w:tcBorders>
            <w:gridSpan w:val="2"/>
          </w:tcPr>
          <w:p>
            <w:pPr>
              <w:jc w:val="right"/>
              <w:ind w:right="759"/>
              <w:spacing w:after="0"/>
              <w:rPr>
                <w:sz w:val="20"/>
                <w:szCs w:val="20"/>
                <w:color w:val="auto"/>
              </w:rPr>
            </w:pPr>
            <w:r>
              <w:rPr>
                <w:rFonts w:ascii="Arial" w:cs="Arial" w:eastAsia="Arial" w:hAnsi="Arial"/>
                <w:sz w:val="14"/>
                <w:szCs w:val="14"/>
                <w:b w:val="1"/>
                <w:bCs w:val="1"/>
                <w:color w:val="auto"/>
              </w:rPr>
              <w:t>As of December 31, 2024</w:t>
            </w:r>
          </w:p>
        </w:tc>
      </w:tr>
      <w:tr>
        <w:trPr>
          <w:trHeight w:val="143"/>
        </w:trPr>
        <w:tc>
          <w:tcPr>
            <w:tcW w:w="4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tcPr>
          <w:p>
            <w:pPr>
              <w:jc w:val="right"/>
              <w:ind w:right="419"/>
              <w:spacing w:after="0" w:line="143" w:lineRule="exact"/>
              <w:rPr>
                <w:sz w:val="20"/>
                <w:szCs w:val="20"/>
                <w:color w:val="auto"/>
              </w:rPr>
            </w:pPr>
            <w:r>
              <w:rPr>
                <w:rFonts w:ascii="Arial" w:cs="Arial" w:eastAsia="Arial" w:hAnsi="Arial"/>
                <w:sz w:val="14"/>
                <w:szCs w:val="14"/>
                <w:b w:val="1"/>
                <w:bCs w:val="1"/>
                <w:color w:val="auto"/>
              </w:rPr>
              <w:t>Amount</w:t>
            </w:r>
          </w:p>
        </w:tc>
        <w:tc>
          <w:tcPr>
            <w:tcW w:w="2160" w:type="dxa"/>
            <w:vAlign w:val="bottom"/>
            <w:gridSpan w:val="3"/>
          </w:tcPr>
          <w:p>
            <w:pPr>
              <w:jc w:val="right"/>
              <w:ind w:right="770"/>
              <w:spacing w:after="0" w:line="143" w:lineRule="exact"/>
              <w:rPr>
                <w:sz w:val="20"/>
                <w:szCs w:val="20"/>
                <w:color w:val="auto"/>
              </w:rPr>
            </w:pPr>
            <w:r>
              <w:rPr>
                <w:rFonts w:ascii="Arial" w:cs="Arial" w:eastAsia="Arial" w:hAnsi="Arial"/>
                <w:sz w:val="14"/>
                <w:szCs w:val="14"/>
                <w:b w:val="1"/>
                <w:bCs w:val="1"/>
                <w:color w:val="auto"/>
              </w:rPr>
              <w:t>Weighted-</w:t>
            </w:r>
          </w:p>
        </w:tc>
        <w:tc>
          <w:tcPr>
            <w:tcW w:w="1320" w:type="dxa"/>
            <w:vAlign w:val="bottom"/>
          </w:tcPr>
          <w:p>
            <w:pPr>
              <w:jc w:val="right"/>
              <w:ind w:right="439"/>
              <w:spacing w:after="0" w:line="143" w:lineRule="exact"/>
              <w:rPr>
                <w:sz w:val="20"/>
                <w:szCs w:val="20"/>
                <w:color w:val="auto"/>
              </w:rPr>
            </w:pPr>
            <w:r>
              <w:rPr>
                <w:rFonts w:ascii="Arial" w:cs="Arial" w:eastAsia="Arial" w:hAnsi="Arial"/>
                <w:sz w:val="14"/>
                <w:szCs w:val="14"/>
                <w:b w:val="1"/>
                <w:bCs w:val="1"/>
                <w:color w:val="auto"/>
              </w:rPr>
              <w:t>Amount</w:t>
            </w:r>
          </w:p>
        </w:tc>
        <w:tc>
          <w:tcPr>
            <w:tcW w:w="1800" w:type="dxa"/>
            <w:vAlign w:val="bottom"/>
          </w:tcPr>
          <w:p>
            <w:pPr>
              <w:jc w:val="right"/>
              <w:ind w:right="419"/>
              <w:spacing w:after="0" w:line="143" w:lineRule="exact"/>
              <w:rPr>
                <w:sz w:val="20"/>
                <w:szCs w:val="20"/>
                <w:color w:val="auto"/>
              </w:rPr>
            </w:pPr>
            <w:r>
              <w:rPr>
                <w:rFonts w:ascii="Arial" w:cs="Arial" w:eastAsia="Arial" w:hAnsi="Arial"/>
                <w:sz w:val="14"/>
                <w:szCs w:val="14"/>
                <w:b w:val="1"/>
                <w:bCs w:val="1"/>
                <w:color w:val="auto"/>
              </w:rPr>
              <w:t>Weighted-</w:t>
            </w:r>
          </w:p>
        </w:tc>
      </w:tr>
      <w:tr>
        <w:trPr>
          <w:trHeight w:val="189"/>
        </w:trPr>
        <w:tc>
          <w:tcPr>
            <w:tcW w:w="44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Outstanding</w:t>
            </w:r>
          </w:p>
        </w:tc>
        <w:tc>
          <w:tcPr>
            <w:tcW w:w="2160" w:type="dxa"/>
            <w:vAlign w:val="bottom"/>
            <w:tcBorders>
              <w:bottom w:val="single" w:sz="8" w:color="auto"/>
            </w:tcBorders>
            <w:gridSpan w:val="3"/>
          </w:tcPr>
          <w:p>
            <w:pPr>
              <w:jc w:val="right"/>
              <w:ind w:right="650"/>
              <w:spacing w:after="0"/>
              <w:rPr>
                <w:sz w:val="20"/>
                <w:szCs w:val="20"/>
                <w:color w:val="auto"/>
              </w:rPr>
            </w:pPr>
            <w:r>
              <w:rPr>
                <w:rFonts w:ascii="Arial" w:cs="Arial" w:eastAsia="Arial" w:hAnsi="Arial"/>
                <w:sz w:val="14"/>
                <w:szCs w:val="14"/>
                <w:b w:val="1"/>
                <w:bCs w:val="1"/>
                <w:color w:val="auto"/>
              </w:rPr>
              <w:t>Average Rate</w:t>
            </w:r>
          </w:p>
        </w:tc>
        <w:tc>
          <w:tcPr>
            <w:tcW w:w="132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Outstanding</w:t>
            </w:r>
          </w:p>
        </w:tc>
        <w:tc>
          <w:tcPr>
            <w:tcW w:w="180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Average Rate</w:t>
            </w:r>
          </w:p>
        </w:tc>
      </w:tr>
      <w:tr>
        <w:trPr>
          <w:trHeight w:val="195"/>
        </w:trPr>
        <w:tc>
          <w:tcPr>
            <w:tcW w:w="4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480" w:type="dxa"/>
            <w:vAlign w:val="bottom"/>
            <w:gridSpan w:val="4"/>
          </w:tcPr>
          <w:p>
            <w:pPr>
              <w:jc w:val="right"/>
              <w:ind w:right="419"/>
              <w:spacing w:after="0"/>
              <w:rPr>
                <w:sz w:val="20"/>
                <w:szCs w:val="20"/>
                <w:color w:val="auto"/>
              </w:rPr>
            </w:pPr>
            <w:r>
              <w:rPr>
                <w:rFonts w:ascii="Arial" w:cs="Arial" w:eastAsia="Arial" w:hAnsi="Arial"/>
                <w:sz w:val="14"/>
                <w:szCs w:val="14"/>
                <w:b w:val="1"/>
                <w:bCs w:val="1"/>
                <w:color w:val="auto"/>
              </w:rPr>
              <w:t>(in millions, except percentages)</w:t>
            </w:r>
          </w:p>
        </w:tc>
        <w:tc>
          <w:tcPr>
            <w:tcW w:w="1800" w:type="dxa"/>
            <w:vAlign w:val="bottom"/>
          </w:tcPr>
          <w:p>
            <w:pPr>
              <w:spacing w:after="0"/>
              <w:rPr>
                <w:sz w:val="16"/>
                <w:szCs w:val="16"/>
                <w:color w:val="auto"/>
              </w:rPr>
            </w:pPr>
          </w:p>
        </w:tc>
      </w:tr>
      <w:tr>
        <w:trPr>
          <w:trHeight w:val="230"/>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paper</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2,592</w:t>
            </w:r>
          </w:p>
        </w:tc>
        <w:tc>
          <w:tcPr>
            <w:tcW w:w="216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4.4 %  $</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30"/>
        </w:trPr>
        <w:tc>
          <w:tcPr>
            <w:tcW w:w="4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Bank loans</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8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11.0 %</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18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12.1 %</w:t>
            </w:r>
          </w:p>
        </w:tc>
      </w:tr>
      <w:tr>
        <w:trPr>
          <w:trHeight w:val="248"/>
        </w:trPr>
        <w:tc>
          <w:tcPr>
            <w:tcW w:w="44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short-term borrowings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2,645</w:t>
            </w:r>
          </w:p>
        </w:tc>
        <w:tc>
          <w:tcPr>
            <w:tcW w:w="1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800" w:type="dxa"/>
            <w:vAlign w:val="bottom"/>
            <w:tcBorders>
              <w:bottom w:val="single" w:sz="8" w:color="CCEEFF"/>
            </w:tcBorders>
            <w:shd w:val="clear" w:color="auto" w:fill="CCEEFF"/>
          </w:tcPr>
          <w:p>
            <w:pPr>
              <w:spacing w:after="0"/>
              <w:rPr>
                <w:sz w:val="21"/>
                <w:szCs w:val="2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Our uncommitted and committed credit facilities available include:</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6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080" w:type="dxa"/>
            <w:vAlign w:val="bottom"/>
            <w:tcBorders>
              <w:bottom w:val="single" w:sz="8" w:color="auto"/>
            </w:tcBorders>
            <w:gridSpan w:val="3"/>
          </w:tcPr>
          <w:p>
            <w:pPr>
              <w:jc w:val="right"/>
              <w:ind w:right="675"/>
              <w:spacing w:after="0"/>
              <w:rPr>
                <w:sz w:val="20"/>
                <w:szCs w:val="20"/>
                <w:color w:val="auto"/>
              </w:rPr>
            </w:pPr>
            <w:r>
              <w:rPr>
                <w:rFonts w:ascii="Arial" w:cs="Arial" w:eastAsia="Arial" w:hAnsi="Arial"/>
                <w:sz w:val="14"/>
                <w:szCs w:val="14"/>
                <w:b w:val="1"/>
                <w:bCs w:val="1"/>
                <w:color w:val="auto"/>
              </w:rPr>
              <w:t>As of September 30, 2025</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080" w:type="dxa"/>
            <w:vAlign w:val="bottom"/>
            <w:tcBorders>
              <w:bottom w:val="single" w:sz="8" w:color="auto"/>
            </w:tcBorders>
            <w:gridSpan w:val="3"/>
          </w:tcPr>
          <w:p>
            <w:pPr>
              <w:jc w:val="right"/>
              <w:ind w:right="693"/>
              <w:spacing w:after="0"/>
              <w:rPr>
                <w:sz w:val="20"/>
                <w:szCs w:val="20"/>
                <w:color w:val="auto"/>
              </w:rPr>
            </w:pPr>
            <w:r>
              <w:rPr>
                <w:rFonts w:ascii="Arial" w:cs="Arial" w:eastAsia="Arial" w:hAnsi="Arial"/>
                <w:sz w:val="14"/>
                <w:szCs w:val="14"/>
                <w:b w:val="1"/>
                <w:bCs w:val="1"/>
                <w:color w:val="auto"/>
              </w:rPr>
              <w:t>As of December 31, 2024</w:t>
            </w:r>
          </w:p>
        </w:tc>
      </w:tr>
      <w:tr>
        <w:trPr>
          <w:trHeight w:val="196"/>
        </w:trPr>
        <w:tc>
          <w:tcPr>
            <w:tcW w:w="46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Facility Amount</w:t>
            </w:r>
          </w:p>
        </w:tc>
        <w:tc>
          <w:tcPr>
            <w:tcW w:w="22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Borrowed Amount</w:t>
            </w:r>
          </w:p>
        </w:tc>
        <w:tc>
          <w:tcPr>
            <w:tcW w:w="1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Facility Amount</w:t>
            </w:r>
          </w:p>
        </w:tc>
        <w:tc>
          <w:tcPr>
            <w:tcW w:w="2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Borrowed Amount</w:t>
            </w:r>
          </w:p>
        </w:tc>
      </w:tr>
      <w:tr>
        <w:trPr>
          <w:trHeight w:val="196"/>
        </w:trPr>
        <w:tc>
          <w:tcPr>
            <w:tcW w:w="4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160" w:type="dxa"/>
            <w:vAlign w:val="bottom"/>
            <w:gridSpan w:val="4"/>
          </w:tcPr>
          <w:p>
            <w:pPr>
              <w:jc w:val="right"/>
              <w:ind w:right="1175"/>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30"/>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Uncommitted credit facilities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882</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784</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r>
      <w:tr>
        <w:trPr>
          <w:trHeight w:val="230"/>
        </w:trPr>
        <w:tc>
          <w:tcPr>
            <w:tcW w:w="46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Credit facilities </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9"/>
        </w:trPr>
        <w:tc>
          <w:tcPr>
            <w:tcW w:w="46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February 19, 2025</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1,500</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600" w:type="dxa"/>
            <w:vAlign w:val="bottom"/>
          </w:tcPr>
          <w:p>
            <w:pPr>
              <w:ind w:left="240"/>
              <w:spacing w:after="0"/>
              <w:rPr>
                <w:sz w:val="20"/>
                <w:szCs w:val="20"/>
                <w:color w:val="auto"/>
              </w:rPr>
            </w:pPr>
            <w:r>
              <w:rPr>
                <w:rFonts w:ascii="Arial" w:cs="Arial" w:eastAsia="Arial" w:hAnsi="Arial"/>
                <w:sz w:val="18"/>
                <w:szCs w:val="18"/>
                <w:color w:val="auto"/>
              </w:rPr>
              <w:t>February 18, 2026</w:t>
            </w:r>
          </w:p>
        </w:tc>
        <w:tc>
          <w:tcPr>
            <w:tcW w:w="180" w:type="dxa"/>
            <w:vAlign w:val="bottom"/>
          </w:tcPr>
          <w:p>
            <w:pPr>
              <w:spacing w:after="0"/>
              <w:rPr>
                <w:sz w:val="19"/>
                <w:szCs w:val="19"/>
                <w:color w:val="auto"/>
              </w:rPr>
            </w:pPr>
          </w:p>
        </w:tc>
        <w:tc>
          <w:tcPr>
            <w:tcW w:w="1420" w:type="dxa"/>
            <w:vAlign w:val="bottom"/>
          </w:tcPr>
          <w:p>
            <w:pPr>
              <w:jc w:val="right"/>
              <w:ind w:right="15"/>
              <w:spacing w:after="0"/>
              <w:rPr>
                <w:sz w:val="20"/>
                <w:szCs w:val="20"/>
                <w:color w:val="auto"/>
              </w:rPr>
            </w:pPr>
            <w:r>
              <w:rPr>
                <w:rFonts w:ascii="Arial" w:cs="Arial" w:eastAsia="Arial" w:hAnsi="Arial"/>
                <w:sz w:val="18"/>
                <w:szCs w:val="18"/>
                <w:color w:val="auto"/>
              </w:rPr>
              <w:t>1,500</w:t>
            </w:r>
          </w:p>
        </w:tc>
        <w:tc>
          <w:tcPr>
            <w:tcW w:w="220" w:type="dxa"/>
            <w:vAlign w:val="bottom"/>
          </w:tcPr>
          <w:p>
            <w:pPr>
              <w:spacing w:after="0"/>
              <w:rPr>
                <w:sz w:val="19"/>
                <w:szCs w:val="19"/>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2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6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February 23, 2027</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4,500</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9"/>
        </w:trPr>
        <w:tc>
          <w:tcPr>
            <w:tcW w:w="4600" w:type="dxa"/>
            <w:vAlign w:val="bottom"/>
          </w:tcPr>
          <w:p>
            <w:pPr>
              <w:ind w:left="240"/>
              <w:spacing w:after="0"/>
              <w:rPr>
                <w:sz w:val="20"/>
                <w:szCs w:val="20"/>
                <w:color w:val="auto"/>
              </w:rPr>
            </w:pPr>
            <w:r>
              <w:rPr>
                <w:rFonts w:ascii="Arial" w:cs="Arial" w:eastAsia="Arial" w:hAnsi="Arial"/>
                <w:sz w:val="18"/>
                <w:szCs w:val="18"/>
                <w:color w:val="auto"/>
              </w:rPr>
              <w:t>February 19, 2030</w:t>
            </w:r>
          </w:p>
        </w:tc>
        <w:tc>
          <w:tcPr>
            <w:tcW w:w="180" w:type="dxa"/>
            <w:vAlign w:val="bottom"/>
          </w:tcPr>
          <w:p>
            <w:pPr>
              <w:spacing w:after="0"/>
              <w:rPr>
                <w:sz w:val="20"/>
                <w:szCs w:val="20"/>
                <w:color w:val="auto"/>
              </w:rPr>
            </w:pPr>
          </w:p>
        </w:tc>
        <w:tc>
          <w:tcPr>
            <w:tcW w:w="1420" w:type="dxa"/>
            <w:vAlign w:val="bottom"/>
          </w:tcPr>
          <w:p>
            <w:pPr>
              <w:jc w:val="right"/>
              <w:ind w:right="15"/>
              <w:spacing w:after="0"/>
              <w:rPr>
                <w:sz w:val="20"/>
                <w:szCs w:val="20"/>
                <w:color w:val="auto"/>
              </w:rPr>
            </w:pPr>
            <w:r>
              <w:rPr>
                <w:rFonts w:ascii="Arial" w:cs="Arial" w:eastAsia="Arial" w:hAnsi="Arial"/>
                <w:sz w:val="18"/>
                <w:szCs w:val="18"/>
                <w:color w:val="auto"/>
              </w:rPr>
              <w:t>4,500</w:t>
            </w:r>
          </w:p>
        </w:tc>
        <w:tc>
          <w:tcPr>
            <w:tcW w:w="220" w:type="dxa"/>
            <w:vAlign w:val="bottom"/>
          </w:tcPr>
          <w:p>
            <w:pPr>
              <w:spacing w:after="0"/>
              <w:rPr>
                <w:sz w:val="20"/>
                <w:szCs w:val="20"/>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42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319" w:lineRule="exact"/>
        <w:rPr>
          <w:sz w:val="20"/>
          <w:szCs w:val="20"/>
          <w:color w:val="auto"/>
        </w:rPr>
      </w:pPr>
    </w:p>
    <w:p>
      <w:pPr>
        <w:jc w:val="both"/>
        <w:ind w:left="260" w:hanging="252"/>
        <w:spacing w:after="0" w:line="263" w:lineRule="auto"/>
        <w:tabs>
          <w:tab w:leader="none" w:pos="247" w:val="left"/>
        </w:tabs>
        <w:numPr>
          <w:ilvl w:val="0"/>
          <w:numId w:val="3"/>
        </w:numPr>
        <w:rPr>
          <w:rFonts w:ascii="Arial" w:cs="Arial" w:eastAsia="Arial" w:hAnsi="Arial"/>
          <w:sz w:val="14"/>
          <w:szCs w:val="14"/>
          <w:color w:val="auto"/>
        </w:rPr>
      </w:pPr>
      <w:r>
        <w:rPr>
          <w:rFonts w:ascii="Arial" w:cs="Arial" w:eastAsia="Arial" w:hAnsi="Arial"/>
          <w:sz w:val="14"/>
          <w:szCs w:val="14"/>
          <w:color w:val="auto"/>
        </w:rPr>
        <w:t>On February 19, 2025, our $1.5 billion 364-day senior unsecured revolving credit agreement dated as of February 21, 2024 expired and we entered into a $1.5 billion 364-day senior unsecured revolving credit agreement that will expire on February 18, 2026. Additionally, we early terminated our $4.5 billion five-year senior unsecured revolving credit agreement dated as of February 23, 2022, and entered into a $4.5 billion five-year senior unsecured revolving credit agreement that will expire on February 19, 2030.</w:t>
      </w:r>
    </w:p>
    <w:p>
      <w:pPr>
        <w:spacing w:after="0" w:line="190"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maintain senior unsecured revolving credit facilities for general corporate purposes, including working capital needs, and to support our commercial paper program. The revolving credit agreements include a covenant that we maintain a minimum shareholders' equity of at least $25.0 billion, excluding accumulated other comprehensive earnings/(losses), the cumulative effects of any changes in accounting principles and earnings/(losses) recognized in connection with any mark-to-market accounting for pensions and other retirement plans. At September 30, 2025, we complied with this covenant. The revolving credit facility also contains customary representations, covenants and events of default. There are no credit rating triggers, provisions or other financial covenants that could require us to post collateral as security.</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Repayments</w:t>
      </w:r>
    </w:p>
    <w:p>
      <w:pPr>
        <w:spacing w:after="0"/>
        <w:rPr>
          <w:sz w:val="20"/>
          <w:szCs w:val="20"/>
          <w:color w:val="auto"/>
        </w:rPr>
      </w:pPr>
      <w:r>
        <w:rPr>
          <w:rFonts w:ascii="Arial" w:cs="Arial" w:eastAsia="Arial" w:hAnsi="Arial"/>
          <w:sz w:val="18"/>
          <w:szCs w:val="18"/>
          <w:color w:val="auto"/>
        </w:rPr>
        <w:t>During the nine months ended September 30, 2025, we repaid the following notes (in millions):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Interest Rate</w:t>
            </w:r>
          </w:p>
        </w:tc>
        <w:tc>
          <w:tcPr>
            <w:tcW w:w="2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Maturity Date</w:t>
            </w:r>
          </w:p>
        </w:tc>
        <w:tc>
          <w:tcPr>
            <w:tcW w:w="2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Amount</w:t>
            </w:r>
          </w:p>
        </w:tc>
        <w:tc>
          <w:tcPr>
            <w:tcW w:w="2740" w:type="dxa"/>
            <w:vAlign w:val="bottom"/>
          </w:tcPr>
          <w:p>
            <w:pPr>
              <w:jc w:val="center"/>
              <w:spacing w:after="0"/>
              <w:rPr>
                <w:sz w:val="20"/>
                <w:szCs w:val="20"/>
                <w:color w:val="auto"/>
              </w:rPr>
            </w:pPr>
            <w:r>
              <w:rPr>
                <w:rFonts w:ascii="Arial" w:cs="Arial" w:eastAsia="Arial" w:hAnsi="Arial"/>
                <w:sz w:val="14"/>
                <w:szCs w:val="14"/>
                <w:b w:val="1"/>
                <w:bCs w:val="1"/>
                <w:color w:val="auto"/>
              </w:rPr>
              <w:t>USD Equivalent</w:t>
            </w:r>
          </w:p>
        </w:tc>
      </w:tr>
      <w:tr>
        <w:trPr>
          <w:trHeight w:val="224"/>
        </w:trPr>
        <w:tc>
          <w:tcPr>
            <w:tcW w:w="2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8"/>
              </w:rPr>
              <w:t>3.250%</w:t>
            </w:r>
          </w:p>
        </w:tc>
        <w:tc>
          <w:tcPr>
            <w:tcW w:w="120" w:type="dxa"/>
            <w:vAlign w:val="bottom"/>
            <w:tcBorders>
              <w:top w:val="single" w:sz="8" w:color="CCEEFF"/>
            </w:tcBorders>
            <w:shd w:val="clear" w:color="auto" w:fill="CCEEFF"/>
          </w:tcPr>
          <w:p>
            <w:pPr>
              <w:spacing w:after="0"/>
              <w:rPr>
                <w:sz w:val="19"/>
                <w:szCs w:val="19"/>
                <w:color w:val="auto"/>
              </w:rPr>
            </w:pPr>
          </w:p>
        </w:tc>
        <w:tc>
          <w:tcPr>
            <w:tcW w:w="27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March 2025</w:t>
            </w:r>
          </w:p>
        </w:tc>
        <w:tc>
          <w:tcPr>
            <w:tcW w:w="120" w:type="dxa"/>
            <w:vAlign w:val="bottom"/>
            <w:tcBorders>
              <w:top w:val="single" w:sz="8" w:color="CCEEFF"/>
            </w:tcBorders>
            <w:shd w:val="clear" w:color="auto" w:fill="CCEEFF"/>
          </w:tcPr>
          <w:p>
            <w:pPr>
              <w:spacing w:after="0"/>
              <w:rPr>
                <w:sz w:val="19"/>
                <w:szCs w:val="19"/>
                <w:color w:val="auto"/>
              </w:rPr>
            </w:pPr>
          </w:p>
        </w:tc>
        <w:tc>
          <w:tcPr>
            <w:tcW w:w="27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C$600</w:t>
            </w:r>
          </w:p>
        </w:tc>
        <w:tc>
          <w:tcPr>
            <w:tcW w:w="100" w:type="dxa"/>
            <w:vAlign w:val="bottom"/>
            <w:tcBorders>
              <w:top w:val="single" w:sz="8" w:color="CCEEFF"/>
            </w:tcBorders>
            <w:shd w:val="clear" w:color="auto" w:fill="CCEEFF"/>
          </w:tcPr>
          <w:p>
            <w:pPr>
              <w:spacing w:after="0"/>
              <w:rPr>
                <w:sz w:val="19"/>
                <w:szCs w:val="19"/>
                <w:color w:val="auto"/>
              </w:rPr>
            </w:pPr>
          </w:p>
        </w:tc>
        <w:tc>
          <w:tcPr>
            <w:tcW w:w="2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$417</w:t>
            </w:r>
          </w:p>
        </w:tc>
      </w:tr>
      <w:tr>
        <w:trPr>
          <w:trHeight w:val="230"/>
        </w:trPr>
        <w:tc>
          <w:tcPr>
            <w:tcW w:w="2700" w:type="dxa"/>
            <w:vAlign w:val="bottom"/>
          </w:tcPr>
          <w:p>
            <w:pPr>
              <w:jc w:val="center"/>
              <w:spacing w:after="0"/>
              <w:rPr>
                <w:sz w:val="20"/>
                <w:szCs w:val="20"/>
                <w:color w:val="auto"/>
              </w:rPr>
            </w:pPr>
            <w:r>
              <w:rPr>
                <w:rFonts w:ascii="Arial" w:cs="Arial" w:eastAsia="Arial" w:hAnsi="Arial"/>
                <w:sz w:val="18"/>
                <w:szCs w:val="18"/>
                <w:color w:val="auto"/>
                <w:w w:val="98"/>
              </w:rPr>
              <w:t>1.500%</w:t>
            </w:r>
          </w:p>
        </w:tc>
        <w:tc>
          <w:tcPr>
            <w:tcW w:w="120" w:type="dxa"/>
            <w:vAlign w:val="bottom"/>
          </w:tcPr>
          <w:p>
            <w:pPr>
              <w:spacing w:after="0"/>
              <w:rPr>
                <w:sz w:val="19"/>
                <w:szCs w:val="19"/>
                <w:color w:val="auto"/>
              </w:rPr>
            </w:pPr>
          </w:p>
        </w:tc>
        <w:tc>
          <w:tcPr>
            <w:tcW w:w="2840" w:type="dxa"/>
            <w:vAlign w:val="bottom"/>
            <w:gridSpan w:val="2"/>
          </w:tcPr>
          <w:p>
            <w:pPr>
              <w:jc w:val="center"/>
              <w:ind w:right="120"/>
              <w:spacing w:after="0"/>
              <w:rPr>
                <w:sz w:val="20"/>
                <w:szCs w:val="20"/>
                <w:color w:val="auto"/>
              </w:rPr>
            </w:pPr>
            <w:r>
              <w:rPr>
                <w:rFonts w:ascii="Arial" w:cs="Arial" w:eastAsia="Arial" w:hAnsi="Arial"/>
                <w:sz w:val="18"/>
                <w:szCs w:val="18"/>
                <w:color w:val="auto"/>
              </w:rPr>
              <w:t>May 2025</w:t>
            </w:r>
          </w:p>
        </w:tc>
        <w:tc>
          <w:tcPr>
            <w:tcW w:w="2720" w:type="dxa"/>
            <w:vAlign w:val="bottom"/>
          </w:tcPr>
          <w:p>
            <w:pPr>
              <w:jc w:val="center"/>
              <w:spacing w:after="0"/>
              <w:rPr>
                <w:sz w:val="20"/>
                <w:szCs w:val="20"/>
                <w:color w:val="auto"/>
              </w:rPr>
            </w:pPr>
            <w:r>
              <w:rPr>
                <w:rFonts w:ascii="Arial" w:cs="Arial" w:eastAsia="Arial" w:hAnsi="Arial"/>
                <w:sz w:val="18"/>
                <w:szCs w:val="18"/>
                <w:color w:val="auto"/>
                <w:w w:val="99"/>
              </w:rPr>
              <w:t>$750</w:t>
            </w:r>
          </w:p>
        </w:tc>
        <w:tc>
          <w:tcPr>
            <w:tcW w:w="100" w:type="dxa"/>
            <w:vAlign w:val="bottom"/>
          </w:tcPr>
          <w:p>
            <w:pPr>
              <w:spacing w:after="0"/>
              <w:rPr>
                <w:sz w:val="19"/>
                <w:szCs w:val="19"/>
                <w:color w:val="auto"/>
              </w:rPr>
            </w:pPr>
          </w:p>
        </w:tc>
        <w:tc>
          <w:tcPr>
            <w:tcW w:w="2740" w:type="dxa"/>
            <w:vAlign w:val="bottom"/>
          </w:tcPr>
          <w:p>
            <w:pPr>
              <w:jc w:val="center"/>
              <w:spacing w:after="0"/>
              <w:rPr>
                <w:sz w:val="20"/>
                <w:szCs w:val="20"/>
                <w:color w:val="auto"/>
              </w:rPr>
            </w:pPr>
            <w:r>
              <w:rPr>
                <w:rFonts w:ascii="Arial" w:cs="Arial" w:eastAsia="Arial" w:hAnsi="Arial"/>
                <w:sz w:val="18"/>
                <w:szCs w:val="18"/>
                <w:color w:val="auto"/>
                <w:w w:val="99"/>
              </w:rPr>
              <w:t>$750</w:t>
            </w:r>
          </w:p>
        </w:tc>
      </w:tr>
      <w:tr>
        <w:trPr>
          <w:trHeight w:val="230"/>
        </w:trPr>
        <w:tc>
          <w:tcPr>
            <w:tcW w:w="2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4.250%</w:t>
            </w:r>
          </w:p>
        </w:tc>
        <w:tc>
          <w:tcPr>
            <w:tcW w:w="120" w:type="dxa"/>
            <w:vAlign w:val="bottom"/>
            <w:shd w:val="clear" w:color="auto" w:fill="CCEEFF"/>
          </w:tcPr>
          <w:p>
            <w:pPr>
              <w:spacing w:after="0"/>
              <w:rPr>
                <w:sz w:val="19"/>
                <w:szCs w:val="19"/>
                <w:color w:val="auto"/>
              </w:rPr>
            </w:pPr>
          </w:p>
        </w:tc>
        <w:tc>
          <w:tcPr>
            <w:tcW w:w="2840" w:type="dxa"/>
            <w:vAlign w:val="bottom"/>
            <w:gridSpan w:val="2"/>
            <w:shd w:val="clear" w:color="auto" w:fill="CCEEFF"/>
          </w:tcPr>
          <w:p>
            <w:pPr>
              <w:jc w:val="center"/>
              <w:ind w:right="120"/>
              <w:spacing w:after="0" w:line="230" w:lineRule="exact"/>
              <w:rPr>
                <w:sz w:val="20"/>
                <w:szCs w:val="20"/>
                <w:color w:val="auto"/>
              </w:rPr>
            </w:pPr>
            <w:r>
              <w:rPr>
                <w:rFonts w:ascii="Arial" w:cs="Arial" w:eastAsia="Arial" w:hAnsi="Arial"/>
                <w:sz w:val="18"/>
                <w:szCs w:val="18"/>
                <w:color w:val="auto"/>
                <w:w w:val="96"/>
              </w:rPr>
              <w:t xml:space="preserve">September 2025 </w:t>
            </w:r>
            <w:r>
              <w:rPr>
                <w:rFonts w:ascii="Arial" w:cs="Arial" w:eastAsia="Arial" w:hAnsi="Arial"/>
                <w:sz w:val="23"/>
                <w:szCs w:val="23"/>
                <w:color w:val="auto"/>
                <w:w w:val="96"/>
                <w:vertAlign w:val="superscript"/>
              </w:rPr>
              <w:t>(1)</w:t>
            </w:r>
          </w:p>
        </w:tc>
        <w:tc>
          <w:tcPr>
            <w:tcW w:w="2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$500</w:t>
            </w:r>
          </w:p>
        </w:tc>
        <w:tc>
          <w:tcPr>
            <w:tcW w:w="100" w:type="dxa"/>
            <w:vAlign w:val="bottom"/>
            <w:shd w:val="clear" w:color="auto" w:fill="CCEEFF"/>
          </w:tcPr>
          <w:p>
            <w:pPr>
              <w:spacing w:after="0"/>
              <w:rPr>
                <w:sz w:val="19"/>
                <w:szCs w:val="19"/>
                <w:color w:val="auto"/>
              </w:rPr>
            </w:pPr>
          </w:p>
        </w:tc>
        <w:tc>
          <w:tcPr>
            <w:tcW w:w="2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$500</w:t>
            </w:r>
          </w:p>
        </w:tc>
      </w:tr>
    </w:tbl>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(1) Repaid by Mondelez International Holdings Netherlands B.V. ("MIHN"), a wholly owned Dutch subsidiary of Mondelēz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6845935</wp:posOffset>
            </wp:positionH>
            <wp:positionV relativeFrom="paragraph">
              <wp:posOffset>1737995</wp:posOffset>
            </wp:positionV>
            <wp:extent cx="282575" cy="1885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287655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During the nine months ended September 30, 2024, we repaid the following notes (in millions):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Interest Rate</w:t>
            </w:r>
          </w:p>
        </w:tc>
        <w:tc>
          <w:tcPr>
            <w:tcW w:w="2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Maturity Date</w:t>
            </w:r>
          </w:p>
        </w:tc>
        <w:tc>
          <w:tcPr>
            <w:tcW w:w="2820" w:type="dxa"/>
            <w:vAlign w:val="bottom"/>
            <w:gridSpan w:val="2"/>
          </w:tcPr>
          <w:p>
            <w:pPr>
              <w:ind w:left="1080"/>
              <w:spacing w:after="0"/>
              <w:rPr>
                <w:sz w:val="20"/>
                <w:szCs w:val="20"/>
                <w:color w:val="auto"/>
              </w:rPr>
            </w:pPr>
            <w:r>
              <w:rPr>
                <w:rFonts w:ascii="Arial" w:cs="Arial" w:eastAsia="Arial" w:hAnsi="Arial"/>
                <w:sz w:val="14"/>
                <w:szCs w:val="14"/>
                <w:b w:val="1"/>
                <w:bCs w:val="1"/>
                <w:color w:val="auto"/>
              </w:rPr>
              <w:t>Amount</w:t>
            </w:r>
          </w:p>
        </w:tc>
        <w:tc>
          <w:tcPr>
            <w:tcW w:w="2740" w:type="dxa"/>
            <w:vAlign w:val="bottom"/>
          </w:tcPr>
          <w:p>
            <w:pPr>
              <w:jc w:val="center"/>
              <w:spacing w:after="0"/>
              <w:rPr>
                <w:sz w:val="20"/>
                <w:szCs w:val="20"/>
                <w:color w:val="auto"/>
              </w:rPr>
            </w:pPr>
            <w:r>
              <w:rPr>
                <w:rFonts w:ascii="Arial" w:cs="Arial" w:eastAsia="Arial" w:hAnsi="Arial"/>
                <w:sz w:val="14"/>
                <w:szCs w:val="14"/>
                <w:b w:val="1"/>
                <w:bCs w:val="1"/>
                <w:color w:val="auto"/>
              </w:rPr>
              <w:t>USD Equivalent</w:t>
            </w:r>
          </w:p>
        </w:tc>
      </w:tr>
      <w:tr>
        <w:trPr>
          <w:trHeight w:val="224"/>
        </w:trPr>
        <w:tc>
          <w:tcPr>
            <w:tcW w:w="2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8"/>
              </w:rPr>
              <w:t>2.125%</w:t>
            </w:r>
          </w:p>
        </w:tc>
        <w:tc>
          <w:tcPr>
            <w:tcW w:w="120" w:type="dxa"/>
            <w:vAlign w:val="bottom"/>
            <w:tcBorders>
              <w:top w:val="single" w:sz="8" w:color="CCEEFF"/>
            </w:tcBorders>
            <w:shd w:val="clear" w:color="auto" w:fill="CCEEFF"/>
          </w:tcPr>
          <w:p>
            <w:pPr>
              <w:spacing w:after="0"/>
              <w:rPr>
                <w:sz w:val="19"/>
                <w:szCs w:val="19"/>
                <w:color w:val="auto"/>
              </w:rPr>
            </w:pPr>
          </w:p>
        </w:tc>
        <w:tc>
          <w:tcPr>
            <w:tcW w:w="27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March 2024</w:t>
            </w:r>
          </w:p>
        </w:tc>
        <w:tc>
          <w:tcPr>
            <w:tcW w:w="120" w:type="dxa"/>
            <w:vAlign w:val="bottom"/>
            <w:tcBorders>
              <w:top w:val="single" w:sz="8" w:color="CCEEFF"/>
            </w:tcBorders>
            <w:shd w:val="clear" w:color="auto" w:fill="CCEEFF"/>
          </w:tcPr>
          <w:p>
            <w:pPr>
              <w:spacing w:after="0"/>
              <w:rPr>
                <w:sz w:val="19"/>
                <w:szCs w:val="19"/>
                <w:color w:val="auto"/>
              </w:rPr>
            </w:pPr>
          </w:p>
        </w:tc>
        <w:tc>
          <w:tcPr>
            <w:tcW w:w="27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$500</w:t>
            </w:r>
          </w:p>
        </w:tc>
        <w:tc>
          <w:tcPr>
            <w:tcW w:w="100" w:type="dxa"/>
            <w:vAlign w:val="bottom"/>
            <w:tcBorders>
              <w:top w:val="single" w:sz="8" w:color="CCEEFF"/>
            </w:tcBorders>
            <w:shd w:val="clear" w:color="auto" w:fill="CCEEFF"/>
          </w:tcPr>
          <w:p>
            <w:pPr>
              <w:spacing w:after="0"/>
              <w:rPr>
                <w:sz w:val="19"/>
                <w:szCs w:val="19"/>
                <w:color w:val="auto"/>
              </w:rPr>
            </w:pPr>
          </w:p>
        </w:tc>
        <w:tc>
          <w:tcPr>
            <w:tcW w:w="2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$500</w:t>
            </w:r>
          </w:p>
        </w:tc>
      </w:tr>
      <w:tr>
        <w:trPr>
          <w:trHeight w:val="230"/>
        </w:trPr>
        <w:tc>
          <w:tcPr>
            <w:tcW w:w="2700" w:type="dxa"/>
            <w:vAlign w:val="bottom"/>
          </w:tcPr>
          <w:p>
            <w:pPr>
              <w:jc w:val="center"/>
              <w:spacing w:after="0"/>
              <w:rPr>
                <w:sz w:val="20"/>
                <w:szCs w:val="20"/>
                <w:color w:val="auto"/>
              </w:rPr>
            </w:pPr>
            <w:r>
              <w:rPr>
                <w:rFonts w:ascii="Arial" w:cs="Arial" w:eastAsia="Arial" w:hAnsi="Arial"/>
                <w:sz w:val="18"/>
                <w:szCs w:val="18"/>
                <w:color w:val="auto"/>
                <w:w w:val="98"/>
              </w:rPr>
              <w:t>2.250%</w:t>
            </w:r>
          </w:p>
        </w:tc>
        <w:tc>
          <w:tcPr>
            <w:tcW w:w="120" w:type="dxa"/>
            <w:vAlign w:val="bottom"/>
          </w:tcPr>
          <w:p>
            <w:pPr>
              <w:spacing w:after="0"/>
              <w:rPr>
                <w:sz w:val="19"/>
                <w:szCs w:val="19"/>
                <w:color w:val="auto"/>
              </w:rPr>
            </w:pPr>
          </w:p>
        </w:tc>
        <w:tc>
          <w:tcPr>
            <w:tcW w:w="2840" w:type="dxa"/>
            <w:vAlign w:val="bottom"/>
            <w:gridSpan w:val="2"/>
          </w:tcPr>
          <w:p>
            <w:pPr>
              <w:jc w:val="center"/>
              <w:ind w:right="120"/>
              <w:spacing w:after="0" w:line="230" w:lineRule="exact"/>
              <w:rPr>
                <w:sz w:val="20"/>
                <w:szCs w:val="20"/>
                <w:color w:val="auto"/>
              </w:rPr>
            </w:pPr>
            <w:r>
              <w:rPr>
                <w:rFonts w:ascii="Arial" w:cs="Arial" w:eastAsia="Arial" w:hAnsi="Arial"/>
                <w:sz w:val="18"/>
                <w:szCs w:val="18"/>
                <w:color w:val="auto"/>
                <w:w w:val="96"/>
              </w:rPr>
              <w:t xml:space="preserve">September 2024 </w:t>
            </w:r>
            <w:r>
              <w:rPr>
                <w:rFonts w:ascii="Arial" w:cs="Arial" w:eastAsia="Arial" w:hAnsi="Arial"/>
                <w:sz w:val="23"/>
                <w:szCs w:val="23"/>
                <w:color w:val="auto"/>
                <w:w w:val="96"/>
                <w:vertAlign w:val="superscript"/>
              </w:rPr>
              <w:t>(1)</w:t>
            </w:r>
          </w:p>
        </w:tc>
        <w:tc>
          <w:tcPr>
            <w:tcW w:w="2720" w:type="dxa"/>
            <w:vAlign w:val="bottom"/>
          </w:tcPr>
          <w:p>
            <w:pPr>
              <w:jc w:val="center"/>
              <w:spacing w:after="0"/>
              <w:rPr>
                <w:sz w:val="20"/>
                <w:szCs w:val="20"/>
                <w:color w:val="auto"/>
              </w:rPr>
            </w:pPr>
            <w:r>
              <w:rPr>
                <w:rFonts w:ascii="Arial" w:cs="Arial" w:eastAsia="Arial" w:hAnsi="Arial"/>
                <w:sz w:val="18"/>
                <w:szCs w:val="18"/>
                <w:color w:val="auto"/>
                <w:w w:val="99"/>
              </w:rPr>
              <w:t>$500</w:t>
            </w:r>
          </w:p>
        </w:tc>
        <w:tc>
          <w:tcPr>
            <w:tcW w:w="100" w:type="dxa"/>
            <w:vAlign w:val="bottom"/>
          </w:tcPr>
          <w:p>
            <w:pPr>
              <w:spacing w:after="0"/>
              <w:rPr>
                <w:sz w:val="19"/>
                <w:szCs w:val="19"/>
                <w:color w:val="auto"/>
              </w:rPr>
            </w:pPr>
          </w:p>
        </w:tc>
        <w:tc>
          <w:tcPr>
            <w:tcW w:w="2740" w:type="dxa"/>
            <w:vAlign w:val="bottom"/>
          </w:tcPr>
          <w:p>
            <w:pPr>
              <w:jc w:val="center"/>
              <w:spacing w:after="0"/>
              <w:rPr>
                <w:sz w:val="20"/>
                <w:szCs w:val="20"/>
                <w:color w:val="auto"/>
              </w:rPr>
            </w:pPr>
            <w:r>
              <w:rPr>
                <w:rFonts w:ascii="Arial" w:cs="Arial" w:eastAsia="Arial" w:hAnsi="Arial"/>
                <w:sz w:val="18"/>
                <w:szCs w:val="18"/>
                <w:color w:val="auto"/>
                <w:w w:val="99"/>
              </w:rPr>
              <w:t>$500</w:t>
            </w:r>
          </w:p>
        </w:tc>
      </w:tr>
      <w:tr>
        <w:trPr>
          <w:trHeight w:val="229"/>
        </w:trPr>
        <w:tc>
          <w:tcPr>
            <w:tcW w:w="2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0.000%</w:t>
            </w:r>
          </w:p>
        </w:tc>
        <w:tc>
          <w:tcPr>
            <w:tcW w:w="120" w:type="dxa"/>
            <w:vAlign w:val="bottom"/>
            <w:shd w:val="clear" w:color="auto" w:fill="CCEEFF"/>
          </w:tcPr>
          <w:p>
            <w:pPr>
              <w:spacing w:after="0"/>
              <w:rPr>
                <w:sz w:val="19"/>
                <w:szCs w:val="19"/>
                <w:color w:val="auto"/>
              </w:rPr>
            </w:pPr>
          </w:p>
        </w:tc>
        <w:tc>
          <w:tcPr>
            <w:tcW w:w="2840" w:type="dxa"/>
            <w:vAlign w:val="bottom"/>
            <w:gridSpan w:val="2"/>
            <w:shd w:val="clear" w:color="auto" w:fill="CCEEFF"/>
          </w:tcPr>
          <w:p>
            <w:pPr>
              <w:jc w:val="center"/>
              <w:ind w:right="120"/>
              <w:spacing w:after="0" w:line="230" w:lineRule="exact"/>
              <w:rPr>
                <w:sz w:val="20"/>
                <w:szCs w:val="20"/>
                <w:color w:val="auto"/>
              </w:rPr>
            </w:pPr>
            <w:r>
              <w:rPr>
                <w:rFonts w:ascii="Arial" w:cs="Arial" w:eastAsia="Arial" w:hAnsi="Arial"/>
                <w:sz w:val="18"/>
                <w:szCs w:val="18"/>
                <w:color w:val="auto"/>
                <w:w w:val="96"/>
              </w:rPr>
              <w:t xml:space="preserve">September 2024 </w:t>
            </w:r>
            <w:r>
              <w:rPr>
                <w:rFonts w:ascii="Arial" w:cs="Arial" w:eastAsia="Arial" w:hAnsi="Arial"/>
                <w:sz w:val="23"/>
                <w:szCs w:val="23"/>
                <w:color w:val="auto"/>
                <w:w w:val="96"/>
                <w:vertAlign w:val="superscript"/>
              </w:rPr>
              <w:t>(1)</w:t>
            </w:r>
          </w:p>
        </w:tc>
        <w:tc>
          <w:tcPr>
            <w:tcW w:w="28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€300</w:t>
            </w:r>
          </w:p>
        </w:tc>
        <w:tc>
          <w:tcPr>
            <w:tcW w:w="2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$333</w:t>
            </w:r>
          </w:p>
        </w:tc>
      </w:tr>
      <w:tr>
        <w:trPr>
          <w:trHeight w:val="229"/>
        </w:trPr>
        <w:tc>
          <w:tcPr>
            <w:tcW w:w="2700" w:type="dxa"/>
            <w:vAlign w:val="bottom"/>
          </w:tcPr>
          <w:p>
            <w:pPr>
              <w:jc w:val="center"/>
              <w:spacing w:after="0"/>
              <w:rPr>
                <w:sz w:val="20"/>
                <w:szCs w:val="20"/>
                <w:color w:val="auto"/>
              </w:rPr>
            </w:pPr>
            <w:r>
              <w:rPr>
                <w:rFonts w:ascii="Arial" w:cs="Arial" w:eastAsia="Arial" w:hAnsi="Arial"/>
                <w:sz w:val="18"/>
                <w:szCs w:val="18"/>
                <w:color w:val="auto"/>
                <w:w w:val="98"/>
              </w:rPr>
              <w:t>0.750%</w:t>
            </w:r>
          </w:p>
        </w:tc>
        <w:tc>
          <w:tcPr>
            <w:tcW w:w="120" w:type="dxa"/>
            <w:vAlign w:val="bottom"/>
          </w:tcPr>
          <w:p>
            <w:pPr>
              <w:spacing w:after="0"/>
              <w:rPr>
                <w:sz w:val="19"/>
                <w:szCs w:val="19"/>
                <w:color w:val="auto"/>
              </w:rPr>
            </w:pPr>
          </w:p>
        </w:tc>
        <w:tc>
          <w:tcPr>
            <w:tcW w:w="2840" w:type="dxa"/>
            <w:vAlign w:val="bottom"/>
            <w:gridSpan w:val="2"/>
          </w:tcPr>
          <w:p>
            <w:pPr>
              <w:jc w:val="center"/>
              <w:ind w:right="120"/>
              <w:spacing w:after="0" w:line="230" w:lineRule="exact"/>
              <w:rPr>
                <w:sz w:val="20"/>
                <w:szCs w:val="20"/>
                <w:color w:val="auto"/>
              </w:rPr>
            </w:pPr>
            <w:r>
              <w:rPr>
                <w:rFonts w:ascii="Arial" w:cs="Arial" w:eastAsia="Arial" w:hAnsi="Arial"/>
                <w:sz w:val="18"/>
                <w:szCs w:val="18"/>
                <w:color w:val="auto"/>
                <w:w w:val="96"/>
              </w:rPr>
              <w:t xml:space="preserve">September 2024 </w:t>
            </w:r>
            <w:r>
              <w:rPr>
                <w:rFonts w:ascii="Arial" w:cs="Arial" w:eastAsia="Arial" w:hAnsi="Arial"/>
                <w:sz w:val="23"/>
                <w:szCs w:val="23"/>
                <w:color w:val="auto"/>
                <w:w w:val="96"/>
                <w:vertAlign w:val="superscript"/>
              </w:rPr>
              <w:t>(1)</w:t>
            </w:r>
          </w:p>
        </w:tc>
        <w:tc>
          <w:tcPr>
            <w:tcW w:w="2720" w:type="dxa"/>
            <w:vAlign w:val="bottom"/>
          </w:tcPr>
          <w:p>
            <w:pPr>
              <w:jc w:val="center"/>
              <w:spacing w:after="0"/>
              <w:rPr>
                <w:sz w:val="20"/>
                <w:szCs w:val="20"/>
                <w:color w:val="auto"/>
              </w:rPr>
            </w:pPr>
            <w:r>
              <w:rPr>
                <w:rFonts w:ascii="Arial" w:cs="Arial" w:eastAsia="Arial" w:hAnsi="Arial"/>
                <w:sz w:val="18"/>
                <w:szCs w:val="18"/>
                <w:color w:val="auto"/>
                <w:w w:val="99"/>
              </w:rPr>
              <w:t>$500</w:t>
            </w:r>
          </w:p>
        </w:tc>
        <w:tc>
          <w:tcPr>
            <w:tcW w:w="100" w:type="dxa"/>
            <w:vAlign w:val="bottom"/>
          </w:tcPr>
          <w:p>
            <w:pPr>
              <w:spacing w:after="0"/>
              <w:rPr>
                <w:sz w:val="19"/>
                <w:szCs w:val="19"/>
                <w:color w:val="auto"/>
              </w:rPr>
            </w:pPr>
          </w:p>
        </w:tc>
        <w:tc>
          <w:tcPr>
            <w:tcW w:w="2740" w:type="dxa"/>
            <w:vAlign w:val="bottom"/>
          </w:tcPr>
          <w:p>
            <w:pPr>
              <w:jc w:val="center"/>
              <w:spacing w:after="0"/>
              <w:rPr>
                <w:sz w:val="20"/>
                <w:szCs w:val="20"/>
                <w:color w:val="auto"/>
              </w:rPr>
            </w:pPr>
            <w:r>
              <w:rPr>
                <w:rFonts w:ascii="Arial" w:cs="Arial" w:eastAsia="Arial" w:hAnsi="Arial"/>
                <w:sz w:val="18"/>
                <w:szCs w:val="18"/>
                <w:color w:val="auto"/>
                <w:w w:val="99"/>
              </w:rPr>
              <w:t>$500</w:t>
            </w:r>
          </w:p>
        </w:tc>
      </w:tr>
      <w:tr>
        <w:trPr>
          <w:trHeight w:val="230"/>
        </w:trPr>
        <w:tc>
          <w:tcPr>
            <w:tcW w:w="2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0.617%</w:t>
            </w:r>
          </w:p>
        </w:tc>
        <w:tc>
          <w:tcPr>
            <w:tcW w:w="120" w:type="dxa"/>
            <w:vAlign w:val="bottom"/>
            <w:shd w:val="clear" w:color="auto" w:fill="CCEEFF"/>
          </w:tcPr>
          <w:p>
            <w:pPr>
              <w:spacing w:after="0"/>
              <w:rPr>
                <w:sz w:val="19"/>
                <w:szCs w:val="19"/>
                <w:color w:val="auto"/>
              </w:rPr>
            </w:pPr>
          </w:p>
        </w:tc>
        <w:tc>
          <w:tcPr>
            <w:tcW w:w="28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September 2024</w:t>
            </w:r>
          </w:p>
        </w:tc>
        <w:tc>
          <w:tcPr>
            <w:tcW w:w="28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6"/>
              </w:rPr>
              <w:t>Fr.125</w:t>
            </w:r>
          </w:p>
        </w:tc>
        <w:tc>
          <w:tcPr>
            <w:tcW w:w="2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$148</w:t>
            </w:r>
          </w:p>
        </w:tc>
      </w:tr>
    </w:tbl>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(1) Repaid by Mondelez International Holdings Netherlands B.V. ("MIHN"), a wholly owned Dutch subsidiary of Mondelēz International, Inc.</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Issuances</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During the nine months ended September 30, 2025, we issued the following notes (in millions):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Issuance Date</w:t>
            </w:r>
          </w:p>
        </w:tc>
        <w:tc>
          <w:tcPr>
            <w:tcW w:w="22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Interest Rate</w:t>
            </w:r>
          </w:p>
        </w:tc>
        <w:tc>
          <w:tcPr>
            <w:tcW w:w="22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Maturity Date</w:t>
            </w:r>
          </w:p>
        </w:tc>
        <w:tc>
          <w:tcPr>
            <w:tcW w:w="22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Principal Amount</w:t>
            </w:r>
          </w:p>
        </w:tc>
        <w:tc>
          <w:tcPr>
            <w:tcW w:w="2180" w:type="dxa"/>
            <w:vAlign w:val="bottom"/>
          </w:tcPr>
          <w:p>
            <w:pPr>
              <w:jc w:val="center"/>
              <w:spacing w:after="0"/>
              <w:rPr>
                <w:sz w:val="20"/>
                <w:szCs w:val="20"/>
                <w:color w:val="auto"/>
              </w:rPr>
            </w:pPr>
            <w:r>
              <w:rPr>
                <w:rFonts w:ascii="Arial" w:cs="Arial" w:eastAsia="Arial" w:hAnsi="Arial"/>
                <w:sz w:val="14"/>
                <w:szCs w:val="14"/>
                <w:b w:val="1"/>
                <w:bCs w:val="1"/>
                <w:color w:val="auto"/>
              </w:rPr>
              <w:t>Principal Amount</w:t>
            </w:r>
          </w:p>
        </w:tc>
        <w:tc>
          <w:tcPr>
            <w:tcW w:w="0" w:type="dxa"/>
            <w:vAlign w:val="bottom"/>
          </w:tcPr>
          <w:p>
            <w:pPr>
              <w:spacing w:after="0"/>
              <w:rPr>
                <w:sz w:val="1"/>
                <w:szCs w:val="1"/>
                <w:color w:val="auto"/>
              </w:rPr>
            </w:pPr>
          </w:p>
        </w:tc>
      </w:tr>
      <w:tr>
        <w:trPr>
          <w:trHeight w:val="189"/>
        </w:trPr>
        <w:tc>
          <w:tcPr>
            <w:tcW w:w="2260" w:type="dxa"/>
            <w:vAlign w:val="bottom"/>
            <w:gridSpan w:val="2"/>
            <w:vMerge w:val="continue"/>
          </w:tcPr>
          <w:p>
            <w:pPr>
              <w:spacing w:after="0"/>
              <w:rPr>
                <w:sz w:val="16"/>
                <w:szCs w:val="16"/>
                <w:color w:val="auto"/>
              </w:rPr>
            </w:pPr>
          </w:p>
        </w:tc>
        <w:tc>
          <w:tcPr>
            <w:tcW w:w="2260" w:type="dxa"/>
            <w:vAlign w:val="bottom"/>
            <w:gridSpan w:val="2"/>
            <w:vMerge w:val="continue"/>
          </w:tcPr>
          <w:p>
            <w:pPr>
              <w:spacing w:after="0"/>
              <w:rPr>
                <w:sz w:val="16"/>
                <w:szCs w:val="16"/>
                <w:color w:val="auto"/>
              </w:rPr>
            </w:pPr>
          </w:p>
        </w:tc>
        <w:tc>
          <w:tcPr>
            <w:tcW w:w="2260" w:type="dxa"/>
            <w:vAlign w:val="bottom"/>
            <w:gridSpan w:val="2"/>
            <w:vMerge w:val="continue"/>
          </w:tcPr>
          <w:p>
            <w:pPr>
              <w:spacing w:after="0"/>
              <w:rPr>
                <w:sz w:val="16"/>
                <w:szCs w:val="16"/>
                <w:color w:val="auto"/>
              </w:rPr>
            </w:pPr>
          </w:p>
        </w:tc>
        <w:tc>
          <w:tcPr>
            <w:tcW w:w="2280" w:type="dxa"/>
            <w:vAlign w:val="bottom"/>
            <w:gridSpan w:val="2"/>
            <w:vMerge w:val="continue"/>
          </w:tcPr>
          <w:p>
            <w:pPr>
              <w:spacing w:after="0"/>
              <w:rPr>
                <w:sz w:val="16"/>
                <w:szCs w:val="16"/>
                <w:color w:val="auto"/>
              </w:rPr>
            </w:pPr>
          </w:p>
        </w:tc>
        <w:tc>
          <w:tcPr>
            <w:tcW w:w="2180" w:type="dxa"/>
            <w:vAlign w:val="bottom"/>
          </w:tcPr>
          <w:p>
            <w:pPr>
              <w:jc w:val="center"/>
              <w:spacing w:after="0"/>
              <w:rPr>
                <w:sz w:val="20"/>
                <w:szCs w:val="20"/>
                <w:color w:val="auto"/>
              </w:rPr>
            </w:pPr>
            <w:r>
              <w:rPr>
                <w:rFonts w:ascii="Arial" w:cs="Arial" w:eastAsia="Arial" w:hAnsi="Arial"/>
                <w:sz w:val="14"/>
                <w:szCs w:val="14"/>
                <w:b w:val="1"/>
                <w:bCs w:val="1"/>
                <w:color w:val="auto"/>
              </w:rPr>
              <w:t>USD Equivalent</w:t>
            </w:r>
          </w:p>
        </w:tc>
        <w:tc>
          <w:tcPr>
            <w:tcW w:w="0" w:type="dxa"/>
            <w:vAlign w:val="bottom"/>
          </w:tcPr>
          <w:p>
            <w:pPr>
              <w:spacing w:after="0"/>
              <w:rPr>
                <w:sz w:val="1"/>
                <w:szCs w:val="1"/>
                <w:color w:val="auto"/>
              </w:rPr>
            </w:pPr>
          </w:p>
        </w:tc>
      </w:tr>
      <w:tr>
        <w:trPr>
          <w:trHeight w:val="223"/>
        </w:trPr>
        <w:tc>
          <w:tcPr>
            <w:tcW w:w="2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May 2025</w:t>
            </w:r>
          </w:p>
        </w:tc>
        <w:tc>
          <w:tcPr>
            <w:tcW w:w="100" w:type="dxa"/>
            <w:vAlign w:val="bottom"/>
            <w:tcBorders>
              <w:top w:val="single" w:sz="8" w:color="CCEEFF"/>
            </w:tcBorders>
            <w:shd w:val="clear" w:color="auto" w:fill="CCEEFF"/>
          </w:tcPr>
          <w:p>
            <w:pPr>
              <w:spacing w:after="0"/>
              <w:rPr>
                <w:sz w:val="19"/>
                <w:szCs w:val="19"/>
                <w:color w:val="auto"/>
              </w:rPr>
            </w:pPr>
          </w:p>
        </w:tc>
        <w:tc>
          <w:tcPr>
            <w:tcW w:w="2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8"/>
              </w:rPr>
              <w:t>4.250%</w:t>
            </w:r>
          </w:p>
        </w:tc>
        <w:tc>
          <w:tcPr>
            <w:tcW w:w="100" w:type="dxa"/>
            <w:vAlign w:val="bottom"/>
            <w:tcBorders>
              <w:top w:val="single" w:sz="8" w:color="CCEEFF"/>
            </w:tcBorders>
            <w:shd w:val="clear" w:color="auto" w:fill="CCEEFF"/>
          </w:tcPr>
          <w:p>
            <w:pPr>
              <w:spacing w:after="0"/>
              <w:rPr>
                <w:sz w:val="19"/>
                <w:szCs w:val="19"/>
                <w:color w:val="auto"/>
              </w:rPr>
            </w:pPr>
          </w:p>
        </w:tc>
        <w:tc>
          <w:tcPr>
            <w:tcW w:w="2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May 2028</w:t>
            </w:r>
          </w:p>
        </w:tc>
        <w:tc>
          <w:tcPr>
            <w:tcW w:w="100" w:type="dxa"/>
            <w:vAlign w:val="bottom"/>
            <w:tcBorders>
              <w:top w:val="single" w:sz="8" w:color="CCEEFF"/>
            </w:tcBorders>
            <w:shd w:val="clear" w:color="auto" w:fill="CCEEFF"/>
          </w:tcPr>
          <w:p>
            <w:pPr>
              <w:spacing w:after="0"/>
              <w:rPr>
                <w:sz w:val="19"/>
                <w:szCs w:val="19"/>
                <w:color w:val="auto"/>
              </w:rPr>
            </w:pPr>
          </w:p>
        </w:tc>
        <w:tc>
          <w:tcPr>
            <w:tcW w:w="21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$700</w:t>
            </w:r>
          </w:p>
        </w:tc>
        <w:tc>
          <w:tcPr>
            <w:tcW w:w="100" w:type="dxa"/>
            <w:vAlign w:val="bottom"/>
            <w:tcBorders>
              <w:top w:val="single" w:sz="8" w:color="CCEEFF"/>
            </w:tcBorders>
            <w:shd w:val="clear" w:color="auto" w:fill="CCEEFF"/>
          </w:tcPr>
          <w:p>
            <w:pPr>
              <w:spacing w:after="0"/>
              <w:rPr>
                <w:sz w:val="19"/>
                <w:szCs w:val="19"/>
                <w:color w:val="auto"/>
              </w:rPr>
            </w:pPr>
          </w:p>
        </w:tc>
        <w:tc>
          <w:tcPr>
            <w:tcW w:w="21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$700</w:t>
            </w:r>
          </w:p>
        </w:tc>
        <w:tc>
          <w:tcPr>
            <w:tcW w:w="0" w:type="dxa"/>
            <w:vAlign w:val="bottom"/>
          </w:tcPr>
          <w:p>
            <w:pPr>
              <w:spacing w:after="0"/>
              <w:rPr>
                <w:sz w:val="1"/>
                <w:szCs w:val="1"/>
                <w:color w:val="auto"/>
              </w:rPr>
            </w:pPr>
          </w:p>
        </w:tc>
      </w:tr>
      <w:tr>
        <w:trPr>
          <w:trHeight w:val="229"/>
        </w:trPr>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rPr>
              <w:t>May 2025</w:t>
            </w:r>
          </w:p>
        </w:tc>
        <w:tc>
          <w:tcPr>
            <w:tcW w:w="2160" w:type="dxa"/>
            <w:vAlign w:val="bottom"/>
          </w:tcPr>
          <w:p>
            <w:pPr>
              <w:jc w:val="center"/>
              <w:spacing w:after="0"/>
              <w:rPr>
                <w:sz w:val="20"/>
                <w:szCs w:val="20"/>
                <w:color w:val="auto"/>
              </w:rPr>
            </w:pPr>
            <w:r>
              <w:rPr>
                <w:rFonts w:ascii="Arial" w:cs="Arial" w:eastAsia="Arial" w:hAnsi="Arial"/>
                <w:sz w:val="18"/>
                <w:szCs w:val="18"/>
                <w:color w:val="auto"/>
                <w:w w:val="98"/>
              </w:rPr>
              <w:t>4.500%</w:t>
            </w:r>
          </w:p>
        </w:tc>
        <w:tc>
          <w:tcPr>
            <w:tcW w:w="100" w:type="dxa"/>
            <w:vAlign w:val="bottom"/>
          </w:tcPr>
          <w:p>
            <w:pPr>
              <w:spacing w:after="0"/>
              <w:rPr>
                <w:sz w:val="19"/>
                <w:szCs w:val="19"/>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rPr>
              <w:t>May 2030</w:t>
            </w:r>
          </w:p>
        </w:tc>
        <w:tc>
          <w:tcPr>
            <w:tcW w:w="2180" w:type="dxa"/>
            <w:vAlign w:val="bottom"/>
          </w:tcPr>
          <w:p>
            <w:pPr>
              <w:jc w:val="center"/>
              <w:spacing w:after="0"/>
              <w:rPr>
                <w:sz w:val="20"/>
                <w:szCs w:val="20"/>
                <w:color w:val="auto"/>
              </w:rPr>
            </w:pPr>
            <w:r>
              <w:rPr>
                <w:rFonts w:ascii="Arial" w:cs="Arial" w:eastAsia="Arial" w:hAnsi="Arial"/>
                <w:sz w:val="18"/>
                <w:szCs w:val="18"/>
                <w:color w:val="auto"/>
                <w:w w:val="99"/>
              </w:rPr>
              <w:t>$500</w:t>
            </w:r>
          </w:p>
        </w:tc>
        <w:tc>
          <w:tcPr>
            <w:tcW w:w="100" w:type="dxa"/>
            <w:vAlign w:val="bottom"/>
          </w:tcPr>
          <w:p>
            <w:pPr>
              <w:spacing w:after="0"/>
              <w:rPr>
                <w:sz w:val="19"/>
                <w:szCs w:val="19"/>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99"/>
              </w:rPr>
              <w:t>$500</w:t>
            </w:r>
          </w:p>
        </w:tc>
        <w:tc>
          <w:tcPr>
            <w:tcW w:w="0" w:type="dxa"/>
            <w:vAlign w:val="bottom"/>
          </w:tcPr>
          <w:p>
            <w:pPr>
              <w:spacing w:after="0"/>
              <w:rPr>
                <w:sz w:val="1"/>
                <w:szCs w:val="1"/>
                <w:color w:val="auto"/>
              </w:rPr>
            </w:pPr>
          </w:p>
        </w:tc>
      </w:tr>
      <w:tr>
        <w:trPr>
          <w:trHeight w:val="230"/>
        </w:trPr>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May 2025</w:t>
            </w: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5.125%</w:t>
            </w:r>
          </w:p>
        </w:tc>
        <w:tc>
          <w:tcPr>
            <w:tcW w:w="100" w:type="dxa"/>
            <w:vAlign w:val="bottom"/>
            <w:shd w:val="clear" w:color="auto" w:fill="CCEEFF"/>
          </w:tcPr>
          <w:p>
            <w:pPr>
              <w:spacing w:after="0"/>
              <w:rPr>
                <w:sz w:val="19"/>
                <w:szCs w:val="19"/>
                <w:color w:val="auto"/>
              </w:rPr>
            </w:pP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May 2035</w:t>
            </w: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$400</w:t>
            </w:r>
          </w:p>
        </w:tc>
        <w:tc>
          <w:tcPr>
            <w:tcW w:w="100" w:type="dxa"/>
            <w:vAlign w:val="bottom"/>
            <w:shd w:val="clear" w:color="auto" w:fill="CCEEFF"/>
          </w:tcPr>
          <w:p>
            <w:pPr>
              <w:spacing w:after="0"/>
              <w:rPr>
                <w:sz w:val="19"/>
                <w:szCs w:val="19"/>
                <w:color w:val="auto"/>
              </w:rPr>
            </w:pP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$400</w:t>
            </w:r>
          </w:p>
        </w:tc>
        <w:tc>
          <w:tcPr>
            <w:tcW w:w="0" w:type="dxa"/>
            <w:vAlign w:val="bottom"/>
          </w:tcPr>
          <w:p>
            <w:pPr>
              <w:spacing w:after="0"/>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During the nine months ended September 30, 2024, we issued the following notes (in millions):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Issuance Date</w:t>
            </w:r>
          </w:p>
        </w:tc>
        <w:tc>
          <w:tcPr>
            <w:tcW w:w="22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Interest Rate</w:t>
            </w:r>
          </w:p>
        </w:tc>
        <w:tc>
          <w:tcPr>
            <w:tcW w:w="22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Maturity Date</w:t>
            </w:r>
          </w:p>
        </w:tc>
        <w:tc>
          <w:tcPr>
            <w:tcW w:w="22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Principal Amount</w:t>
            </w:r>
          </w:p>
        </w:tc>
        <w:tc>
          <w:tcPr>
            <w:tcW w:w="2180" w:type="dxa"/>
            <w:vAlign w:val="bottom"/>
          </w:tcPr>
          <w:p>
            <w:pPr>
              <w:jc w:val="center"/>
              <w:spacing w:after="0"/>
              <w:rPr>
                <w:sz w:val="20"/>
                <w:szCs w:val="20"/>
                <w:color w:val="auto"/>
              </w:rPr>
            </w:pPr>
            <w:r>
              <w:rPr>
                <w:rFonts w:ascii="Arial" w:cs="Arial" w:eastAsia="Arial" w:hAnsi="Arial"/>
                <w:sz w:val="14"/>
                <w:szCs w:val="14"/>
                <w:b w:val="1"/>
                <w:bCs w:val="1"/>
                <w:color w:val="auto"/>
              </w:rPr>
              <w:t>Principal Amount</w:t>
            </w:r>
          </w:p>
        </w:tc>
        <w:tc>
          <w:tcPr>
            <w:tcW w:w="0" w:type="dxa"/>
            <w:vAlign w:val="bottom"/>
          </w:tcPr>
          <w:p>
            <w:pPr>
              <w:spacing w:after="0"/>
              <w:rPr>
                <w:sz w:val="1"/>
                <w:szCs w:val="1"/>
                <w:color w:val="auto"/>
              </w:rPr>
            </w:pPr>
          </w:p>
        </w:tc>
      </w:tr>
      <w:tr>
        <w:trPr>
          <w:trHeight w:val="185"/>
        </w:trPr>
        <w:tc>
          <w:tcPr>
            <w:tcW w:w="2260" w:type="dxa"/>
            <w:vAlign w:val="bottom"/>
            <w:gridSpan w:val="2"/>
            <w:vMerge w:val="continue"/>
          </w:tcPr>
          <w:p>
            <w:pPr>
              <w:spacing w:after="0"/>
              <w:rPr>
                <w:sz w:val="16"/>
                <w:szCs w:val="16"/>
                <w:color w:val="auto"/>
              </w:rPr>
            </w:pPr>
          </w:p>
        </w:tc>
        <w:tc>
          <w:tcPr>
            <w:tcW w:w="2260" w:type="dxa"/>
            <w:vAlign w:val="bottom"/>
            <w:gridSpan w:val="2"/>
            <w:vMerge w:val="continue"/>
          </w:tcPr>
          <w:p>
            <w:pPr>
              <w:spacing w:after="0"/>
              <w:rPr>
                <w:sz w:val="16"/>
                <w:szCs w:val="16"/>
                <w:color w:val="auto"/>
              </w:rPr>
            </w:pPr>
          </w:p>
        </w:tc>
        <w:tc>
          <w:tcPr>
            <w:tcW w:w="2260" w:type="dxa"/>
            <w:vAlign w:val="bottom"/>
            <w:gridSpan w:val="2"/>
            <w:vMerge w:val="continue"/>
          </w:tcPr>
          <w:p>
            <w:pPr>
              <w:spacing w:after="0"/>
              <w:rPr>
                <w:sz w:val="16"/>
                <w:szCs w:val="16"/>
                <w:color w:val="auto"/>
              </w:rPr>
            </w:pPr>
          </w:p>
        </w:tc>
        <w:tc>
          <w:tcPr>
            <w:tcW w:w="2280" w:type="dxa"/>
            <w:vAlign w:val="bottom"/>
            <w:gridSpan w:val="2"/>
            <w:vMerge w:val="continue"/>
          </w:tcPr>
          <w:p>
            <w:pPr>
              <w:spacing w:after="0"/>
              <w:rPr>
                <w:sz w:val="16"/>
                <w:szCs w:val="16"/>
                <w:color w:val="auto"/>
              </w:rPr>
            </w:pPr>
          </w:p>
        </w:tc>
        <w:tc>
          <w:tcPr>
            <w:tcW w:w="2180" w:type="dxa"/>
            <w:vAlign w:val="bottom"/>
          </w:tcPr>
          <w:p>
            <w:pPr>
              <w:jc w:val="center"/>
              <w:spacing w:after="0"/>
              <w:rPr>
                <w:sz w:val="20"/>
                <w:szCs w:val="20"/>
                <w:color w:val="auto"/>
              </w:rPr>
            </w:pPr>
            <w:r>
              <w:rPr>
                <w:rFonts w:ascii="Arial" w:cs="Arial" w:eastAsia="Arial" w:hAnsi="Arial"/>
                <w:sz w:val="14"/>
                <w:szCs w:val="14"/>
                <w:b w:val="1"/>
                <w:bCs w:val="1"/>
                <w:color w:val="auto"/>
              </w:rPr>
              <w:t>USD Equivalent</w:t>
            </w:r>
          </w:p>
        </w:tc>
        <w:tc>
          <w:tcPr>
            <w:tcW w:w="0" w:type="dxa"/>
            <w:vAlign w:val="bottom"/>
          </w:tcPr>
          <w:p>
            <w:pPr>
              <w:spacing w:after="0"/>
              <w:rPr>
                <w:sz w:val="1"/>
                <w:szCs w:val="1"/>
                <w:color w:val="auto"/>
              </w:rPr>
            </w:pPr>
          </w:p>
        </w:tc>
      </w:tr>
      <w:tr>
        <w:trPr>
          <w:trHeight w:val="223"/>
        </w:trPr>
        <w:tc>
          <w:tcPr>
            <w:tcW w:w="2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February 2024</w:t>
            </w:r>
          </w:p>
        </w:tc>
        <w:tc>
          <w:tcPr>
            <w:tcW w:w="100" w:type="dxa"/>
            <w:vAlign w:val="bottom"/>
            <w:tcBorders>
              <w:top w:val="single" w:sz="8" w:color="CCEEFF"/>
            </w:tcBorders>
            <w:shd w:val="clear" w:color="auto" w:fill="CCEEFF"/>
          </w:tcPr>
          <w:p>
            <w:pPr>
              <w:spacing w:after="0"/>
              <w:rPr>
                <w:sz w:val="19"/>
                <w:szCs w:val="19"/>
                <w:color w:val="auto"/>
              </w:rPr>
            </w:pPr>
          </w:p>
        </w:tc>
        <w:tc>
          <w:tcPr>
            <w:tcW w:w="2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8"/>
              </w:rPr>
              <w:t>4.750%</w:t>
            </w:r>
          </w:p>
        </w:tc>
        <w:tc>
          <w:tcPr>
            <w:tcW w:w="100" w:type="dxa"/>
            <w:vAlign w:val="bottom"/>
            <w:tcBorders>
              <w:top w:val="single" w:sz="8" w:color="CCEEFF"/>
            </w:tcBorders>
            <w:shd w:val="clear" w:color="auto" w:fill="CCEEFF"/>
          </w:tcPr>
          <w:p>
            <w:pPr>
              <w:spacing w:after="0"/>
              <w:rPr>
                <w:sz w:val="19"/>
                <w:szCs w:val="19"/>
                <w:color w:val="auto"/>
              </w:rPr>
            </w:pPr>
          </w:p>
        </w:tc>
        <w:tc>
          <w:tcPr>
            <w:tcW w:w="2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February 2029</w:t>
            </w:r>
          </w:p>
        </w:tc>
        <w:tc>
          <w:tcPr>
            <w:tcW w:w="100" w:type="dxa"/>
            <w:vAlign w:val="bottom"/>
            <w:tcBorders>
              <w:top w:val="single" w:sz="8" w:color="CCEEFF"/>
            </w:tcBorders>
            <w:shd w:val="clear" w:color="auto" w:fill="CCEEFF"/>
          </w:tcPr>
          <w:p>
            <w:pPr>
              <w:spacing w:after="0"/>
              <w:rPr>
                <w:sz w:val="19"/>
                <w:szCs w:val="19"/>
                <w:color w:val="auto"/>
              </w:rPr>
            </w:pPr>
          </w:p>
        </w:tc>
        <w:tc>
          <w:tcPr>
            <w:tcW w:w="21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$550</w:t>
            </w:r>
          </w:p>
        </w:tc>
        <w:tc>
          <w:tcPr>
            <w:tcW w:w="100" w:type="dxa"/>
            <w:vAlign w:val="bottom"/>
            <w:tcBorders>
              <w:top w:val="single" w:sz="8" w:color="CCEEFF"/>
            </w:tcBorders>
            <w:shd w:val="clear" w:color="auto" w:fill="CCEEFF"/>
          </w:tcPr>
          <w:p>
            <w:pPr>
              <w:spacing w:after="0"/>
              <w:rPr>
                <w:sz w:val="19"/>
                <w:szCs w:val="19"/>
                <w:color w:val="auto"/>
              </w:rPr>
            </w:pPr>
          </w:p>
        </w:tc>
        <w:tc>
          <w:tcPr>
            <w:tcW w:w="21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$550</w:t>
            </w:r>
          </w:p>
        </w:tc>
        <w:tc>
          <w:tcPr>
            <w:tcW w:w="0" w:type="dxa"/>
            <w:vAlign w:val="bottom"/>
          </w:tcPr>
          <w:p>
            <w:pPr>
              <w:spacing w:after="0"/>
              <w:rPr>
                <w:sz w:val="1"/>
                <w:szCs w:val="1"/>
                <w:color w:val="auto"/>
              </w:rPr>
            </w:pPr>
          </w:p>
        </w:tc>
      </w:tr>
      <w:tr>
        <w:trPr>
          <w:trHeight w:val="230"/>
        </w:trPr>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July 2024</w:t>
            </w:r>
          </w:p>
        </w:tc>
        <w:tc>
          <w:tcPr>
            <w:tcW w:w="2160" w:type="dxa"/>
            <w:vAlign w:val="bottom"/>
          </w:tcPr>
          <w:p>
            <w:pPr>
              <w:jc w:val="center"/>
              <w:spacing w:after="0"/>
              <w:rPr>
                <w:sz w:val="20"/>
                <w:szCs w:val="20"/>
                <w:color w:val="auto"/>
              </w:rPr>
            </w:pPr>
            <w:r>
              <w:rPr>
                <w:rFonts w:ascii="Arial" w:cs="Arial" w:eastAsia="Arial" w:hAnsi="Arial"/>
                <w:sz w:val="18"/>
                <w:szCs w:val="18"/>
                <w:color w:val="auto"/>
                <w:w w:val="98"/>
              </w:rPr>
              <w:t>4.625%</w:t>
            </w:r>
          </w:p>
        </w:tc>
        <w:tc>
          <w:tcPr>
            <w:tcW w:w="100" w:type="dxa"/>
            <w:vAlign w:val="bottom"/>
          </w:tcPr>
          <w:p>
            <w:pPr>
              <w:spacing w:after="0"/>
              <w:rPr>
                <w:sz w:val="19"/>
                <w:szCs w:val="19"/>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July 2031</w:t>
            </w:r>
          </w:p>
        </w:tc>
        <w:tc>
          <w:tcPr>
            <w:tcW w:w="2280" w:type="dxa"/>
            <w:vAlign w:val="bottom"/>
            <w:gridSpan w:val="2"/>
          </w:tcPr>
          <w:p>
            <w:pPr>
              <w:jc w:val="center"/>
              <w:ind w:right="100"/>
              <w:spacing w:after="0"/>
              <w:rPr>
                <w:sz w:val="20"/>
                <w:szCs w:val="20"/>
                <w:color w:val="auto"/>
              </w:rPr>
            </w:pPr>
            <w:r>
              <w:rPr>
                <w:rFonts w:ascii="Arial" w:cs="Arial" w:eastAsia="Arial" w:hAnsi="Arial"/>
                <w:sz w:val="18"/>
                <w:szCs w:val="18"/>
                <w:color w:val="auto"/>
              </w:rPr>
              <w:t>C$650</w:t>
            </w:r>
          </w:p>
        </w:tc>
        <w:tc>
          <w:tcPr>
            <w:tcW w:w="2180" w:type="dxa"/>
            <w:vAlign w:val="bottom"/>
          </w:tcPr>
          <w:p>
            <w:pPr>
              <w:jc w:val="center"/>
              <w:spacing w:after="0"/>
              <w:rPr>
                <w:sz w:val="20"/>
                <w:szCs w:val="20"/>
                <w:color w:val="auto"/>
              </w:rPr>
            </w:pPr>
            <w:r>
              <w:rPr>
                <w:rFonts w:ascii="Arial" w:cs="Arial" w:eastAsia="Arial" w:hAnsi="Arial"/>
                <w:sz w:val="18"/>
                <w:szCs w:val="18"/>
                <w:color w:val="auto"/>
                <w:w w:val="99"/>
              </w:rPr>
              <w:t>$473</w:t>
            </w:r>
          </w:p>
        </w:tc>
        <w:tc>
          <w:tcPr>
            <w:tcW w:w="0" w:type="dxa"/>
            <w:vAlign w:val="bottom"/>
          </w:tcPr>
          <w:p>
            <w:pPr>
              <w:spacing w:after="0"/>
              <w:rPr>
                <w:sz w:val="1"/>
                <w:szCs w:val="1"/>
                <w:color w:val="auto"/>
              </w:rPr>
            </w:pPr>
          </w:p>
        </w:tc>
      </w:tr>
      <w:tr>
        <w:trPr>
          <w:trHeight w:val="230"/>
        </w:trPr>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8"/>
              </w:rPr>
              <w:t>August 2024</w:t>
            </w: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4.750%</w:t>
            </w:r>
          </w:p>
        </w:tc>
        <w:tc>
          <w:tcPr>
            <w:tcW w:w="100" w:type="dxa"/>
            <w:vAlign w:val="bottom"/>
            <w:shd w:val="clear" w:color="auto" w:fill="CCEEFF"/>
          </w:tcPr>
          <w:p>
            <w:pPr>
              <w:spacing w:after="0"/>
              <w:rPr>
                <w:sz w:val="19"/>
                <w:szCs w:val="19"/>
                <w:color w:val="auto"/>
              </w:rPr>
            </w:pP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8"/>
              </w:rPr>
              <w:t>August 2034</w:t>
            </w: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$500</w:t>
            </w:r>
          </w:p>
        </w:tc>
        <w:tc>
          <w:tcPr>
            <w:tcW w:w="100" w:type="dxa"/>
            <w:vAlign w:val="bottom"/>
            <w:shd w:val="clear" w:color="auto" w:fill="CCEEFF"/>
          </w:tcPr>
          <w:p>
            <w:pPr>
              <w:spacing w:after="0"/>
              <w:rPr>
                <w:sz w:val="19"/>
                <w:szCs w:val="19"/>
                <w:color w:val="auto"/>
              </w:rPr>
            </w:pP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$500</w:t>
            </w:r>
          </w:p>
        </w:tc>
        <w:tc>
          <w:tcPr>
            <w:tcW w:w="0" w:type="dxa"/>
            <w:vAlign w:val="bottom"/>
          </w:tcPr>
          <w:p>
            <w:pPr>
              <w:spacing w:after="0"/>
              <w:rPr>
                <w:sz w:val="1"/>
                <w:szCs w:val="1"/>
                <w:color w:val="auto"/>
              </w:rPr>
            </w:pPr>
          </w:p>
        </w:tc>
      </w:tr>
    </w:tbl>
    <w:p>
      <w:pPr>
        <w:spacing w:after="0" w:line="3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Our Debt</w:t>
      </w:r>
    </w:p>
    <w:p>
      <w:pPr>
        <w:spacing w:after="0" w:line="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fair value of our short-term borrowings reflects current market interest rates and approximates the amounts we have recorded on our condensed consolidated balance sheets. The fair value of substantially all of our long-term debt was determined using quoted prices in active markets (Level 1 valuation data).</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8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gridSpan w:val="4"/>
          </w:tcPr>
          <w:p>
            <w:pPr>
              <w:jc w:val="right"/>
              <w:ind w:right="559"/>
              <w:spacing w:after="0"/>
              <w:rPr>
                <w:sz w:val="20"/>
                <w:szCs w:val="20"/>
                <w:color w:val="auto"/>
              </w:rPr>
            </w:pPr>
            <w:r>
              <w:rPr>
                <w:rFonts w:ascii="Arial" w:cs="Arial" w:eastAsia="Arial" w:hAnsi="Arial"/>
                <w:sz w:val="14"/>
                <w:szCs w:val="14"/>
                <w:b w:val="1"/>
                <w:bCs w:val="1"/>
                <w:color w:val="auto"/>
              </w:rPr>
              <w:t>As of September 30, 2025</w:t>
            </w:r>
          </w:p>
        </w:tc>
        <w:tc>
          <w:tcPr>
            <w:tcW w:w="3020" w:type="dxa"/>
            <w:vAlign w:val="bottom"/>
            <w:tcBorders>
              <w:bottom w:val="single" w:sz="8" w:color="auto"/>
            </w:tcBorders>
            <w:gridSpan w:val="4"/>
          </w:tcPr>
          <w:p>
            <w:pPr>
              <w:ind w:left="700"/>
              <w:spacing w:after="0"/>
              <w:rPr>
                <w:sz w:val="20"/>
                <w:szCs w:val="20"/>
                <w:color w:val="auto"/>
              </w:rPr>
            </w:pPr>
            <w:r>
              <w:rPr>
                <w:rFonts w:ascii="Arial" w:cs="Arial" w:eastAsia="Arial" w:hAnsi="Arial"/>
                <w:sz w:val="14"/>
                <w:szCs w:val="14"/>
                <w:b w:val="1"/>
                <w:bCs w:val="1"/>
                <w:color w:val="auto"/>
              </w:rPr>
              <w:t>As of December 31, 2024</w:t>
            </w:r>
          </w:p>
        </w:tc>
      </w:tr>
      <w:tr>
        <w:trPr>
          <w:trHeight w:val="196"/>
        </w:trPr>
        <w:tc>
          <w:tcPr>
            <w:tcW w:w="38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80" w:type="dxa"/>
            <w:vAlign w:val="bottom"/>
            <w:gridSpan w:val="3"/>
          </w:tcPr>
          <w:p>
            <w:pPr>
              <w:ind w:left="240"/>
              <w:spacing w:after="0"/>
              <w:rPr>
                <w:sz w:val="20"/>
                <w:szCs w:val="20"/>
                <w:color w:val="auto"/>
              </w:rPr>
            </w:pPr>
            <w:r>
              <w:rPr>
                <w:rFonts w:ascii="Arial" w:cs="Arial" w:eastAsia="Arial" w:hAnsi="Arial"/>
                <w:sz w:val="14"/>
                <w:szCs w:val="14"/>
                <w:b w:val="1"/>
                <w:bCs w:val="1"/>
                <w:color w:val="auto"/>
              </w:rPr>
              <w:t>(in millions)</w:t>
            </w:r>
          </w:p>
        </w:tc>
        <w:tc>
          <w:tcPr>
            <w:tcW w:w="5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30"/>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w:t>
            </w:r>
          </w:p>
        </w:tc>
        <w:tc>
          <w:tcPr>
            <w:tcW w:w="1180" w:type="dxa"/>
            <w:vAlign w:val="bottom"/>
            <w:shd w:val="clear" w:color="auto" w:fill="CCEEFF"/>
          </w:tcPr>
          <w:p>
            <w:pPr>
              <w:spacing w:after="0"/>
              <w:rPr>
                <w:sz w:val="20"/>
                <w:szCs w:val="20"/>
                <w:color w:val="auto"/>
              </w:rPr>
            </w:pP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19,678</w:t>
            </w:r>
          </w:p>
        </w:tc>
        <w:tc>
          <w:tcPr>
            <w:tcW w:w="11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15,846</w:t>
            </w:r>
          </w:p>
        </w:tc>
      </w:tr>
      <w:tr>
        <w:trPr>
          <w:trHeight w:val="239"/>
        </w:trPr>
        <w:tc>
          <w:tcPr>
            <w:tcW w:w="3840" w:type="dxa"/>
            <w:vAlign w:val="bottom"/>
          </w:tcPr>
          <w:p>
            <w:pPr>
              <w:ind w:left="20"/>
              <w:spacing w:after="0"/>
              <w:rPr>
                <w:sz w:val="20"/>
                <w:szCs w:val="20"/>
                <w:color w:val="auto"/>
              </w:rPr>
            </w:pPr>
            <w:r>
              <w:rPr>
                <w:rFonts w:ascii="Arial" w:cs="Arial" w:eastAsia="Arial" w:hAnsi="Arial"/>
                <w:sz w:val="18"/>
                <w:szCs w:val="18"/>
                <w:color w:val="auto"/>
              </w:rPr>
              <w:t>Carrying Value</w:t>
            </w:r>
          </w:p>
        </w:tc>
        <w:tc>
          <w:tcPr>
            <w:tcW w:w="1180" w:type="dxa"/>
            <w:vAlign w:val="bottom"/>
          </w:tcPr>
          <w:p>
            <w:pPr>
              <w:spacing w:after="0"/>
              <w:rPr>
                <w:sz w:val="20"/>
                <w:szCs w:val="20"/>
                <w:color w:val="auto"/>
              </w:rPr>
            </w:pPr>
          </w:p>
        </w:tc>
        <w:tc>
          <w:tcPr>
            <w:tcW w:w="6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40" w:type="dxa"/>
            <w:vAlign w:val="bottom"/>
            <w:gridSpan w:val="2"/>
          </w:tcPr>
          <w:p>
            <w:pPr>
              <w:jc w:val="right"/>
              <w:ind w:right="19"/>
              <w:spacing w:after="0"/>
              <w:rPr>
                <w:sz w:val="20"/>
                <w:szCs w:val="20"/>
                <w:color w:val="auto"/>
              </w:rPr>
            </w:pPr>
            <w:r>
              <w:rPr>
                <w:rFonts w:ascii="Arial" w:cs="Arial" w:eastAsia="Arial" w:hAnsi="Arial"/>
                <w:sz w:val="18"/>
                <w:szCs w:val="18"/>
                <w:color w:val="auto"/>
              </w:rPr>
              <w:t>21,322</w:t>
            </w:r>
          </w:p>
        </w:tc>
        <w:tc>
          <w:tcPr>
            <w:tcW w:w="1140" w:type="dxa"/>
            <w:vAlign w:val="bottom"/>
          </w:tcPr>
          <w:p>
            <w:pPr>
              <w:ind w:lef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17,749</w:t>
            </w:r>
          </w:p>
        </w:tc>
      </w:tr>
      <w:tr>
        <w:trPr>
          <w:trHeight w:val="512"/>
        </w:trPr>
        <w:tc>
          <w:tcPr>
            <w:tcW w:w="3840" w:type="dxa"/>
            <w:vAlign w:val="bottom"/>
          </w:tcPr>
          <w:p>
            <w:pPr>
              <w:spacing w:after="0"/>
              <w:rPr>
                <w:sz w:val="20"/>
                <w:szCs w:val="20"/>
                <w:color w:val="auto"/>
              </w:rPr>
            </w:pPr>
            <w:r>
              <w:rPr>
                <w:rFonts w:ascii="Arial" w:cs="Arial" w:eastAsia="Arial" w:hAnsi="Arial"/>
                <w:sz w:val="18"/>
                <w:szCs w:val="18"/>
                <w:i w:val="1"/>
                <w:iCs w:val="1"/>
                <w:color w:val="auto"/>
              </w:rPr>
              <w:t>Interest and Other Expense, net</w:t>
            </w: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39"/>
        </w:trPr>
        <w:tc>
          <w:tcPr>
            <w:tcW w:w="3840" w:type="dxa"/>
            <w:vAlign w:val="bottom"/>
          </w:tcPr>
          <w:p>
            <w:pPr>
              <w:spacing w:after="0"/>
              <w:rPr>
                <w:sz w:val="20"/>
                <w:szCs w:val="20"/>
                <w:color w:val="auto"/>
              </w:rPr>
            </w:pPr>
            <w:r>
              <w:rPr>
                <w:rFonts w:ascii="Arial" w:cs="Arial" w:eastAsia="Arial" w:hAnsi="Arial"/>
                <w:sz w:val="18"/>
                <w:szCs w:val="18"/>
                <w:color w:val="auto"/>
              </w:rPr>
              <w:t>Interest and other expense, net consisted of:</w:t>
            </w: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70"/>
        </w:trPr>
        <w:tc>
          <w:tcPr>
            <w:tcW w:w="3840" w:type="dxa"/>
            <w:vAlign w:val="bottom"/>
          </w:tcPr>
          <w:p>
            <w:pPr>
              <w:spacing w:after="0"/>
              <w:rPr>
                <w:sz w:val="23"/>
                <w:szCs w:val="23"/>
                <w:color w:val="auto"/>
              </w:rPr>
            </w:pPr>
          </w:p>
        </w:tc>
        <w:tc>
          <w:tcPr>
            <w:tcW w:w="3100" w:type="dxa"/>
            <w:vAlign w:val="bottom"/>
            <w:gridSpan w:val="5"/>
          </w:tcPr>
          <w:p>
            <w:pPr>
              <w:jc w:val="right"/>
              <w:ind w:right="219"/>
              <w:spacing w:after="0"/>
              <w:rPr>
                <w:sz w:val="20"/>
                <w:szCs w:val="20"/>
                <w:color w:val="auto"/>
              </w:rPr>
            </w:pPr>
            <w:r>
              <w:rPr>
                <w:rFonts w:ascii="Arial" w:cs="Arial" w:eastAsia="Arial" w:hAnsi="Arial"/>
                <w:sz w:val="14"/>
                <w:szCs w:val="14"/>
                <w:b w:val="1"/>
                <w:bCs w:val="1"/>
                <w:color w:val="auto"/>
              </w:rPr>
              <w:t>For the Three Months Ended</w:t>
            </w:r>
          </w:p>
        </w:tc>
        <w:tc>
          <w:tcPr>
            <w:tcW w:w="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020" w:type="dxa"/>
            <w:vAlign w:val="bottom"/>
            <w:gridSpan w:val="4"/>
          </w:tcPr>
          <w:p>
            <w:pPr>
              <w:ind w:left="260"/>
              <w:spacing w:after="0"/>
              <w:rPr>
                <w:sz w:val="20"/>
                <w:szCs w:val="20"/>
                <w:color w:val="auto"/>
              </w:rPr>
            </w:pPr>
            <w:r>
              <w:rPr>
                <w:rFonts w:ascii="Arial" w:cs="Arial" w:eastAsia="Arial" w:hAnsi="Arial"/>
                <w:sz w:val="14"/>
                <w:szCs w:val="14"/>
                <w:b w:val="1"/>
                <w:bCs w:val="1"/>
                <w:color w:val="auto"/>
              </w:rPr>
              <w:t>For the Nine Months Ended</w:t>
            </w:r>
          </w:p>
        </w:tc>
      </w:tr>
      <w:tr>
        <w:trPr>
          <w:trHeight w:val="185"/>
        </w:trPr>
        <w:tc>
          <w:tcPr>
            <w:tcW w:w="3840" w:type="dxa"/>
            <w:vAlign w:val="bottom"/>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jc w:val="right"/>
              <w:ind w:right="699"/>
              <w:spacing w:after="0"/>
              <w:rPr>
                <w:sz w:val="20"/>
                <w:szCs w:val="20"/>
                <w:color w:val="auto"/>
              </w:rPr>
            </w:pPr>
            <w:r>
              <w:rPr>
                <w:rFonts w:ascii="Arial" w:cs="Arial" w:eastAsia="Arial" w:hAnsi="Arial"/>
                <w:sz w:val="14"/>
                <w:szCs w:val="14"/>
                <w:b w:val="1"/>
                <w:bCs w:val="1"/>
                <w:color w:val="auto"/>
              </w:rPr>
              <w:t>September 30,</w:t>
            </w:r>
          </w:p>
        </w:tc>
        <w:tc>
          <w:tcPr>
            <w:tcW w:w="5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ind w:left="700"/>
              <w:spacing w:after="0"/>
              <w:rPr>
                <w:sz w:val="20"/>
                <w:szCs w:val="20"/>
                <w:color w:val="auto"/>
              </w:rPr>
            </w:pPr>
            <w:r>
              <w:rPr>
                <w:rFonts w:ascii="Arial" w:cs="Arial" w:eastAsia="Arial" w:hAnsi="Arial"/>
                <w:sz w:val="14"/>
                <w:szCs w:val="14"/>
                <w:b w:val="1"/>
                <w:bCs w:val="1"/>
                <w:color w:val="auto"/>
              </w:rPr>
              <w:t>September 30,</w:t>
            </w:r>
          </w:p>
        </w:tc>
        <w:tc>
          <w:tcPr>
            <w:tcW w:w="1180" w:type="dxa"/>
            <w:vAlign w:val="bottom"/>
            <w:tcBorders>
              <w:bottom w:val="single" w:sz="8" w:color="auto"/>
            </w:tcBorders>
          </w:tcPr>
          <w:p>
            <w:pPr>
              <w:spacing w:after="0"/>
              <w:rPr>
                <w:sz w:val="16"/>
                <w:szCs w:val="16"/>
                <w:color w:val="auto"/>
              </w:rPr>
            </w:pPr>
          </w:p>
        </w:tc>
      </w:tr>
      <w:tr>
        <w:trPr>
          <w:trHeight w:val="195"/>
        </w:trPr>
        <w:tc>
          <w:tcPr>
            <w:tcW w:w="3840" w:type="dxa"/>
            <w:vAlign w:val="bottom"/>
          </w:tcPr>
          <w:p>
            <w:pPr>
              <w:spacing w:after="0"/>
              <w:rPr>
                <w:sz w:val="16"/>
                <w:szCs w:val="16"/>
                <w:color w:val="auto"/>
              </w:rPr>
            </w:pPr>
          </w:p>
        </w:tc>
        <w:tc>
          <w:tcPr>
            <w:tcW w:w="118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2025</w:t>
            </w:r>
          </w:p>
        </w:tc>
        <w:tc>
          <w:tcPr>
            <w:tcW w:w="2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2024</w:t>
            </w:r>
          </w:p>
        </w:tc>
        <w:tc>
          <w:tcPr>
            <w:tcW w:w="5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2024</w:t>
            </w:r>
          </w:p>
        </w:tc>
      </w:tr>
      <w:tr>
        <w:trPr>
          <w:trHeight w:val="196"/>
        </w:trPr>
        <w:tc>
          <w:tcPr>
            <w:tcW w:w="38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gridSpan w:val="3"/>
          </w:tcPr>
          <w:p>
            <w:pPr>
              <w:ind w:left="20"/>
              <w:spacing w:after="0"/>
              <w:rPr>
                <w:sz w:val="20"/>
                <w:szCs w:val="20"/>
                <w:color w:val="auto"/>
              </w:rPr>
            </w:pPr>
            <w:r>
              <w:rPr>
                <w:rFonts w:ascii="Arial" w:cs="Arial" w:eastAsia="Arial" w:hAnsi="Arial"/>
                <w:sz w:val="14"/>
                <w:szCs w:val="14"/>
                <w:b w:val="1"/>
                <w:bCs w:val="1"/>
                <w:color w:val="auto"/>
              </w:rPr>
              <w:t>(in millions)</w:t>
            </w: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40" w:type="dxa"/>
            <w:vAlign w:val="bottom"/>
            <w:gridSpan w:val="3"/>
          </w:tcPr>
          <w:p>
            <w:pPr>
              <w:ind w:left="800"/>
              <w:spacing w:after="0"/>
              <w:rPr>
                <w:sz w:val="20"/>
                <w:szCs w:val="20"/>
                <w:color w:val="auto"/>
              </w:rPr>
            </w:pPr>
            <w:r>
              <w:rPr>
                <w:rFonts w:ascii="Arial" w:cs="Arial" w:eastAsia="Arial" w:hAnsi="Arial"/>
                <w:sz w:val="14"/>
                <w:szCs w:val="14"/>
                <w:b w:val="1"/>
                <w:bCs w:val="1"/>
                <w:color w:val="auto"/>
              </w:rPr>
              <w:t>(in millions)</w:t>
            </w:r>
          </w:p>
        </w:tc>
        <w:tc>
          <w:tcPr>
            <w:tcW w:w="1180" w:type="dxa"/>
            <w:vAlign w:val="bottom"/>
          </w:tcPr>
          <w:p>
            <w:pPr>
              <w:spacing w:after="0"/>
              <w:rPr>
                <w:sz w:val="17"/>
                <w:szCs w:val="17"/>
                <w:color w:val="auto"/>
              </w:rPr>
            </w:pPr>
          </w:p>
        </w:tc>
      </w:tr>
      <w:tr>
        <w:trPr>
          <w:trHeight w:val="230"/>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180" w:type="dxa"/>
            <w:vAlign w:val="bottom"/>
            <w:shd w:val="clear" w:color="auto" w:fill="CCEEFF"/>
          </w:tcPr>
          <w:p>
            <w:pPr>
              <w:jc w:val="right"/>
              <w:ind w:right="979"/>
              <w:spacing w:after="0"/>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1019"/>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740" w:type="dxa"/>
            <w:vAlign w:val="bottom"/>
            <w:gridSpan w:val="2"/>
            <w:shd w:val="clear" w:color="auto" w:fill="CCEEFF"/>
          </w:tcPr>
          <w:p>
            <w:pPr>
              <w:jc w:val="right"/>
              <w:ind w:right="419"/>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ind w:left="760"/>
              <w:spacing w:after="0"/>
              <w:rPr>
                <w:sz w:val="20"/>
                <w:szCs w:val="20"/>
                <w:color w:val="auto"/>
              </w:rPr>
            </w:pPr>
            <w:r>
              <w:rPr>
                <w:rFonts w:ascii="Arial" w:cs="Arial" w:eastAsia="Arial" w:hAnsi="Arial"/>
                <w:sz w:val="18"/>
                <w:szCs w:val="18"/>
                <w:color w:val="auto"/>
              </w:rPr>
              <w:t>445</w:t>
            </w: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w:t>
            </w:r>
          </w:p>
        </w:tc>
      </w:tr>
      <w:tr>
        <w:trPr>
          <w:trHeight w:val="229"/>
        </w:trPr>
        <w:tc>
          <w:tcPr>
            <w:tcW w:w="3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income, net</w:t>
            </w:r>
          </w:p>
        </w:tc>
        <w:tc>
          <w:tcPr>
            <w:tcW w:w="1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12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w w:val="99"/>
              </w:rPr>
              <w:t>(217)</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w:t>
            </w:r>
          </w:p>
        </w:tc>
      </w:tr>
      <w:tr>
        <w:trPr>
          <w:trHeight w:val="248"/>
        </w:trPr>
        <w:tc>
          <w:tcPr>
            <w:tcW w:w="38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Interest and other expense, net</w:t>
            </w:r>
          </w:p>
        </w:tc>
        <w:tc>
          <w:tcPr>
            <w:tcW w:w="1180" w:type="dxa"/>
            <w:vAlign w:val="bottom"/>
            <w:tcBorders>
              <w:bottom w:val="single" w:sz="8" w:color="auto"/>
            </w:tcBorders>
            <w:shd w:val="clear" w:color="auto" w:fill="CCEEFF"/>
          </w:tcPr>
          <w:p>
            <w:pPr>
              <w:jc w:val="right"/>
              <w:ind w:right="979"/>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019"/>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19"/>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rPr>
              <w:t>228</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w:t>
            </w: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Other income, net includes amortization of amounts excluded from our assessment of hedge effectiveness related to our net investment hedge derivative contracts, foreign currency transaction gains and losses on certain foreign currency denominated assets and liabilities, gains and losses on certain foreign currency derivative contracts, interest income and other non-operating items. Refer to Note 8, </w:t>
      </w:r>
      <w:r>
        <w:rPr>
          <w:rFonts w:ascii="Arial" w:cs="Arial" w:eastAsia="Arial" w:hAnsi="Arial"/>
          <w:sz w:val="18"/>
          <w:szCs w:val="18"/>
          <w:i w:val="1"/>
          <w:iCs w:val="1"/>
          <w:color w:val="auto"/>
        </w:rPr>
        <w:t>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Instruments </w:t>
      </w:r>
      <w:r>
        <w:rPr>
          <w:rFonts w:ascii="Arial" w:cs="Arial" w:eastAsia="Arial" w:hAnsi="Arial"/>
          <w:sz w:val="18"/>
          <w:szCs w:val="18"/>
          <w:color w:val="auto"/>
        </w:rPr>
        <w:t>for additional information about our hedging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6845935</wp:posOffset>
            </wp:positionH>
            <wp:positionV relativeFrom="paragraph">
              <wp:posOffset>8890</wp:posOffset>
            </wp:positionV>
            <wp:extent cx="282575" cy="1885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pacing w:after="0" w:line="15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287655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Financial Instruments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Derivatives and Hedging Activities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Derivative instruments and corresponding hedge type were recorded at fair value in the condensed consolidated balance sheets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16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4"/>
          </w:tcPr>
          <w:p>
            <w:pPr>
              <w:jc w:val="right"/>
              <w:ind w:right="535"/>
              <w:spacing w:after="0"/>
              <w:rPr>
                <w:sz w:val="20"/>
                <w:szCs w:val="20"/>
                <w:color w:val="auto"/>
              </w:rPr>
            </w:pPr>
            <w:r>
              <w:rPr>
                <w:rFonts w:ascii="Arial" w:cs="Arial" w:eastAsia="Arial" w:hAnsi="Arial"/>
                <w:sz w:val="14"/>
                <w:szCs w:val="14"/>
                <w:b w:val="1"/>
                <w:bCs w:val="1"/>
                <w:color w:val="auto"/>
              </w:rPr>
              <w:t>As of September 30, 2025</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4"/>
          </w:tcPr>
          <w:p>
            <w:pPr>
              <w:jc w:val="right"/>
              <w:ind w:right="553"/>
              <w:spacing w:after="0"/>
              <w:rPr>
                <w:sz w:val="20"/>
                <w:szCs w:val="20"/>
                <w:color w:val="auto"/>
              </w:rPr>
            </w:pPr>
            <w:r>
              <w:rPr>
                <w:rFonts w:ascii="Arial" w:cs="Arial" w:eastAsia="Arial" w:hAnsi="Arial"/>
                <w:sz w:val="14"/>
                <w:szCs w:val="14"/>
                <w:b w:val="1"/>
                <w:bCs w:val="1"/>
                <w:color w:val="auto"/>
              </w:rPr>
              <w:t>As of December 31, 2024</w:t>
            </w:r>
          </w:p>
        </w:tc>
      </w:tr>
      <w:tr>
        <w:trPr>
          <w:trHeight w:val="143"/>
        </w:trPr>
        <w:tc>
          <w:tcPr>
            <w:tcW w:w="31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gridSpan w:val="2"/>
          </w:tcPr>
          <w:p>
            <w:pPr>
              <w:jc w:val="center"/>
              <w:ind w:right="340"/>
              <w:spacing w:after="0" w:line="143" w:lineRule="exact"/>
              <w:rPr>
                <w:sz w:val="20"/>
                <w:szCs w:val="20"/>
                <w:color w:val="auto"/>
              </w:rPr>
            </w:pPr>
            <w:r>
              <w:rPr>
                <w:rFonts w:ascii="Arial" w:cs="Arial" w:eastAsia="Arial" w:hAnsi="Arial"/>
                <w:sz w:val="14"/>
                <w:szCs w:val="14"/>
                <w:b w:val="1"/>
                <w:bCs w:val="1"/>
                <w:color w:val="auto"/>
                <w:w w:val="99"/>
              </w:rPr>
              <w:t>Asset</w:t>
            </w:r>
          </w:p>
        </w:tc>
        <w:tc>
          <w:tcPr>
            <w:tcW w:w="220" w:type="dxa"/>
            <w:vAlign w:val="bottom"/>
          </w:tcPr>
          <w:p>
            <w:pPr>
              <w:spacing w:after="0"/>
              <w:rPr>
                <w:sz w:val="12"/>
                <w:szCs w:val="12"/>
                <w:color w:val="auto"/>
              </w:rPr>
            </w:pPr>
          </w:p>
        </w:tc>
        <w:tc>
          <w:tcPr>
            <w:tcW w:w="1300" w:type="dxa"/>
            <w:vAlign w:val="bottom"/>
            <w:gridSpan w:val="2"/>
          </w:tcPr>
          <w:p>
            <w:pPr>
              <w:jc w:val="center"/>
              <w:ind w:right="320"/>
              <w:spacing w:after="0" w:line="143" w:lineRule="exact"/>
              <w:rPr>
                <w:sz w:val="20"/>
                <w:szCs w:val="20"/>
                <w:color w:val="auto"/>
              </w:rPr>
            </w:pPr>
            <w:r>
              <w:rPr>
                <w:rFonts w:ascii="Arial" w:cs="Arial" w:eastAsia="Arial" w:hAnsi="Arial"/>
                <w:sz w:val="14"/>
                <w:szCs w:val="14"/>
                <w:b w:val="1"/>
                <w:bCs w:val="1"/>
                <w:color w:val="auto"/>
              </w:rPr>
              <w:t>Liability</w:t>
            </w:r>
          </w:p>
        </w:tc>
        <w:tc>
          <w:tcPr>
            <w:tcW w:w="240" w:type="dxa"/>
            <w:vAlign w:val="bottom"/>
          </w:tcPr>
          <w:p>
            <w:pPr>
              <w:spacing w:after="0"/>
              <w:rPr>
                <w:sz w:val="12"/>
                <w:szCs w:val="12"/>
                <w:color w:val="auto"/>
              </w:rPr>
            </w:pPr>
          </w:p>
        </w:tc>
        <w:tc>
          <w:tcPr>
            <w:tcW w:w="1300" w:type="dxa"/>
            <w:vAlign w:val="bottom"/>
            <w:gridSpan w:val="2"/>
          </w:tcPr>
          <w:p>
            <w:pPr>
              <w:jc w:val="center"/>
              <w:ind w:right="340"/>
              <w:spacing w:after="0" w:line="143" w:lineRule="exact"/>
              <w:rPr>
                <w:sz w:val="20"/>
                <w:szCs w:val="20"/>
                <w:color w:val="auto"/>
              </w:rPr>
            </w:pPr>
            <w:r>
              <w:rPr>
                <w:rFonts w:ascii="Arial" w:cs="Arial" w:eastAsia="Arial" w:hAnsi="Arial"/>
                <w:sz w:val="14"/>
                <w:szCs w:val="14"/>
                <w:b w:val="1"/>
                <w:bCs w:val="1"/>
                <w:color w:val="auto"/>
              </w:rPr>
              <w:t>Asset</w:t>
            </w:r>
          </w:p>
        </w:tc>
        <w:tc>
          <w:tcPr>
            <w:tcW w:w="240" w:type="dxa"/>
            <w:vAlign w:val="bottom"/>
          </w:tcPr>
          <w:p>
            <w:pPr>
              <w:spacing w:after="0"/>
              <w:rPr>
                <w:sz w:val="12"/>
                <w:szCs w:val="12"/>
                <w:color w:val="auto"/>
              </w:rPr>
            </w:pPr>
          </w:p>
        </w:tc>
        <w:tc>
          <w:tcPr>
            <w:tcW w:w="1200" w:type="dxa"/>
            <w:vAlign w:val="bottom"/>
          </w:tcPr>
          <w:p>
            <w:pPr>
              <w:jc w:val="right"/>
              <w:ind w:right="353"/>
              <w:spacing w:after="0" w:line="143" w:lineRule="exact"/>
              <w:rPr>
                <w:sz w:val="20"/>
                <w:szCs w:val="20"/>
                <w:color w:val="auto"/>
              </w:rPr>
            </w:pPr>
            <w:r>
              <w:rPr>
                <w:rFonts w:ascii="Arial" w:cs="Arial" w:eastAsia="Arial" w:hAnsi="Arial"/>
                <w:sz w:val="14"/>
                <w:szCs w:val="14"/>
                <w:b w:val="1"/>
                <w:bCs w:val="1"/>
                <w:color w:val="auto"/>
              </w:rPr>
              <w:t>Liability</w:t>
            </w:r>
          </w:p>
        </w:tc>
      </w:tr>
      <w:tr>
        <w:trPr>
          <w:trHeight w:val="189"/>
        </w:trPr>
        <w:tc>
          <w:tcPr>
            <w:tcW w:w="316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rPr>
              <w:t>Derivatives</w:t>
            </w: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rPr>
              <w:t>Derivatives</w:t>
            </w: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rPr>
              <w:t>Derivatives</w:t>
            </w: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Derivatives</w:t>
            </w:r>
          </w:p>
        </w:tc>
      </w:tr>
      <w:tr>
        <w:trPr>
          <w:trHeight w:val="196"/>
        </w:trPr>
        <w:tc>
          <w:tcPr>
            <w:tcW w:w="3160" w:type="dxa"/>
            <w:vAlign w:val="bottom"/>
          </w:tcPr>
          <w:p>
            <w:pPr>
              <w:spacing w:after="0"/>
              <w:rPr>
                <w:sz w:val="17"/>
                <w:szCs w:val="17"/>
                <w:color w:val="auto"/>
              </w:rPr>
            </w:pPr>
          </w:p>
        </w:tc>
        <w:tc>
          <w:tcPr>
            <w:tcW w:w="2040" w:type="dxa"/>
            <w:vAlign w:val="bottom"/>
          </w:tcPr>
          <w:p>
            <w:pPr>
              <w:jc w:val="center"/>
              <w:ind w:left="215"/>
              <w:spacing w:after="0" w:line="196" w:lineRule="exact"/>
              <w:rPr>
                <w:sz w:val="20"/>
                <w:szCs w:val="20"/>
                <w:color w:val="auto"/>
              </w:rPr>
            </w:pPr>
            <w:r>
              <w:rPr>
                <w:rFonts w:ascii="Arial" w:cs="Arial" w:eastAsia="Arial" w:hAnsi="Arial"/>
                <w:sz w:val="14"/>
                <w:szCs w:val="14"/>
                <w:b w:val="1"/>
                <w:bCs w:val="1"/>
                <w:color w:val="auto"/>
                <w:w w:val="99"/>
              </w:rPr>
              <w:t xml:space="preserve">Type of Hedge </w:t>
            </w:r>
            <w:r>
              <w:rPr>
                <w:rFonts w:ascii="Arial" w:cs="Arial" w:eastAsia="Arial" w:hAnsi="Arial"/>
                <w:sz w:val="18"/>
                <w:szCs w:val="18"/>
                <w:b w:val="1"/>
                <w:bCs w:val="1"/>
                <w:color w:val="auto"/>
                <w:w w:val="99"/>
                <w:vertAlign w:val="superscript"/>
              </w:rPr>
              <w:t>(1)</w:t>
            </w: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40" w:type="dxa"/>
            <w:vAlign w:val="bottom"/>
            <w:gridSpan w:val="5"/>
          </w:tcPr>
          <w:p>
            <w:pPr>
              <w:ind w:left="86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175"/>
        </w:trPr>
        <w:tc>
          <w:tcPr>
            <w:tcW w:w="31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Derivatives designated as</w:t>
            </w:r>
          </w:p>
        </w:tc>
        <w:tc>
          <w:tcPr>
            <w:tcW w:w="20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243"/>
        </w:trPr>
        <w:tc>
          <w:tcPr>
            <w:tcW w:w="3160" w:type="dxa"/>
            <w:vAlign w:val="bottom"/>
            <w:shd w:val="clear" w:color="auto" w:fill="CCEEFF"/>
          </w:tcPr>
          <w:p>
            <w:pPr>
              <w:ind w:left="180"/>
              <w:spacing w:after="0" w:line="243" w:lineRule="exact"/>
              <w:rPr>
                <w:sz w:val="20"/>
                <w:szCs w:val="20"/>
                <w:color w:val="auto"/>
              </w:rPr>
            </w:pPr>
            <w:r>
              <w:rPr>
                <w:rFonts w:ascii="Arial" w:cs="Arial" w:eastAsia="Arial" w:hAnsi="Arial"/>
                <w:sz w:val="18"/>
                <w:szCs w:val="18"/>
                <w:b w:val="1"/>
                <w:bCs w:val="1"/>
                <w:color w:val="auto"/>
              </w:rPr>
              <w:t xml:space="preserve">accounting hedges </w:t>
            </w:r>
            <w:r>
              <w:rPr>
                <w:rFonts w:ascii="Arial" w:cs="Arial" w:eastAsia="Arial" w:hAnsi="Arial"/>
                <w:sz w:val="23"/>
                <w:szCs w:val="23"/>
                <w:b w:val="1"/>
                <w:bCs w:val="1"/>
                <w:color w:val="auto"/>
                <w:vertAlign w:val="superscript"/>
              </w:rPr>
              <w:t>(2)</w:t>
            </w:r>
            <w:r>
              <w:rPr>
                <w:rFonts w:ascii="Arial" w:cs="Arial" w:eastAsia="Arial" w:hAnsi="Arial"/>
                <w:sz w:val="18"/>
                <w:szCs w:val="18"/>
                <w:b w:val="1"/>
                <w:bCs w:val="1"/>
                <w:color w:val="auto"/>
              </w:rPr>
              <w:t>:</w:t>
            </w:r>
          </w:p>
        </w:tc>
        <w:tc>
          <w:tcPr>
            <w:tcW w:w="20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r>
      <w:tr>
        <w:trPr>
          <w:trHeight w:val="229"/>
        </w:trPr>
        <w:tc>
          <w:tcPr>
            <w:tcW w:w="3160" w:type="dxa"/>
            <w:vAlign w:val="bottom"/>
          </w:tcPr>
          <w:p>
            <w:pPr>
              <w:ind w:left="20"/>
              <w:spacing w:after="0"/>
              <w:rPr>
                <w:sz w:val="20"/>
                <w:szCs w:val="20"/>
                <w:color w:val="auto"/>
              </w:rPr>
            </w:pPr>
            <w:r>
              <w:rPr>
                <w:rFonts w:ascii="Arial" w:cs="Arial" w:eastAsia="Arial" w:hAnsi="Arial"/>
                <w:sz w:val="18"/>
                <w:szCs w:val="18"/>
                <w:color w:val="auto"/>
              </w:rPr>
              <w:t>Foreign currency contracts</w:t>
            </w:r>
          </w:p>
        </w:tc>
        <w:tc>
          <w:tcPr>
            <w:tcW w:w="2040" w:type="dxa"/>
            <w:vAlign w:val="bottom"/>
          </w:tcPr>
          <w:p>
            <w:pPr>
              <w:jc w:val="center"/>
              <w:ind w:left="215"/>
              <w:spacing w:after="0"/>
              <w:rPr>
                <w:sz w:val="20"/>
                <w:szCs w:val="20"/>
                <w:color w:val="auto"/>
              </w:rPr>
            </w:pPr>
            <w:r>
              <w:rPr>
                <w:rFonts w:ascii="Arial" w:cs="Arial" w:eastAsia="Arial" w:hAnsi="Arial"/>
                <w:sz w:val="18"/>
                <w:szCs w:val="18"/>
                <w:color w:val="auto"/>
                <w:w w:val="96"/>
              </w:rPr>
              <w:t>NIH</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contracts</w:t>
            </w:r>
          </w:p>
        </w:tc>
        <w:tc>
          <w:tcPr>
            <w:tcW w:w="2040" w:type="dxa"/>
            <w:vAlign w:val="bottom"/>
            <w:shd w:val="clear" w:color="auto" w:fill="CCEEFF"/>
          </w:tcPr>
          <w:p>
            <w:pPr>
              <w:jc w:val="center"/>
              <w:ind w:left="235"/>
              <w:spacing w:after="0"/>
              <w:rPr>
                <w:sz w:val="20"/>
                <w:szCs w:val="20"/>
                <w:color w:val="auto"/>
              </w:rPr>
            </w:pPr>
            <w:r>
              <w:rPr>
                <w:rFonts w:ascii="Arial" w:cs="Arial" w:eastAsia="Arial" w:hAnsi="Arial"/>
                <w:sz w:val="18"/>
                <w:szCs w:val="18"/>
                <w:color w:val="auto"/>
                <w:w w:val="99"/>
              </w:rPr>
              <w:t>CF</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29"/>
        </w:trPr>
        <w:tc>
          <w:tcPr>
            <w:tcW w:w="3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Cross-currency swap contracts</w:t>
            </w:r>
          </w:p>
        </w:tc>
        <w:tc>
          <w:tcPr>
            <w:tcW w:w="2040" w:type="dxa"/>
            <w:vAlign w:val="bottom"/>
            <w:tcBorders>
              <w:bottom w:val="single" w:sz="8" w:color="CCEEFF"/>
            </w:tcBorders>
          </w:tcPr>
          <w:p>
            <w:pPr>
              <w:jc w:val="center"/>
              <w:ind w:left="235"/>
              <w:spacing w:after="0"/>
              <w:rPr>
                <w:sz w:val="20"/>
                <w:szCs w:val="20"/>
                <w:color w:val="auto"/>
              </w:rPr>
            </w:pPr>
            <w:r>
              <w:rPr>
                <w:rFonts w:ascii="Arial" w:cs="Arial" w:eastAsia="Arial" w:hAnsi="Arial"/>
                <w:sz w:val="18"/>
                <w:szCs w:val="18"/>
                <w:color w:val="auto"/>
                <w:w w:val="99"/>
              </w:rPr>
              <w:t>CF/NIH</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r>
      <w:tr>
        <w:trPr>
          <w:trHeight w:val="223"/>
        </w:trPr>
        <w:tc>
          <w:tcPr>
            <w:tcW w:w="316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r>
      <w:tr>
        <w:trPr>
          <w:trHeight w:val="155"/>
        </w:trPr>
        <w:tc>
          <w:tcPr>
            <w:tcW w:w="3160" w:type="dxa"/>
            <w:vAlign w:val="bottom"/>
          </w:tcPr>
          <w:p>
            <w:pPr>
              <w:ind w:left="20"/>
              <w:spacing w:after="0" w:line="156" w:lineRule="exact"/>
              <w:rPr>
                <w:sz w:val="20"/>
                <w:szCs w:val="20"/>
                <w:color w:val="auto"/>
              </w:rPr>
            </w:pPr>
            <w:r>
              <w:rPr>
                <w:rFonts w:ascii="Arial" w:cs="Arial" w:eastAsia="Arial" w:hAnsi="Arial"/>
                <w:sz w:val="18"/>
                <w:szCs w:val="18"/>
                <w:b w:val="1"/>
                <w:bCs w:val="1"/>
                <w:color w:val="auto"/>
              </w:rPr>
              <w:t>Derivatives not designated as</w:t>
            </w:r>
          </w:p>
        </w:tc>
        <w:tc>
          <w:tcPr>
            <w:tcW w:w="2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243"/>
        </w:trPr>
        <w:tc>
          <w:tcPr>
            <w:tcW w:w="3160" w:type="dxa"/>
            <w:vAlign w:val="bottom"/>
          </w:tcPr>
          <w:p>
            <w:pPr>
              <w:ind w:left="180"/>
              <w:spacing w:after="0"/>
              <w:rPr>
                <w:sz w:val="20"/>
                <w:szCs w:val="20"/>
                <w:color w:val="auto"/>
              </w:rPr>
            </w:pPr>
            <w:r>
              <w:rPr>
                <w:rFonts w:ascii="Arial" w:cs="Arial" w:eastAsia="Arial" w:hAnsi="Arial"/>
                <w:sz w:val="18"/>
                <w:szCs w:val="18"/>
                <w:b w:val="1"/>
                <w:bCs w:val="1"/>
                <w:color w:val="auto"/>
              </w:rPr>
              <w:t>accounting hedges:</w:t>
            </w:r>
          </w:p>
        </w:tc>
        <w:tc>
          <w:tcPr>
            <w:tcW w:w="2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29"/>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contracts</w:t>
            </w:r>
          </w:p>
        </w:tc>
        <w:tc>
          <w:tcPr>
            <w:tcW w:w="20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r>
      <w:tr>
        <w:trPr>
          <w:trHeight w:val="229"/>
        </w:trPr>
        <w:tc>
          <w:tcPr>
            <w:tcW w:w="3160" w:type="dxa"/>
            <w:vAlign w:val="bottom"/>
          </w:tcPr>
          <w:p>
            <w:pPr>
              <w:ind w:left="20"/>
              <w:spacing w:after="0"/>
              <w:rPr>
                <w:sz w:val="20"/>
                <w:szCs w:val="20"/>
                <w:color w:val="auto"/>
              </w:rPr>
            </w:pPr>
            <w:r>
              <w:rPr>
                <w:rFonts w:ascii="Arial" w:cs="Arial" w:eastAsia="Arial" w:hAnsi="Arial"/>
                <w:sz w:val="18"/>
                <w:szCs w:val="18"/>
                <w:color w:val="auto"/>
              </w:rPr>
              <w:t>Commodity contracts</w:t>
            </w:r>
          </w:p>
        </w:tc>
        <w:tc>
          <w:tcPr>
            <w:tcW w:w="2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430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671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2,205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1,522</w:t>
            </w:r>
          </w:p>
        </w:tc>
      </w:tr>
      <w:tr>
        <w:trPr>
          <w:trHeight w:val="230"/>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contracts</w:t>
            </w:r>
          </w:p>
        </w:tc>
        <w:tc>
          <w:tcPr>
            <w:tcW w:w="20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3160" w:type="dxa"/>
            <w:vAlign w:val="bottom"/>
            <w:tcBorders>
              <w:bottom w:val="single" w:sz="8" w:color="CCEEFF"/>
            </w:tcBorders>
          </w:tcPr>
          <w:p>
            <w:pPr>
              <w:spacing w:after="0"/>
              <w:rPr>
                <w:sz w:val="19"/>
                <w:szCs w:val="19"/>
                <w:color w:val="auto"/>
              </w:rPr>
            </w:pPr>
          </w:p>
        </w:tc>
        <w:tc>
          <w:tcPr>
            <w:tcW w:w="20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583</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1,640</w:t>
            </w:r>
          </w:p>
        </w:tc>
      </w:tr>
      <w:tr>
        <w:trPr>
          <w:trHeight w:val="248"/>
        </w:trPr>
        <w:tc>
          <w:tcPr>
            <w:tcW w:w="3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fair value</w:t>
            </w:r>
          </w:p>
        </w:tc>
        <w:tc>
          <w:tcPr>
            <w:tcW w:w="20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1,725</w:t>
            </w: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left="320" w:hanging="312"/>
        <w:spacing w:after="0"/>
        <w:tabs>
          <w:tab w:leader="none" w:pos="320" w:val="left"/>
        </w:tabs>
        <w:numPr>
          <w:ilvl w:val="0"/>
          <w:numId w:val="4"/>
        </w:numPr>
        <w:rPr>
          <w:rFonts w:ascii="Arial" w:cs="Arial" w:eastAsia="Arial" w:hAnsi="Arial"/>
          <w:sz w:val="14"/>
          <w:szCs w:val="14"/>
          <w:color w:val="auto"/>
        </w:rPr>
      </w:pPr>
      <w:r>
        <w:rPr>
          <w:rFonts w:ascii="Arial" w:cs="Arial" w:eastAsia="Arial" w:hAnsi="Arial"/>
          <w:sz w:val="14"/>
          <w:szCs w:val="14"/>
          <w:color w:val="auto"/>
        </w:rPr>
        <w:t>Derivative contracts designated as either cash flow ("CF") or net investment hedging ("NIH") instruments.</w:t>
      </w:r>
    </w:p>
    <w:p>
      <w:pPr>
        <w:spacing w:after="0" w:line="28" w:lineRule="exact"/>
        <w:rPr>
          <w:rFonts w:ascii="Arial" w:cs="Arial" w:eastAsia="Arial" w:hAnsi="Arial"/>
          <w:sz w:val="14"/>
          <w:szCs w:val="14"/>
          <w:color w:val="auto"/>
        </w:rPr>
      </w:pPr>
    </w:p>
    <w:p>
      <w:pPr>
        <w:jc w:val="both"/>
        <w:ind w:left="340" w:hanging="332"/>
        <w:spacing w:after="0" w:line="269" w:lineRule="auto"/>
        <w:tabs>
          <w:tab w:leader="none" w:pos="327"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We designate some of our non-U.S. dollar denominated debt to hedge a portion of our net investments in our non-U.S. operations. This debt is not reflected in the table above, but is included in long-term debt discussed in Note 7, </w:t>
      </w:r>
      <w:r>
        <w:rPr>
          <w:rFonts w:ascii="Arial" w:cs="Arial" w:eastAsia="Arial" w:hAnsi="Arial"/>
          <w:sz w:val="14"/>
          <w:szCs w:val="14"/>
          <w:i w:val="1"/>
          <w:iCs w:val="1"/>
          <w:color w:val="auto"/>
        </w:rPr>
        <w:t>Debt and Borrowing Arrangements</w:t>
      </w:r>
      <w:r>
        <w:rPr>
          <w:rFonts w:ascii="Arial" w:cs="Arial" w:eastAsia="Arial" w:hAnsi="Arial"/>
          <w:sz w:val="14"/>
          <w:szCs w:val="14"/>
          <w:color w:val="auto"/>
        </w:rPr>
        <w:t xml:space="preserve">. Non-U.S. dollar denominated debt designated as net investment hedges is also disclosed in the </w:t>
      </w:r>
      <w:r>
        <w:rPr>
          <w:rFonts w:ascii="Arial" w:cs="Arial" w:eastAsia="Arial" w:hAnsi="Arial"/>
          <w:sz w:val="14"/>
          <w:szCs w:val="14"/>
          <w:i w:val="1"/>
          <w:iCs w:val="1"/>
          <w:color w:val="auto"/>
        </w:rPr>
        <w:t>Notional Amounts of Derivatives and Other Hedging Instruments</w:t>
      </w:r>
      <w:r>
        <w:rPr>
          <w:rFonts w:ascii="Arial" w:cs="Arial" w:eastAsia="Arial" w:hAnsi="Arial"/>
          <w:sz w:val="14"/>
          <w:szCs w:val="14"/>
          <w:color w:val="auto"/>
        </w:rPr>
        <w:t xml:space="preserve"> table and the </w:t>
      </w:r>
      <w:r>
        <w:rPr>
          <w:rFonts w:ascii="Arial" w:cs="Arial" w:eastAsia="Arial" w:hAnsi="Arial"/>
          <w:sz w:val="14"/>
          <w:szCs w:val="14"/>
          <w:i w:val="1"/>
          <w:iCs w:val="1"/>
          <w:color w:val="auto"/>
        </w:rPr>
        <w:t>Hedges of Net Investments in International Operations</w:t>
      </w:r>
      <w:r>
        <w:rPr>
          <w:rFonts w:ascii="Arial" w:cs="Arial" w:eastAsia="Arial" w:hAnsi="Arial"/>
          <w:sz w:val="14"/>
          <w:szCs w:val="14"/>
          <w:color w:val="auto"/>
        </w:rPr>
        <w:t xml:space="preserve"> section appearing later in this footnote.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We recorded the fair value of our derivative instruments in the condensed consolidated balance sheets as follows: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240" w:type="dxa"/>
            <w:vAlign w:val="bottom"/>
          </w:tcPr>
          <w:p>
            <w:pPr>
              <w:spacing w:after="0"/>
              <w:rPr>
                <w:sz w:val="17"/>
                <w:szCs w:val="17"/>
                <w:color w:val="auto"/>
              </w:rPr>
            </w:pPr>
          </w:p>
        </w:tc>
        <w:tc>
          <w:tcPr>
            <w:tcW w:w="2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As of September 30, 2025</w:t>
            </w:r>
          </w:p>
        </w:tc>
        <w:tc>
          <w:tcPr>
            <w:tcW w:w="5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246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As of December 31, 2024</w:t>
            </w:r>
          </w:p>
        </w:tc>
      </w:tr>
      <w:tr>
        <w:trPr>
          <w:trHeight w:val="196"/>
        </w:trPr>
        <w:tc>
          <w:tcPr>
            <w:tcW w:w="524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12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rPr>
              <w:t>(in millions)</w:t>
            </w:r>
          </w:p>
        </w:tc>
        <w:tc>
          <w:tcPr>
            <w:tcW w:w="2460" w:type="dxa"/>
            <w:vAlign w:val="bottom"/>
          </w:tcPr>
          <w:p>
            <w:pPr>
              <w:spacing w:after="0"/>
              <w:rPr>
                <w:sz w:val="17"/>
                <w:szCs w:val="17"/>
                <w:color w:val="auto"/>
              </w:rPr>
            </w:pPr>
          </w:p>
        </w:tc>
      </w:tr>
      <w:tr>
        <w:trPr>
          <w:trHeight w:val="230"/>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2420" w:type="dxa"/>
            <w:vAlign w:val="bottom"/>
            <w:shd w:val="clear" w:color="auto" w:fill="CCEEFF"/>
          </w:tcPr>
          <w:p>
            <w:pPr>
              <w:jc w:val="right"/>
              <w:ind w:right="2219"/>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657</w:t>
            </w:r>
          </w:p>
        </w:tc>
        <w:tc>
          <w:tcPr>
            <w:tcW w:w="5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2,545</w:t>
            </w:r>
          </w:p>
        </w:tc>
      </w:tr>
      <w:tr>
        <w:trPr>
          <w:trHeight w:val="230"/>
        </w:trPr>
        <w:tc>
          <w:tcPr>
            <w:tcW w:w="524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2420" w:type="dxa"/>
            <w:vAlign w:val="bottom"/>
          </w:tcPr>
          <w:p>
            <w:pPr>
              <w:spacing w:after="0"/>
              <w:rPr>
                <w:sz w:val="19"/>
                <w:szCs w:val="19"/>
                <w:color w:val="auto"/>
              </w:rPr>
            </w:pPr>
          </w:p>
        </w:tc>
        <w:tc>
          <w:tcPr>
            <w:tcW w:w="560" w:type="dxa"/>
            <w:vAlign w:val="bottom"/>
          </w:tcPr>
          <w:p>
            <w:pPr>
              <w:jc w:val="right"/>
              <w:ind w:right="14"/>
              <w:spacing w:after="0"/>
              <w:rPr>
                <w:sz w:val="20"/>
                <w:szCs w:val="20"/>
                <w:color w:val="auto"/>
              </w:rPr>
            </w:pPr>
            <w:r>
              <w:rPr>
                <w:rFonts w:ascii="Arial" w:cs="Arial" w:eastAsia="Arial" w:hAnsi="Arial"/>
                <w:sz w:val="18"/>
                <w:szCs w:val="18"/>
                <w:color w:val="auto"/>
              </w:rPr>
              <w:t>167</w:t>
            </w:r>
          </w:p>
        </w:tc>
        <w:tc>
          <w:tcPr>
            <w:tcW w:w="560" w:type="dxa"/>
            <w:vAlign w:val="bottom"/>
          </w:tcPr>
          <w:p>
            <w:pPr>
              <w:spacing w:after="0"/>
              <w:rPr>
                <w:sz w:val="19"/>
                <w:szCs w:val="19"/>
                <w:color w:val="auto"/>
              </w:rPr>
            </w:pPr>
          </w:p>
        </w:tc>
        <w:tc>
          <w:tcPr>
            <w:tcW w:w="2460" w:type="dxa"/>
            <w:vAlign w:val="bottom"/>
          </w:tcPr>
          <w:p>
            <w:pPr>
              <w:jc w:val="right"/>
              <w:spacing w:after="0"/>
              <w:rPr>
                <w:sz w:val="20"/>
                <w:szCs w:val="20"/>
                <w:color w:val="auto"/>
              </w:rPr>
            </w:pPr>
            <w:r>
              <w:rPr>
                <w:rFonts w:ascii="Arial" w:cs="Arial" w:eastAsia="Arial" w:hAnsi="Arial"/>
                <w:sz w:val="18"/>
                <w:szCs w:val="18"/>
                <w:color w:val="auto"/>
              </w:rPr>
              <w:t>354</w:t>
            </w:r>
          </w:p>
        </w:tc>
      </w:tr>
      <w:tr>
        <w:trPr>
          <w:trHeight w:val="230"/>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242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97"/>
              </w:rPr>
              <w:t>1,046</w:t>
            </w:r>
          </w:p>
        </w:tc>
        <w:tc>
          <w:tcPr>
            <w:tcW w:w="560" w:type="dxa"/>
            <w:vAlign w:val="bottom"/>
            <w:shd w:val="clear" w:color="auto" w:fill="CCEEFF"/>
          </w:tcPr>
          <w:p>
            <w:pPr>
              <w:spacing w:after="0"/>
              <w:rPr>
                <w:sz w:val="19"/>
                <w:szCs w:val="19"/>
                <w:color w:val="auto"/>
              </w:rPr>
            </w:pP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1,641</w:t>
            </w:r>
          </w:p>
        </w:tc>
      </w:tr>
      <w:tr>
        <w:trPr>
          <w:trHeight w:val="239"/>
        </w:trPr>
        <w:tc>
          <w:tcPr>
            <w:tcW w:w="5240" w:type="dxa"/>
            <w:vAlign w:val="bottom"/>
          </w:tcPr>
          <w:p>
            <w:pPr>
              <w:ind w:left="20"/>
              <w:spacing w:after="0"/>
              <w:rPr>
                <w:sz w:val="20"/>
                <w:szCs w:val="20"/>
                <w:color w:val="auto"/>
              </w:rPr>
            </w:pPr>
            <w:r>
              <w:rPr>
                <w:rFonts w:ascii="Arial" w:cs="Arial" w:eastAsia="Arial" w:hAnsi="Arial"/>
                <w:sz w:val="18"/>
                <w:szCs w:val="18"/>
                <w:color w:val="auto"/>
              </w:rPr>
              <w:t>Other liabilities</w:t>
            </w:r>
          </w:p>
        </w:tc>
        <w:tc>
          <w:tcPr>
            <w:tcW w:w="2420" w:type="dxa"/>
            <w:vAlign w:val="bottom"/>
          </w:tcPr>
          <w:p>
            <w:pPr>
              <w:spacing w:after="0"/>
              <w:rPr>
                <w:sz w:val="20"/>
                <w:szCs w:val="20"/>
                <w:color w:val="auto"/>
              </w:rPr>
            </w:pPr>
          </w:p>
        </w:tc>
        <w:tc>
          <w:tcPr>
            <w:tcW w:w="560" w:type="dxa"/>
            <w:vAlign w:val="bottom"/>
          </w:tcPr>
          <w:p>
            <w:pPr>
              <w:jc w:val="right"/>
              <w:ind w:right="14"/>
              <w:spacing w:after="0"/>
              <w:rPr>
                <w:sz w:val="20"/>
                <w:szCs w:val="20"/>
                <w:color w:val="auto"/>
              </w:rPr>
            </w:pPr>
            <w:r>
              <w:rPr>
                <w:rFonts w:ascii="Arial" w:cs="Arial" w:eastAsia="Arial" w:hAnsi="Arial"/>
                <w:sz w:val="18"/>
                <w:szCs w:val="18"/>
                <w:color w:val="auto"/>
              </w:rPr>
              <w:t>445</w:t>
            </w:r>
          </w:p>
        </w:tc>
        <w:tc>
          <w:tcPr>
            <w:tcW w:w="560" w:type="dxa"/>
            <w:vAlign w:val="bottom"/>
          </w:tcPr>
          <w:p>
            <w:pPr>
              <w:spacing w:after="0"/>
              <w:rPr>
                <w:sz w:val="20"/>
                <w:szCs w:val="20"/>
                <w:color w:val="auto"/>
              </w:rPr>
            </w:pPr>
          </w:p>
        </w:tc>
        <w:tc>
          <w:tcPr>
            <w:tcW w:w="2460" w:type="dxa"/>
            <w:vAlign w:val="bottom"/>
          </w:tcPr>
          <w:p>
            <w:pPr>
              <w:jc w:val="right"/>
              <w:spacing w:after="0"/>
              <w:rPr>
                <w:sz w:val="20"/>
                <w:szCs w:val="20"/>
                <w:color w:val="auto"/>
              </w:rPr>
            </w:pPr>
            <w:r>
              <w:rPr>
                <w:rFonts w:ascii="Arial" w:cs="Arial" w:eastAsia="Arial" w:hAnsi="Arial"/>
                <w:sz w:val="18"/>
                <w:szCs w:val="18"/>
                <w:color w:val="auto"/>
              </w:rPr>
              <w:t>84</w:t>
            </w:r>
          </w:p>
        </w:tc>
      </w:tr>
    </w:tbl>
    <w:p>
      <w:pPr>
        <w:spacing w:after="0" w:line="30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Certain exchange-traded commodity contracts require us to receive from or pay to a broker an amount of cash related to the daily fluctuation in value of the futures contract. Such cash collateral held or placed is known as variation margin and is recorded as other current assets and liabilities. The net asset variation margin balances for futures contracts were $ 230 million and $263 million as of September 30, 2025 and December 31, 2024, respectively. These balances are excluded from the table above. Our over-the-counter ("OTC") derivative transactions are governed by International Swap Dealers Association agreements and other standard industry contracts. Under these agreements, we do not post nor require collateral from our counterparties. The majority of our derivative contracts do not have a legal right of set-off. We manage the credit risk in connection with these and all our derivatives by entering into transactions with counterparties with investment grade credit ratings, limiting the amount of exposure with each counterparty and monitoring the financial condition of our counterparties.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6845935</wp:posOffset>
            </wp:positionH>
            <wp:positionV relativeFrom="paragraph">
              <wp:posOffset>1097915</wp:posOffset>
            </wp:positionV>
            <wp:extent cx="282575" cy="1885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287655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Measurements of Derivative Instruments</w:t>
      </w:r>
    </w:p>
    <w:p>
      <w:pPr>
        <w:spacing w:after="0" w:line="25" w:lineRule="exact"/>
        <w:rPr>
          <w:sz w:val="20"/>
          <w:szCs w:val="20"/>
          <w:color w:val="auto"/>
        </w:rPr>
      </w:pPr>
    </w:p>
    <w:p>
      <w:pPr>
        <w:jc w:val="both"/>
        <w:ind w:right="20"/>
        <w:spacing w:after="0" w:line="258" w:lineRule="auto"/>
        <w:rPr>
          <w:sz w:val="20"/>
          <w:szCs w:val="20"/>
          <w:color w:val="auto"/>
        </w:rPr>
      </w:pPr>
      <w:r>
        <w:rPr>
          <w:rFonts w:ascii="Arial" w:cs="Arial" w:eastAsia="Arial" w:hAnsi="Arial"/>
          <w:sz w:val="18"/>
          <w:szCs w:val="18"/>
          <w:color w:val="auto"/>
        </w:rPr>
        <w:t>Level 1 fair value measurements use quoted prices in active markets for identical assets or liabilities. Level 1 financial assets and liabilities consist of exchange-traded commodity futures and listed options. The fair value of these instruments is determined based on quoted market prices on commodity exchanges.</w:t>
      </w:r>
    </w:p>
    <w:p>
      <w:pPr>
        <w:spacing w:after="0" w:line="20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Level 2 fair value measurements use quoted prices for similar assets or liabilities in active markets, quoted prices for identical or similar assets or liabilities in markets with insufficient volume or infrequent transactions, or model-based valuations in which significant inputs are observable in the market. Level 2 financial assets and liabilities consist primarily of OTC foreign currency forwards and options; commodity forwards and options; interest rate swaps; and cross-currency swaps. Our foreign currency contracts are valued using an income approach based on observable market forward rates less the contract rate multiplied by the notional amount. Commodity derivatives are valued using an income approach based on the observable market commodity index prices less the contract rate multiplied by the notional amount or based on pricing models that rely on market observable inputs such as commodity prices. Our calculation of the fair value of interest rate swaps is derived from a discounted cash flow analysis based on the terms of the contract and the observable market interest rate curve. Our calculation of the fair value of financial instruments takes into consideration the risk of nonperformance, including counterparty credit risk.</w:t>
      </w:r>
    </w:p>
    <w:p>
      <w:pPr>
        <w:spacing w:after="0" w:line="20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Level 3 fair value measurements use unobservable inputs and include the use of judgment by management about the assumptions market participants use in pricing the asset or liability.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measurements (asset/(liability)) of our derivative instruments were classified in the fair value hierarchy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1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460" w:type="dxa"/>
            <w:vAlign w:val="bottom"/>
            <w:tcBorders>
              <w:bottom w:val="single" w:sz="8" w:color="auto"/>
            </w:tcBorders>
            <w:gridSpan w:val="5"/>
          </w:tcPr>
          <w:p>
            <w:pPr>
              <w:jc w:val="center"/>
              <w:ind w:right="280"/>
              <w:spacing w:after="0"/>
              <w:rPr>
                <w:sz w:val="20"/>
                <w:szCs w:val="20"/>
                <w:color w:val="auto"/>
              </w:rPr>
            </w:pPr>
            <w:r>
              <w:rPr>
                <w:rFonts w:ascii="Arial" w:cs="Arial" w:eastAsia="Arial" w:hAnsi="Arial"/>
                <w:sz w:val="14"/>
                <w:szCs w:val="14"/>
                <w:b w:val="1"/>
                <w:bCs w:val="1"/>
                <w:color w:val="auto"/>
              </w:rPr>
              <w:t>As of September 30, 2025</w:t>
            </w:r>
          </w:p>
        </w:tc>
        <w:tc>
          <w:tcPr>
            <w:tcW w:w="2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4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40" w:type="dxa"/>
            <w:vAlign w:val="bottom"/>
            <w:gridSpan w:val="2"/>
          </w:tcPr>
          <w:p>
            <w:pPr>
              <w:jc w:val="center"/>
              <w:ind w:right="260"/>
              <w:spacing w:after="0" w:line="143" w:lineRule="exact"/>
              <w:rPr>
                <w:sz w:val="20"/>
                <w:szCs w:val="20"/>
                <w:color w:val="auto"/>
              </w:rPr>
            </w:pPr>
            <w:r>
              <w:rPr>
                <w:rFonts w:ascii="Arial" w:cs="Arial" w:eastAsia="Arial" w:hAnsi="Arial"/>
                <w:sz w:val="14"/>
                <w:szCs w:val="14"/>
                <w:b w:val="1"/>
                <w:bCs w:val="1"/>
                <w:color w:val="auto"/>
              </w:rPr>
              <w:t>Quoted Prices in</w:t>
            </w:r>
          </w:p>
        </w:tc>
        <w:tc>
          <w:tcPr>
            <w:tcW w:w="200" w:type="dxa"/>
            <w:vAlign w:val="bottom"/>
          </w:tcPr>
          <w:p>
            <w:pPr>
              <w:spacing w:after="0"/>
              <w:rPr>
                <w:sz w:val="12"/>
                <w:szCs w:val="12"/>
                <w:color w:val="auto"/>
              </w:rPr>
            </w:pPr>
          </w:p>
        </w:tc>
        <w:tc>
          <w:tcPr>
            <w:tcW w:w="16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Significant</w:t>
            </w:r>
          </w:p>
        </w:tc>
        <w:tc>
          <w:tcPr>
            <w:tcW w:w="240" w:type="dxa"/>
            <w:vAlign w:val="bottom"/>
          </w:tcPr>
          <w:p>
            <w:pPr>
              <w:spacing w:after="0"/>
              <w:rPr>
                <w:sz w:val="12"/>
                <w:szCs w:val="12"/>
                <w:color w:val="auto"/>
              </w:rPr>
            </w:pPr>
          </w:p>
        </w:tc>
        <w:tc>
          <w:tcPr>
            <w:tcW w:w="1460" w:type="dxa"/>
            <w:vAlign w:val="bottom"/>
            <w:vMerge w:val="restart"/>
          </w:tcPr>
          <w:p>
            <w:pPr>
              <w:jc w:val="center"/>
              <w:ind w:right="158"/>
              <w:spacing w:after="0"/>
              <w:rPr>
                <w:sz w:val="20"/>
                <w:szCs w:val="20"/>
                <w:color w:val="auto"/>
              </w:rPr>
            </w:pPr>
            <w:r>
              <w:rPr>
                <w:rFonts w:ascii="Arial" w:cs="Arial" w:eastAsia="Arial" w:hAnsi="Arial"/>
                <w:sz w:val="14"/>
                <w:szCs w:val="14"/>
                <w:b w:val="1"/>
                <w:bCs w:val="1"/>
                <w:color w:val="auto"/>
              </w:rPr>
              <w:t>Significant</w:t>
            </w:r>
          </w:p>
        </w:tc>
        <w:tc>
          <w:tcPr>
            <w:tcW w:w="0" w:type="dxa"/>
            <w:vAlign w:val="bottom"/>
          </w:tcPr>
          <w:p>
            <w:pPr>
              <w:spacing w:after="0"/>
              <w:rPr>
                <w:sz w:val="1"/>
                <w:szCs w:val="1"/>
                <w:color w:val="auto"/>
              </w:rPr>
            </w:pPr>
          </w:p>
        </w:tc>
      </w:tr>
      <w:tr>
        <w:trPr>
          <w:trHeight w:val="135"/>
        </w:trPr>
        <w:tc>
          <w:tcPr>
            <w:tcW w:w="4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0" w:type="dxa"/>
            <w:vAlign w:val="bottom"/>
            <w:gridSpan w:val="3"/>
            <w:vMerge w:val="restart"/>
          </w:tcPr>
          <w:p>
            <w:pPr>
              <w:jc w:val="center"/>
              <w:ind w:right="300"/>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4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rPr>
              <w:t>Active Markets</w:t>
            </w:r>
          </w:p>
        </w:tc>
        <w:tc>
          <w:tcPr>
            <w:tcW w:w="200" w:type="dxa"/>
            <w:vAlign w:val="bottom"/>
          </w:tcPr>
          <w:p>
            <w:pPr>
              <w:spacing w:after="0"/>
              <w:rPr>
                <w:sz w:val="11"/>
                <w:szCs w:val="11"/>
                <w:color w:val="auto"/>
              </w:rPr>
            </w:pPr>
          </w:p>
        </w:tc>
        <w:tc>
          <w:tcPr>
            <w:tcW w:w="162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14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for Identical</w:t>
            </w:r>
          </w:p>
        </w:tc>
        <w:tc>
          <w:tcPr>
            <w:tcW w:w="200" w:type="dxa"/>
            <w:vAlign w:val="bottom"/>
          </w:tcPr>
          <w:p>
            <w:pPr>
              <w:spacing w:after="0"/>
              <w:rPr>
                <w:sz w:val="12"/>
                <w:szCs w:val="12"/>
                <w:color w:val="auto"/>
              </w:rPr>
            </w:pPr>
          </w:p>
        </w:tc>
        <w:tc>
          <w:tcPr>
            <w:tcW w:w="16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rPr>
              <w:t>Other Observable</w:t>
            </w:r>
          </w:p>
        </w:tc>
        <w:tc>
          <w:tcPr>
            <w:tcW w:w="240" w:type="dxa"/>
            <w:vAlign w:val="bottom"/>
          </w:tcPr>
          <w:p>
            <w:pPr>
              <w:spacing w:after="0"/>
              <w:rPr>
                <w:sz w:val="12"/>
                <w:szCs w:val="12"/>
                <w:color w:val="auto"/>
              </w:rPr>
            </w:pPr>
          </w:p>
        </w:tc>
        <w:tc>
          <w:tcPr>
            <w:tcW w:w="1460" w:type="dxa"/>
            <w:vAlign w:val="bottom"/>
          </w:tcPr>
          <w:p>
            <w:pPr>
              <w:jc w:val="center"/>
              <w:ind w:right="158"/>
              <w:spacing w:after="0" w:line="149" w:lineRule="exact"/>
              <w:rPr>
                <w:sz w:val="20"/>
                <w:szCs w:val="20"/>
                <w:color w:val="auto"/>
              </w:rPr>
            </w:pPr>
            <w:r>
              <w:rPr>
                <w:rFonts w:ascii="Arial" w:cs="Arial" w:eastAsia="Arial" w:hAnsi="Arial"/>
                <w:sz w:val="14"/>
                <w:szCs w:val="14"/>
                <w:b w:val="1"/>
                <w:bCs w:val="1"/>
                <w:color w:val="auto"/>
              </w:rPr>
              <w:t>Unobservable</w:t>
            </w:r>
          </w:p>
        </w:tc>
        <w:tc>
          <w:tcPr>
            <w:tcW w:w="0" w:type="dxa"/>
            <w:vAlign w:val="bottom"/>
          </w:tcPr>
          <w:p>
            <w:pPr>
              <w:spacing w:after="0"/>
              <w:rPr>
                <w:sz w:val="1"/>
                <w:szCs w:val="1"/>
                <w:color w:val="auto"/>
              </w:rPr>
            </w:pPr>
          </w:p>
        </w:tc>
      </w:tr>
      <w:tr>
        <w:trPr>
          <w:trHeight w:val="148"/>
        </w:trPr>
        <w:tc>
          <w:tcPr>
            <w:tcW w:w="4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rPr>
              <w:t>Fair Value of Net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Assets/(Liabilities)</w:t>
            </w:r>
          </w:p>
        </w:tc>
        <w:tc>
          <w:tcPr>
            <w:tcW w:w="200" w:type="dxa"/>
            <w:vAlign w:val="bottom"/>
          </w:tcPr>
          <w:p>
            <w:pPr>
              <w:spacing w:after="0"/>
              <w:rPr>
                <w:sz w:val="12"/>
                <w:szCs w:val="12"/>
                <w:color w:val="auto"/>
              </w:rPr>
            </w:pPr>
          </w:p>
        </w:tc>
        <w:tc>
          <w:tcPr>
            <w:tcW w:w="16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rPr>
              <w:t>Inputs</w:t>
            </w:r>
          </w:p>
        </w:tc>
        <w:tc>
          <w:tcPr>
            <w:tcW w:w="240" w:type="dxa"/>
            <w:vAlign w:val="bottom"/>
          </w:tcPr>
          <w:p>
            <w:pPr>
              <w:spacing w:after="0"/>
              <w:rPr>
                <w:sz w:val="12"/>
                <w:szCs w:val="12"/>
                <w:color w:val="auto"/>
              </w:rPr>
            </w:pPr>
          </w:p>
        </w:tc>
        <w:tc>
          <w:tcPr>
            <w:tcW w:w="1460" w:type="dxa"/>
            <w:vAlign w:val="bottom"/>
          </w:tcPr>
          <w:p>
            <w:pPr>
              <w:jc w:val="center"/>
              <w:ind w:right="158"/>
              <w:spacing w:after="0" w:line="149" w:lineRule="exact"/>
              <w:rPr>
                <w:sz w:val="20"/>
                <w:szCs w:val="20"/>
                <w:color w:val="auto"/>
              </w:rPr>
            </w:pPr>
            <w:r>
              <w:rPr>
                <w:rFonts w:ascii="Arial" w:cs="Arial" w:eastAsia="Arial" w:hAnsi="Arial"/>
                <w:sz w:val="14"/>
                <w:szCs w:val="14"/>
                <w:b w:val="1"/>
                <w:bCs w:val="1"/>
                <w:color w:val="auto"/>
                <w:w w:val="99"/>
              </w:rPr>
              <w:t>Inputs</w:t>
            </w:r>
          </w:p>
        </w:tc>
        <w:tc>
          <w:tcPr>
            <w:tcW w:w="0" w:type="dxa"/>
            <w:vAlign w:val="bottom"/>
          </w:tcPr>
          <w:p>
            <w:pPr>
              <w:spacing w:after="0"/>
              <w:rPr>
                <w:sz w:val="1"/>
                <w:szCs w:val="1"/>
                <w:color w:val="auto"/>
              </w:rPr>
            </w:pPr>
          </w:p>
        </w:tc>
      </w:tr>
      <w:tr>
        <w:trPr>
          <w:trHeight w:val="189"/>
        </w:trPr>
        <w:tc>
          <w:tcPr>
            <w:tcW w:w="4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center"/>
              <w:ind w:right="300"/>
              <w:spacing w:after="0"/>
              <w:rPr>
                <w:sz w:val="20"/>
                <w:szCs w:val="20"/>
                <w:color w:val="auto"/>
              </w:rPr>
            </w:pPr>
            <w:r>
              <w:rPr>
                <w:rFonts w:ascii="Arial" w:cs="Arial" w:eastAsia="Arial" w:hAnsi="Arial"/>
                <w:sz w:val="14"/>
                <w:szCs w:val="14"/>
                <w:b w:val="1"/>
                <w:bCs w:val="1"/>
                <w:color w:val="auto"/>
              </w:rPr>
              <w:t>Asset/(Liability)</w:t>
            </w: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(Level 1)</w:t>
            </w: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(Level 2)</w:t>
            </w: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158"/>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95"/>
        </w:trPr>
        <w:tc>
          <w:tcPr>
            <w:tcW w:w="4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6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contracts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100" w:type="dxa"/>
            <w:vAlign w:val="bottom"/>
          </w:tcPr>
          <w:p>
            <w:pPr>
              <w:ind w:left="20"/>
              <w:spacing w:after="0"/>
              <w:rPr>
                <w:sz w:val="20"/>
                <w:szCs w:val="20"/>
                <w:color w:val="auto"/>
              </w:rPr>
            </w:pPr>
            <w:r>
              <w:rPr>
                <w:rFonts w:ascii="Arial" w:cs="Arial" w:eastAsia="Arial" w:hAnsi="Arial"/>
                <w:sz w:val="18"/>
                <w:szCs w:val="18"/>
                <w:color w:val="auto"/>
              </w:rPr>
              <w:t>Commodity contracts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(241)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ind w:left="1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contracts</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100" w:type="dxa"/>
            <w:vAlign w:val="bottom"/>
          </w:tcPr>
          <w:p>
            <w:pPr>
              <w:ind w:left="20"/>
              <w:spacing w:after="0"/>
              <w:rPr>
                <w:sz w:val="20"/>
                <w:szCs w:val="20"/>
                <w:color w:val="auto"/>
              </w:rPr>
            </w:pPr>
            <w:r>
              <w:rPr>
                <w:rFonts w:ascii="Arial" w:cs="Arial" w:eastAsia="Arial" w:hAnsi="Arial"/>
                <w:sz w:val="18"/>
                <w:szCs w:val="18"/>
                <w:color w:val="auto"/>
              </w:rPr>
              <w:t>Cross-currency swap contracts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(87)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gridSpan w:val="2"/>
          </w:tcPr>
          <w:p>
            <w:pPr>
              <w:ind w:left="1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ind w:left="1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410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derivatives</w:t>
            </w:r>
          </w:p>
        </w:tc>
        <w:tc>
          <w:tcPr>
            <w:tcW w:w="2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1"/>
        </w:trPr>
        <w:tc>
          <w:tcPr>
            <w:tcW w:w="4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gridSpan w:val="5"/>
          </w:tcPr>
          <w:p>
            <w:pPr>
              <w:jc w:val="center"/>
              <w:ind w:right="280"/>
              <w:spacing w:after="0"/>
              <w:rPr>
                <w:sz w:val="20"/>
                <w:szCs w:val="20"/>
                <w:color w:val="auto"/>
              </w:rPr>
            </w:pPr>
            <w:r>
              <w:rPr>
                <w:rFonts w:ascii="Arial" w:cs="Arial" w:eastAsia="Arial" w:hAnsi="Arial"/>
                <w:sz w:val="14"/>
                <w:szCs w:val="14"/>
                <w:b w:val="1"/>
                <w:bCs w:val="1"/>
                <w:color w:val="auto"/>
              </w:rPr>
              <w:t>As of December 31, 2024</w:t>
            </w:r>
          </w:p>
        </w:tc>
        <w:tc>
          <w:tcPr>
            <w:tcW w:w="2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4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4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rPr>
              <w:t>Quoted Prices in</w:t>
            </w:r>
          </w:p>
        </w:tc>
        <w:tc>
          <w:tcPr>
            <w:tcW w:w="200" w:type="dxa"/>
            <w:vAlign w:val="bottom"/>
          </w:tcPr>
          <w:p>
            <w:pPr>
              <w:spacing w:after="0"/>
              <w:rPr>
                <w:sz w:val="12"/>
                <w:szCs w:val="12"/>
                <w:color w:val="auto"/>
              </w:rPr>
            </w:pPr>
          </w:p>
        </w:tc>
        <w:tc>
          <w:tcPr>
            <w:tcW w:w="16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Significant</w:t>
            </w:r>
          </w:p>
        </w:tc>
        <w:tc>
          <w:tcPr>
            <w:tcW w:w="240" w:type="dxa"/>
            <w:vAlign w:val="bottom"/>
          </w:tcPr>
          <w:p>
            <w:pPr>
              <w:spacing w:after="0"/>
              <w:rPr>
                <w:sz w:val="12"/>
                <w:szCs w:val="12"/>
                <w:color w:val="auto"/>
              </w:rPr>
            </w:pPr>
          </w:p>
        </w:tc>
        <w:tc>
          <w:tcPr>
            <w:tcW w:w="1460" w:type="dxa"/>
            <w:vAlign w:val="bottom"/>
            <w:vMerge w:val="restart"/>
          </w:tcPr>
          <w:p>
            <w:pPr>
              <w:jc w:val="center"/>
              <w:ind w:right="158"/>
              <w:spacing w:after="0"/>
              <w:rPr>
                <w:sz w:val="20"/>
                <w:szCs w:val="20"/>
                <w:color w:val="auto"/>
              </w:rPr>
            </w:pPr>
            <w:r>
              <w:rPr>
                <w:rFonts w:ascii="Arial" w:cs="Arial" w:eastAsia="Arial" w:hAnsi="Arial"/>
                <w:sz w:val="14"/>
                <w:szCs w:val="14"/>
                <w:b w:val="1"/>
                <w:bCs w:val="1"/>
                <w:color w:val="auto"/>
              </w:rPr>
              <w:t>Significant</w:t>
            </w:r>
          </w:p>
        </w:tc>
        <w:tc>
          <w:tcPr>
            <w:tcW w:w="0" w:type="dxa"/>
            <w:vAlign w:val="bottom"/>
          </w:tcPr>
          <w:p>
            <w:pPr>
              <w:spacing w:after="0"/>
              <w:rPr>
                <w:sz w:val="1"/>
                <w:szCs w:val="1"/>
                <w:color w:val="auto"/>
              </w:rPr>
            </w:pPr>
          </w:p>
        </w:tc>
      </w:tr>
      <w:tr>
        <w:trPr>
          <w:trHeight w:val="144"/>
        </w:trPr>
        <w:tc>
          <w:tcPr>
            <w:tcW w:w="4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0" w:type="dxa"/>
            <w:vAlign w:val="bottom"/>
            <w:gridSpan w:val="3"/>
            <w:vMerge w:val="restart"/>
          </w:tcPr>
          <w:p>
            <w:pPr>
              <w:jc w:val="center"/>
              <w:ind w:right="280"/>
              <w:spacing w:after="0"/>
              <w:rPr>
                <w:sz w:val="20"/>
                <w:szCs w:val="20"/>
                <w:color w:val="auto"/>
              </w:rPr>
            </w:pPr>
            <w:r>
              <w:rPr>
                <w:rFonts w:ascii="Arial" w:cs="Arial" w:eastAsia="Arial" w:hAnsi="Arial"/>
                <w:sz w:val="14"/>
                <w:szCs w:val="14"/>
                <w:b w:val="1"/>
                <w:bCs w:val="1"/>
                <w:color w:val="auto"/>
                <w:w w:val="95"/>
              </w:rPr>
              <w:t>Total</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40" w:type="dxa"/>
            <w:vAlign w:val="bottom"/>
            <w:gridSpan w:val="2"/>
          </w:tcPr>
          <w:p>
            <w:pPr>
              <w:jc w:val="center"/>
              <w:ind w:right="260"/>
              <w:spacing w:after="0" w:line="145" w:lineRule="exact"/>
              <w:rPr>
                <w:sz w:val="20"/>
                <w:szCs w:val="20"/>
                <w:color w:val="auto"/>
              </w:rPr>
            </w:pPr>
            <w:r>
              <w:rPr>
                <w:rFonts w:ascii="Arial" w:cs="Arial" w:eastAsia="Arial" w:hAnsi="Arial"/>
                <w:sz w:val="14"/>
                <w:szCs w:val="14"/>
                <w:b w:val="1"/>
                <w:bCs w:val="1"/>
                <w:color w:val="auto"/>
              </w:rPr>
              <w:t>Active Markets</w:t>
            </w:r>
          </w:p>
        </w:tc>
        <w:tc>
          <w:tcPr>
            <w:tcW w:w="20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4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rPr>
              <w:t>for Identical</w:t>
            </w:r>
          </w:p>
        </w:tc>
        <w:tc>
          <w:tcPr>
            <w:tcW w:w="200" w:type="dxa"/>
            <w:vAlign w:val="bottom"/>
          </w:tcPr>
          <w:p>
            <w:pPr>
              <w:spacing w:after="0"/>
              <w:rPr>
                <w:sz w:val="11"/>
                <w:szCs w:val="11"/>
                <w:color w:val="auto"/>
              </w:rPr>
            </w:pPr>
          </w:p>
        </w:tc>
        <w:tc>
          <w:tcPr>
            <w:tcW w:w="162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rPr>
              <w:t>Other Observable</w:t>
            </w:r>
          </w:p>
        </w:tc>
        <w:tc>
          <w:tcPr>
            <w:tcW w:w="240" w:type="dxa"/>
            <w:vAlign w:val="bottom"/>
          </w:tcPr>
          <w:p>
            <w:pPr>
              <w:spacing w:after="0"/>
              <w:rPr>
                <w:sz w:val="11"/>
                <w:szCs w:val="11"/>
                <w:color w:val="auto"/>
              </w:rPr>
            </w:pPr>
          </w:p>
        </w:tc>
        <w:tc>
          <w:tcPr>
            <w:tcW w:w="1460" w:type="dxa"/>
            <w:vAlign w:val="bottom"/>
          </w:tcPr>
          <w:p>
            <w:pPr>
              <w:jc w:val="center"/>
              <w:ind w:right="158"/>
              <w:spacing w:after="0" w:line="135" w:lineRule="exact"/>
              <w:rPr>
                <w:sz w:val="20"/>
                <w:szCs w:val="20"/>
                <w:color w:val="auto"/>
              </w:rPr>
            </w:pPr>
            <w:r>
              <w:rPr>
                <w:rFonts w:ascii="Arial" w:cs="Arial" w:eastAsia="Arial" w:hAnsi="Arial"/>
                <w:sz w:val="14"/>
                <w:szCs w:val="14"/>
                <w:b w:val="1"/>
                <w:bCs w:val="1"/>
                <w:color w:val="auto"/>
              </w:rPr>
              <w:t>Unobservable</w:t>
            </w:r>
          </w:p>
        </w:tc>
        <w:tc>
          <w:tcPr>
            <w:tcW w:w="0" w:type="dxa"/>
            <w:vAlign w:val="bottom"/>
          </w:tcPr>
          <w:p>
            <w:pPr>
              <w:spacing w:after="0"/>
              <w:rPr>
                <w:sz w:val="1"/>
                <w:szCs w:val="1"/>
                <w:color w:val="auto"/>
              </w:rPr>
            </w:pPr>
          </w:p>
        </w:tc>
      </w:tr>
      <w:tr>
        <w:trPr>
          <w:trHeight w:val="148"/>
        </w:trPr>
        <w:tc>
          <w:tcPr>
            <w:tcW w:w="4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rPr>
              <w:t>Fair Value of Net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Assets/(Liabilities)</w:t>
            </w:r>
          </w:p>
        </w:tc>
        <w:tc>
          <w:tcPr>
            <w:tcW w:w="200" w:type="dxa"/>
            <w:vAlign w:val="bottom"/>
          </w:tcPr>
          <w:p>
            <w:pPr>
              <w:spacing w:after="0"/>
              <w:rPr>
                <w:sz w:val="12"/>
                <w:szCs w:val="12"/>
                <w:color w:val="auto"/>
              </w:rPr>
            </w:pPr>
          </w:p>
        </w:tc>
        <w:tc>
          <w:tcPr>
            <w:tcW w:w="16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rPr>
              <w:t>Inputs</w:t>
            </w:r>
          </w:p>
        </w:tc>
        <w:tc>
          <w:tcPr>
            <w:tcW w:w="240" w:type="dxa"/>
            <w:vAlign w:val="bottom"/>
          </w:tcPr>
          <w:p>
            <w:pPr>
              <w:spacing w:after="0"/>
              <w:rPr>
                <w:sz w:val="12"/>
                <w:szCs w:val="12"/>
                <w:color w:val="auto"/>
              </w:rPr>
            </w:pPr>
          </w:p>
        </w:tc>
        <w:tc>
          <w:tcPr>
            <w:tcW w:w="1460" w:type="dxa"/>
            <w:vAlign w:val="bottom"/>
          </w:tcPr>
          <w:p>
            <w:pPr>
              <w:jc w:val="center"/>
              <w:ind w:right="158"/>
              <w:spacing w:after="0" w:line="149" w:lineRule="exact"/>
              <w:rPr>
                <w:sz w:val="20"/>
                <w:szCs w:val="20"/>
                <w:color w:val="auto"/>
              </w:rPr>
            </w:pPr>
            <w:r>
              <w:rPr>
                <w:rFonts w:ascii="Arial" w:cs="Arial" w:eastAsia="Arial" w:hAnsi="Arial"/>
                <w:sz w:val="14"/>
                <w:szCs w:val="14"/>
                <w:b w:val="1"/>
                <w:bCs w:val="1"/>
                <w:color w:val="auto"/>
                <w:w w:val="99"/>
              </w:rPr>
              <w:t>Inputs</w:t>
            </w:r>
          </w:p>
        </w:tc>
        <w:tc>
          <w:tcPr>
            <w:tcW w:w="0" w:type="dxa"/>
            <w:vAlign w:val="bottom"/>
          </w:tcPr>
          <w:p>
            <w:pPr>
              <w:spacing w:after="0"/>
              <w:rPr>
                <w:sz w:val="1"/>
                <w:szCs w:val="1"/>
                <w:color w:val="auto"/>
              </w:rPr>
            </w:pPr>
          </w:p>
        </w:tc>
      </w:tr>
      <w:tr>
        <w:trPr>
          <w:trHeight w:val="189"/>
        </w:trPr>
        <w:tc>
          <w:tcPr>
            <w:tcW w:w="4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center"/>
              <w:ind w:right="280"/>
              <w:spacing w:after="0"/>
              <w:rPr>
                <w:sz w:val="20"/>
                <w:szCs w:val="20"/>
                <w:color w:val="auto"/>
              </w:rPr>
            </w:pPr>
            <w:r>
              <w:rPr>
                <w:rFonts w:ascii="Arial" w:cs="Arial" w:eastAsia="Arial" w:hAnsi="Arial"/>
                <w:sz w:val="14"/>
                <w:szCs w:val="14"/>
                <w:b w:val="1"/>
                <w:bCs w:val="1"/>
                <w:color w:val="auto"/>
              </w:rPr>
              <w:t>Asset/(Liability)</w:t>
            </w: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(Level 1)</w:t>
            </w: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(Level 2)</w:t>
            </w: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158"/>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95"/>
        </w:trPr>
        <w:tc>
          <w:tcPr>
            <w:tcW w:w="4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6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contracts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100" w:type="dxa"/>
            <w:vAlign w:val="bottom"/>
          </w:tcPr>
          <w:p>
            <w:pPr>
              <w:ind w:left="20"/>
              <w:spacing w:after="0"/>
              <w:rPr>
                <w:sz w:val="20"/>
                <w:szCs w:val="20"/>
                <w:color w:val="auto"/>
              </w:rPr>
            </w:pPr>
            <w:r>
              <w:rPr>
                <w:rFonts w:ascii="Arial" w:cs="Arial" w:eastAsia="Arial" w:hAnsi="Arial"/>
                <w:sz w:val="18"/>
                <w:szCs w:val="18"/>
                <w:color w:val="auto"/>
              </w:rPr>
              <w:t>Commodity contracts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683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794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ind w:left="1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contracts</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100" w:type="dxa"/>
            <w:vAlign w:val="bottom"/>
          </w:tcPr>
          <w:p>
            <w:pPr>
              <w:ind w:left="20"/>
              <w:spacing w:after="0"/>
              <w:rPr>
                <w:sz w:val="20"/>
                <w:szCs w:val="20"/>
                <w:color w:val="auto"/>
              </w:rPr>
            </w:pPr>
            <w:r>
              <w:rPr>
                <w:rFonts w:ascii="Arial" w:cs="Arial" w:eastAsia="Arial" w:hAnsi="Arial"/>
                <w:sz w:val="18"/>
                <w:szCs w:val="18"/>
                <w:color w:val="auto"/>
              </w:rPr>
              <w:t>Cross-currency swap contracts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313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gridSpan w:val="2"/>
          </w:tcPr>
          <w:p>
            <w:pPr>
              <w:ind w:left="1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ind w:left="1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410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derivatives</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1,174</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8"/>
        </w:trPr>
        <w:tc>
          <w:tcPr>
            <w:tcW w:w="4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9"/>
        </w:trPr>
        <w:tc>
          <w:tcPr>
            <w:tcW w:w="4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6845935</wp:posOffset>
            </wp:positionH>
            <wp:positionV relativeFrom="paragraph">
              <wp:posOffset>-548005</wp:posOffset>
            </wp:positionV>
            <wp:extent cx="282575" cy="1885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Notional Amounts of Derivatives and Other Hedging Instruments</w:t>
      </w:r>
    </w:p>
    <w:p>
      <w:pPr>
        <w:spacing w:after="0" w:line="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The gross notional values of our derivative instruments, as well as non-U.S. dollar debt designated as net investment hedging instruments, were:</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24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3240" w:type="dxa"/>
            <w:vAlign w:val="bottom"/>
            <w:tcBorders>
              <w:bottom w:val="single" w:sz="8" w:color="auto"/>
            </w:tcBorders>
            <w:gridSpan w:val="2"/>
          </w:tcPr>
          <w:p>
            <w:pPr>
              <w:jc w:val="center"/>
              <w:ind w:left="1875"/>
              <w:spacing w:after="0"/>
              <w:rPr>
                <w:sz w:val="20"/>
                <w:szCs w:val="20"/>
                <w:color w:val="auto"/>
              </w:rPr>
            </w:pPr>
            <w:r>
              <w:rPr>
                <w:rFonts w:ascii="Arial" w:cs="Arial" w:eastAsia="Arial" w:hAnsi="Arial"/>
                <w:sz w:val="14"/>
                <w:szCs w:val="14"/>
                <w:b w:val="1"/>
                <w:bCs w:val="1"/>
                <w:color w:val="auto"/>
              </w:rPr>
              <w:t>Notional Amount</w:t>
            </w:r>
          </w:p>
        </w:tc>
        <w:tc>
          <w:tcPr>
            <w:tcW w:w="2360" w:type="dxa"/>
            <w:vAlign w:val="bottom"/>
            <w:tcBorders>
              <w:bottom w:val="single" w:sz="8" w:color="auto"/>
            </w:tcBorders>
          </w:tcPr>
          <w:p>
            <w:pPr>
              <w:spacing w:after="0"/>
              <w:rPr>
                <w:sz w:val="17"/>
                <w:szCs w:val="17"/>
                <w:color w:val="auto"/>
              </w:rPr>
            </w:pPr>
          </w:p>
        </w:tc>
      </w:tr>
      <w:tr>
        <w:trPr>
          <w:trHeight w:val="196"/>
        </w:trPr>
        <w:tc>
          <w:tcPr>
            <w:tcW w:w="524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258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As of September 30, 2025</w:t>
            </w:r>
          </w:p>
        </w:tc>
        <w:tc>
          <w:tcPr>
            <w:tcW w:w="660" w:type="dxa"/>
            <w:vAlign w:val="bottom"/>
            <w:tcBorders>
              <w:bottom w:val="single" w:sz="8" w:color="auto"/>
            </w:tcBorders>
          </w:tcPr>
          <w:p>
            <w:pPr>
              <w:spacing w:after="0"/>
              <w:rPr>
                <w:sz w:val="17"/>
                <w:szCs w:val="17"/>
                <w:color w:val="auto"/>
              </w:rPr>
            </w:pPr>
          </w:p>
        </w:tc>
        <w:tc>
          <w:tcPr>
            <w:tcW w:w="236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As of December 31, 2024</w:t>
            </w:r>
          </w:p>
        </w:tc>
      </w:tr>
      <w:tr>
        <w:trPr>
          <w:trHeight w:val="196"/>
        </w:trPr>
        <w:tc>
          <w:tcPr>
            <w:tcW w:w="5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40" w:type="dxa"/>
            <w:vAlign w:val="bottom"/>
            <w:gridSpan w:val="2"/>
          </w:tcPr>
          <w:p>
            <w:pPr>
              <w:jc w:val="center"/>
              <w:ind w:left="1875"/>
              <w:spacing w:after="0"/>
              <w:rPr>
                <w:sz w:val="20"/>
                <w:szCs w:val="20"/>
                <w:color w:val="auto"/>
              </w:rPr>
            </w:pPr>
            <w:r>
              <w:rPr>
                <w:rFonts w:ascii="Arial" w:cs="Arial" w:eastAsia="Arial" w:hAnsi="Arial"/>
                <w:sz w:val="14"/>
                <w:szCs w:val="14"/>
                <w:b w:val="1"/>
                <w:bCs w:val="1"/>
                <w:color w:val="auto"/>
              </w:rPr>
              <w:t>(in millions)</w:t>
            </w:r>
          </w:p>
        </w:tc>
        <w:tc>
          <w:tcPr>
            <w:tcW w:w="2360" w:type="dxa"/>
            <w:vAlign w:val="bottom"/>
          </w:tcPr>
          <w:p>
            <w:pPr>
              <w:spacing w:after="0"/>
              <w:rPr>
                <w:sz w:val="17"/>
                <w:szCs w:val="17"/>
                <w:color w:val="auto"/>
              </w:rPr>
            </w:pPr>
          </w:p>
        </w:tc>
      </w:tr>
      <w:tr>
        <w:trPr>
          <w:trHeight w:val="231"/>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contracts</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25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19,956</w:t>
            </w:r>
          </w:p>
        </w:tc>
        <w:tc>
          <w:tcPr>
            <w:tcW w:w="6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2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13,724</w:t>
            </w:r>
          </w:p>
        </w:tc>
      </w:tr>
      <w:tr>
        <w:trPr>
          <w:trHeight w:val="229"/>
        </w:trPr>
        <w:tc>
          <w:tcPr>
            <w:tcW w:w="5240" w:type="dxa"/>
            <w:vAlign w:val="bottom"/>
          </w:tcPr>
          <w:p>
            <w:pPr>
              <w:ind w:left="20"/>
              <w:spacing w:after="0"/>
              <w:rPr>
                <w:sz w:val="20"/>
                <w:szCs w:val="20"/>
                <w:color w:val="auto"/>
              </w:rPr>
            </w:pPr>
            <w:r>
              <w:rPr>
                <w:rFonts w:ascii="Arial" w:cs="Arial" w:eastAsia="Arial" w:hAnsi="Arial"/>
                <w:sz w:val="18"/>
                <w:szCs w:val="18"/>
                <w:color w:val="auto"/>
              </w:rPr>
              <w:t>Commodity contracts</w:t>
            </w:r>
          </w:p>
        </w:tc>
        <w:tc>
          <w:tcPr>
            <w:tcW w:w="400" w:type="dxa"/>
            <w:vAlign w:val="bottom"/>
          </w:tcPr>
          <w:p>
            <w:pPr>
              <w:spacing w:after="0"/>
              <w:rPr>
                <w:sz w:val="19"/>
                <w:szCs w:val="19"/>
                <w:color w:val="auto"/>
              </w:rPr>
            </w:pPr>
          </w:p>
        </w:tc>
        <w:tc>
          <w:tcPr>
            <w:tcW w:w="2580" w:type="dxa"/>
            <w:vAlign w:val="bottom"/>
          </w:tcPr>
          <w:p>
            <w:pPr>
              <w:jc w:val="right"/>
              <w:ind w:right="15"/>
              <w:spacing w:after="0"/>
              <w:rPr>
                <w:sz w:val="20"/>
                <w:szCs w:val="20"/>
                <w:color w:val="auto"/>
              </w:rPr>
            </w:pPr>
            <w:r>
              <w:rPr>
                <w:rFonts w:ascii="Arial" w:cs="Arial" w:eastAsia="Arial" w:hAnsi="Arial"/>
                <w:sz w:val="18"/>
                <w:szCs w:val="18"/>
                <w:color w:val="auto"/>
              </w:rPr>
              <w:t>12,322</w:t>
            </w:r>
          </w:p>
        </w:tc>
        <w:tc>
          <w:tcPr>
            <w:tcW w:w="660" w:type="dxa"/>
            <w:vAlign w:val="bottom"/>
          </w:tcPr>
          <w:p>
            <w:pPr>
              <w:spacing w:after="0"/>
              <w:rPr>
                <w:sz w:val="19"/>
                <w:szCs w:val="19"/>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16,210</w:t>
            </w:r>
          </w:p>
        </w:tc>
      </w:tr>
      <w:tr>
        <w:trPr>
          <w:trHeight w:val="230"/>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contracts</w:t>
            </w:r>
          </w:p>
        </w:tc>
        <w:tc>
          <w:tcPr>
            <w:tcW w:w="400" w:type="dxa"/>
            <w:vAlign w:val="bottom"/>
            <w:shd w:val="clear" w:color="auto" w:fill="CCEEFF"/>
          </w:tcPr>
          <w:p>
            <w:pPr>
              <w:spacing w:after="0"/>
              <w:rPr>
                <w:sz w:val="19"/>
                <w:szCs w:val="19"/>
                <w:color w:val="auto"/>
              </w:rPr>
            </w:pPr>
          </w:p>
        </w:tc>
        <w:tc>
          <w:tcPr>
            <w:tcW w:w="25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2,732</w:t>
            </w:r>
          </w:p>
        </w:tc>
        <w:tc>
          <w:tcPr>
            <w:tcW w:w="660" w:type="dxa"/>
            <w:vAlign w:val="bottom"/>
            <w:shd w:val="clear" w:color="auto" w:fill="CCEEFF"/>
          </w:tcPr>
          <w:p>
            <w:pPr>
              <w:spacing w:after="0"/>
              <w:rPr>
                <w:sz w:val="19"/>
                <w:szCs w:val="19"/>
                <w:color w:val="auto"/>
              </w:rPr>
            </w:pPr>
          </w:p>
        </w:tc>
        <w:tc>
          <w:tcPr>
            <w:tcW w:w="2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4,189</w:t>
            </w:r>
          </w:p>
        </w:tc>
      </w:tr>
      <w:tr>
        <w:trPr>
          <w:trHeight w:val="229"/>
        </w:trPr>
        <w:tc>
          <w:tcPr>
            <w:tcW w:w="5240" w:type="dxa"/>
            <w:vAlign w:val="bottom"/>
          </w:tcPr>
          <w:p>
            <w:pPr>
              <w:ind w:left="20"/>
              <w:spacing w:after="0"/>
              <w:rPr>
                <w:sz w:val="20"/>
                <w:szCs w:val="20"/>
                <w:color w:val="auto"/>
              </w:rPr>
            </w:pPr>
            <w:r>
              <w:rPr>
                <w:rFonts w:ascii="Arial" w:cs="Arial" w:eastAsia="Arial" w:hAnsi="Arial"/>
                <w:sz w:val="18"/>
                <w:szCs w:val="18"/>
                <w:color w:val="auto"/>
              </w:rPr>
              <w:t>Cross-currency swap contracts</w:t>
            </w:r>
          </w:p>
        </w:tc>
        <w:tc>
          <w:tcPr>
            <w:tcW w:w="400" w:type="dxa"/>
            <w:vAlign w:val="bottom"/>
          </w:tcPr>
          <w:p>
            <w:pPr>
              <w:spacing w:after="0"/>
              <w:rPr>
                <w:sz w:val="19"/>
                <w:szCs w:val="19"/>
                <w:color w:val="auto"/>
              </w:rPr>
            </w:pPr>
          </w:p>
        </w:tc>
        <w:tc>
          <w:tcPr>
            <w:tcW w:w="2580" w:type="dxa"/>
            <w:vAlign w:val="bottom"/>
          </w:tcPr>
          <w:p>
            <w:pPr>
              <w:jc w:val="right"/>
              <w:ind w:right="15"/>
              <w:spacing w:after="0"/>
              <w:rPr>
                <w:sz w:val="20"/>
                <w:szCs w:val="20"/>
                <w:color w:val="auto"/>
              </w:rPr>
            </w:pPr>
            <w:r>
              <w:rPr>
                <w:rFonts w:ascii="Arial" w:cs="Arial" w:eastAsia="Arial" w:hAnsi="Arial"/>
                <w:sz w:val="18"/>
                <w:szCs w:val="18"/>
                <w:color w:val="auto"/>
              </w:rPr>
              <w:t>6,912</w:t>
            </w:r>
          </w:p>
        </w:tc>
        <w:tc>
          <w:tcPr>
            <w:tcW w:w="660" w:type="dxa"/>
            <w:vAlign w:val="bottom"/>
          </w:tcPr>
          <w:p>
            <w:pPr>
              <w:spacing w:after="0"/>
              <w:rPr>
                <w:sz w:val="19"/>
                <w:szCs w:val="19"/>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9,608</w:t>
            </w:r>
          </w:p>
        </w:tc>
      </w:tr>
      <w:tr>
        <w:trPr>
          <w:trHeight w:val="229"/>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Non-U.S. dollar debt designated as net investment hedges:</w:t>
            </w:r>
          </w:p>
        </w:tc>
        <w:tc>
          <w:tcPr>
            <w:tcW w:w="400" w:type="dxa"/>
            <w:vAlign w:val="bottom"/>
            <w:shd w:val="clear" w:color="auto" w:fill="CCEEFF"/>
          </w:tcPr>
          <w:p>
            <w:pPr>
              <w:spacing w:after="0"/>
              <w:rPr>
                <w:sz w:val="19"/>
                <w:szCs w:val="19"/>
                <w:color w:val="auto"/>
              </w:rPr>
            </w:pPr>
          </w:p>
        </w:tc>
        <w:tc>
          <w:tcPr>
            <w:tcW w:w="25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360" w:type="dxa"/>
            <w:vAlign w:val="bottom"/>
            <w:shd w:val="clear" w:color="auto" w:fill="CCEEFF"/>
          </w:tcPr>
          <w:p>
            <w:pPr>
              <w:spacing w:after="0"/>
              <w:rPr>
                <w:sz w:val="19"/>
                <w:szCs w:val="19"/>
                <w:color w:val="auto"/>
              </w:rPr>
            </w:pPr>
          </w:p>
        </w:tc>
      </w:tr>
      <w:tr>
        <w:trPr>
          <w:trHeight w:val="230"/>
        </w:trPr>
        <w:tc>
          <w:tcPr>
            <w:tcW w:w="5240" w:type="dxa"/>
            <w:vAlign w:val="bottom"/>
          </w:tcPr>
          <w:p>
            <w:pPr>
              <w:ind w:left="220"/>
              <w:spacing w:after="0"/>
              <w:rPr>
                <w:sz w:val="20"/>
                <w:szCs w:val="20"/>
                <w:color w:val="auto"/>
              </w:rPr>
            </w:pPr>
            <w:r>
              <w:rPr>
                <w:rFonts w:ascii="Arial" w:cs="Arial" w:eastAsia="Arial" w:hAnsi="Arial"/>
                <w:sz w:val="18"/>
                <w:szCs w:val="18"/>
                <w:color w:val="auto"/>
              </w:rPr>
              <w:t>Euro notes</w:t>
            </w:r>
          </w:p>
        </w:tc>
        <w:tc>
          <w:tcPr>
            <w:tcW w:w="400" w:type="dxa"/>
            <w:vAlign w:val="bottom"/>
          </w:tcPr>
          <w:p>
            <w:pPr>
              <w:spacing w:after="0"/>
              <w:rPr>
                <w:sz w:val="19"/>
                <w:szCs w:val="19"/>
                <w:color w:val="auto"/>
              </w:rPr>
            </w:pPr>
          </w:p>
        </w:tc>
        <w:tc>
          <w:tcPr>
            <w:tcW w:w="2580" w:type="dxa"/>
            <w:vAlign w:val="bottom"/>
          </w:tcPr>
          <w:p>
            <w:pPr>
              <w:jc w:val="right"/>
              <w:ind w:right="15"/>
              <w:spacing w:after="0"/>
              <w:rPr>
                <w:sz w:val="20"/>
                <w:szCs w:val="20"/>
                <w:color w:val="auto"/>
              </w:rPr>
            </w:pPr>
            <w:r>
              <w:rPr>
                <w:rFonts w:ascii="Arial" w:cs="Arial" w:eastAsia="Arial" w:hAnsi="Arial"/>
                <w:sz w:val="18"/>
                <w:szCs w:val="18"/>
                <w:color w:val="auto"/>
              </w:rPr>
              <w:t>3,737</w:t>
            </w:r>
          </w:p>
        </w:tc>
        <w:tc>
          <w:tcPr>
            <w:tcW w:w="660" w:type="dxa"/>
            <w:vAlign w:val="bottom"/>
          </w:tcPr>
          <w:p>
            <w:pPr>
              <w:spacing w:after="0"/>
              <w:rPr>
                <w:sz w:val="19"/>
                <w:szCs w:val="19"/>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3,298</w:t>
            </w:r>
          </w:p>
        </w:tc>
      </w:tr>
      <w:tr>
        <w:trPr>
          <w:trHeight w:val="229"/>
        </w:trPr>
        <w:tc>
          <w:tcPr>
            <w:tcW w:w="5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Swiss franc notes</w:t>
            </w:r>
          </w:p>
        </w:tc>
        <w:tc>
          <w:tcPr>
            <w:tcW w:w="400" w:type="dxa"/>
            <w:vAlign w:val="bottom"/>
            <w:shd w:val="clear" w:color="auto" w:fill="CCEEFF"/>
          </w:tcPr>
          <w:p>
            <w:pPr>
              <w:spacing w:after="0"/>
              <w:rPr>
                <w:sz w:val="19"/>
                <w:szCs w:val="19"/>
                <w:color w:val="auto"/>
              </w:rPr>
            </w:pPr>
          </w:p>
        </w:tc>
        <w:tc>
          <w:tcPr>
            <w:tcW w:w="25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251</w:t>
            </w:r>
          </w:p>
        </w:tc>
        <w:tc>
          <w:tcPr>
            <w:tcW w:w="660" w:type="dxa"/>
            <w:vAlign w:val="bottom"/>
            <w:shd w:val="clear" w:color="auto" w:fill="CCEEFF"/>
          </w:tcPr>
          <w:p>
            <w:pPr>
              <w:spacing w:after="0"/>
              <w:rPr>
                <w:sz w:val="19"/>
                <w:szCs w:val="19"/>
                <w:color w:val="auto"/>
              </w:rPr>
            </w:pPr>
          </w:p>
        </w:tc>
        <w:tc>
          <w:tcPr>
            <w:tcW w:w="2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r>
      <w:tr>
        <w:trPr>
          <w:trHeight w:val="239"/>
        </w:trPr>
        <w:tc>
          <w:tcPr>
            <w:tcW w:w="5240" w:type="dxa"/>
            <w:vAlign w:val="bottom"/>
          </w:tcPr>
          <w:p>
            <w:pPr>
              <w:ind w:left="220"/>
              <w:spacing w:after="0"/>
              <w:rPr>
                <w:sz w:val="20"/>
                <w:szCs w:val="20"/>
                <w:color w:val="auto"/>
              </w:rPr>
            </w:pPr>
            <w:r>
              <w:rPr>
                <w:rFonts w:ascii="Arial" w:cs="Arial" w:eastAsia="Arial" w:hAnsi="Arial"/>
                <w:sz w:val="18"/>
                <w:szCs w:val="18"/>
                <w:color w:val="auto"/>
              </w:rPr>
              <w:t>Canadian dollar notes</w:t>
            </w:r>
          </w:p>
        </w:tc>
        <w:tc>
          <w:tcPr>
            <w:tcW w:w="400" w:type="dxa"/>
            <w:vAlign w:val="bottom"/>
          </w:tcPr>
          <w:p>
            <w:pPr>
              <w:spacing w:after="0"/>
              <w:rPr>
                <w:sz w:val="20"/>
                <w:szCs w:val="20"/>
                <w:color w:val="auto"/>
              </w:rPr>
            </w:pPr>
          </w:p>
        </w:tc>
        <w:tc>
          <w:tcPr>
            <w:tcW w:w="2580" w:type="dxa"/>
            <w:vAlign w:val="bottom"/>
          </w:tcPr>
          <w:p>
            <w:pPr>
              <w:jc w:val="right"/>
              <w:ind w:right="15"/>
              <w:spacing w:after="0"/>
              <w:rPr>
                <w:sz w:val="20"/>
                <w:szCs w:val="20"/>
                <w:color w:val="auto"/>
              </w:rPr>
            </w:pPr>
            <w:r>
              <w:rPr>
                <w:rFonts w:ascii="Arial" w:cs="Arial" w:eastAsia="Arial" w:hAnsi="Arial"/>
                <w:sz w:val="18"/>
                <w:szCs w:val="18"/>
                <w:color w:val="auto"/>
              </w:rPr>
              <w:t>467</w:t>
            </w:r>
          </w:p>
        </w:tc>
        <w:tc>
          <w:tcPr>
            <w:tcW w:w="660" w:type="dxa"/>
            <w:vAlign w:val="bottom"/>
          </w:tcPr>
          <w:p>
            <w:pPr>
              <w:spacing w:after="0"/>
              <w:rPr>
                <w:sz w:val="20"/>
                <w:szCs w:val="20"/>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869</w:t>
            </w:r>
          </w:p>
        </w:tc>
      </w:tr>
    </w:tbl>
    <w:p>
      <w:pPr>
        <w:spacing w:after="0" w:line="2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 Hedges</w:t>
      </w:r>
    </w:p>
    <w:p>
      <w:pPr>
        <w:spacing w:after="0" w:line="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Our derivative instruments designated as cash flow hedges include interest rate swaps and cross-currency swaps. As of September 30, 2025, the aggregate notional value of those derivatives was $1.0 billion.</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Cash flow hedge activity, net of taxes, is recorded within accumulated other comprehensive earnings/(losses). Refer to Note 12, </w:t>
      </w:r>
      <w:r>
        <w:rPr>
          <w:rFonts w:ascii="Arial" w:cs="Arial" w:eastAsia="Arial" w:hAnsi="Arial"/>
          <w:sz w:val="18"/>
          <w:szCs w:val="18"/>
          <w:i w:val="1"/>
          <w:iCs w:val="1"/>
          <w:color w:val="auto"/>
        </w:rPr>
        <w:t xml:space="preserve">Accumulated Other Comprehensive Earnings/(Losses) </w:t>
      </w:r>
      <w:r>
        <w:rPr>
          <w:rFonts w:ascii="Arial" w:cs="Arial" w:eastAsia="Arial" w:hAnsi="Arial"/>
          <w:sz w:val="18"/>
          <w:szCs w:val="18"/>
          <w:color w:val="auto"/>
        </w:rPr>
        <w:t>for additional information on current period activity. Based on current market</w:t>
      </w:r>
      <w:r>
        <w:rPr>
          <w:rFonts w:ascii="Arial" w:cs="Arial" w:eastAsia="Arial" w:hAnsi="Arial"/>
          <w:sz w:val="18"/>
          <w:szCs w:val="18"/>
          <w:i w:val="1"/>
          <w:iCs w:val="1"/>
          <w:color w:val="auto"/>
        </w:rPr>
        <w:t xml:space="preserve"> </w:t>
      </w:r>
      <w:r>
        <w:rPr>
          <w:rFonts w:ascii="Arial" w:cs="Arial" w:eastAsia="Arial" w:hAnsi="Arial"/>
          <w:sz w:val="18"/>
          <w:szCs w:val="18"/>
          <w:color w:val="auto"/>
        </w:rPr>
        <w:t>conditions, $27 million of gains, net of taxes, included in accumulated other comprehensive earnings/(losses) from cash flow hedges as of September 30, 2025 are expected to be recognized into earnings during the next 12 months.</w:t>
      </w:r>
    </w:p>
    <w:p>
      <w:pPr>
        <w:spacing w:after="0" w:line="20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As of September 30, 2025, our longest dated cash flow hedges were interest rate swaps that hedge forecasted interest rate payments over the next 3 years, 3 months.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Hedges of Net Investments in International Operations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Net investment hedge ("NIH") derivative contracts</w:t>
      </w:r>
    </w:p>
    <w:p>
      <w:pPr>
        <w:spacing w:after="0" w:line="2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We enter into foreign currency contracts and cross-currency swaps to hedge certain investments in our non-U.S. operations against movements in exchange rates. As of September 30, 2025, the aggregate notional value of those derivatives was $9.5 billion.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Net investment hedge derivative contract pre-tax impacts on other comprehensive earnings/(losses) and net earnings were:</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2480" w:type="dxa"/>
            <w:vAlign w:val="bottom"/>
            <w:gridSpan w:val="3"/>
          </w:tcPr>
          <w:p>
            <w:pPr>
              <w:jc w:val="center"/>
              <w:ind w:left="402"/>
              <w:spacing w:after="0"/>
              <w:rPr>
                <w:sz w:val="20"/>
                <w:szCs w:val="20"/>
                <w:color w:val="auto"/>
              </w:rPr>
            </w:pPr>
            <w:r>
              <w:rPr>
                <w:rFonts w:ascii="Arial" w:cs="Arial" w:eastAsia="Arial" w:hAnsi="Arial"/>
                <w:sz w:val="14"/>
                <w:szCs w:val="14"/>
                <w:b w:val="1"/>
                <w:bCs w:val="1"/>
                <w:color w:val="auto"/>
              </w:rPr>
              <w:t>For the Three Months Ended</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520" w:type="dxa"/>
            <w:vAlign w:val="bottom"/>
            <w:gridSpan w:val="3"/>
          </w:tcPr>
          <w:p>
            <w:pPr>
              <w:ind w:left="100"/>
              <w:spacing w:after="0"/>
              <w:rPr>
                <w:sz w:val="20"/>
                <w:szCs w:val="20"/>
                <w:color w:val="auto"/>
              </w:rPr>
            </w:pPr>
            <w:r>
              <w:rPr>
                <w:rFonts w:ascii="Arial" w:cs="Arial" w:eastAsia="Arial" w:hAnsi="Arial"/>
                <w:sz w:val="14"/>
                <w:szCs w:val="14"/>
                <w:b w:val="1"/>
                <w:bCs w:val="1"/>
                <w:color w:val="auto"/>
              </w:rPr>
              <w:t>For the Nine Months Ended</w:t>
            </w:r>
          </w:p>
        </w:tc>
        <w:tc>
          <w:tcPr>
            <w:tcW w:w="0" w:type="dxa"/>
            <w:vAlign w:val="bottom"/>
          </w:tcPr>
          <w:p>
            <w:pPr>
              <w:spacing w:after="0"/>
              <w:rPr>
                <w:sz w:val="1"/>
                <w:szCs w:val="1"/>
                <w:color w:val="auto"/>
              </w:rPr>
            </w:pPr>
          </w:p>
        </w:tc>
      </w:tr>
      <w:tr>
        <w:trPr>
          <w:trHeight w:val="185"/>
        </w:trPr>
        <w:tc>
          <w:tcPr>
            <w:tcW w:w="520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jc w:val="center"/>
              <w:ind w:right="379"/>
              <w:spacing w:after="0"/>
              <w:rPr>
                <w:sz w:val="20"/>
                <w:szCs w:val="20"/>
                <w:color w:val="auto"/>
              </w:rPr>
            </w:pPr>
            <w:r>
              <w:rPr>
                <w:rFonts w:ascii="Arial" w:cs="Arial" w:eastAsia="Arial" w:hAnsi="Arial"/>
                <w:sz w:val="14"/>
                <w:szCs w:val="14"/>
                <w:b w:val="1"/>
                <w:bCs w:val="1"/>
                <w:color w:val="auto"/>
              </w:rPr>
              <w:t>September 30,</w:t>
            </w:r>
          </w:p>
        </w:tc>
        <w:tc>
          <w:tcPr>
            <w:tcW w:w="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ind w:left="540"/>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200" w:type="dxa"/>
            <w:vAlign w:val="bottom"/>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5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2025</w:t>
            </w:r>
          </w:p>
        </w:tc>
        <w:tc>
          <w:tcPr>
            <w:tcW w:w="5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196"/>
        </w:trPr>
        <w:tc>
          <w:tcPr>
            <w:tcW w:w="5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4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millions)</w:t>
            </w:r>
          </w:p>
        </w:tc>
        <w:tc>
          <w:tcPr>
            <w:tcW w:w="10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line="231" w:lineRule="exact"/>
              <w:rPr>
                <w:sz w:val="20"/>
                <w:szCs w:val="20"/>
                <w:color w:val="auto"/>
              </w:rPr>
            </w:pPr>
            <w:r>
              <w:rPr>
                <w:rFonts w:ascii="Arial" w:cs="Arial" w:eastAsia="Arial" w:hAnsi="Arial"/>
                <w:sz w:val="18"/>
                <w:szCs w:val="18"/>
                <w:color w:val="auto"/>
              </w:rPr>
              <w:t xml:space="preserve">Gain/(loss) on NIH contracts </w:t>
            </w:r>
            <w:r>
              <w:rPr>
                <w:rFonts w:ascii="Arial" w:cs="Arial" w:eastAsia="Arial" w:hAnsi="Arial"/>
                <w:sz w:val="23"/>
                <w:szCs w:val="23"/>
                <w:color w:val="auto"/>
                <w:vertAlign w:val="superscript"/>
              </w:rPr>
              <w:t>(1)</w:t>
            </w:r>
          </w:p>
        </w:tc>
        <w:tc>
          <w:tcPr>
            <w:tcW w:w="920" w:type="dxa"/>
            <w:vAlign w:val="bottom"/>
            <w:shd w:val="clear" w:color="auto" w:fill="CCEEFF"/>
          </w:tcPr>
          <w:p>
            <w:pPr>
              <w:jc w:val="right"/>
              <w:ind w:right="722"/>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107</w:t>
            </w:r>
          </w:p>
        </w:tc>
        <w:tc>
          <w:tcPr>
            <w:tcW w:w="104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(893)</w:t>
            </w:r>
          </w:p>
        </w:tc>
        <w:tc>
          <w:tcPr>
            <w:tcW w:w="5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175"/>
        </w:trPr>
        <w:tc>
          <w:tcPr>
            <w:tcW w:w="5200" w:type="dxa"/>
            <w:vAlign w:val="bottom"/>
          </w:tcPr>
          <w:p>
            <w:pPr>
              <w:ind w:left="20"/>
              <w:spacing w:after="0" w:line="176" w:lineRule="exact"/>
              <w:rPr>
                <w:sz w:val="20"/>
                <w:szCs w:val="20"/>
                <w:color w:val="auto"/>
              </w:rPr>
            </w:pPr>
            <w:r>
              <w:rPr>
                <w:rFonts w:ascii="Arial" w:cs="Arial" w:eastAsia="Arial" w:hAnsi="Arial"/>
                <w:sz w:val="18"/>
                <w:szCs w:val="18"/>
                <w:color w:val="auto"/>
              </w:rPr>
              <w:t>Amounts excluded from the assessment of hedge effectiveness</w:t>
            </w:r>
          </w:p>
        </w:tc>
        <w:tc>
          <w:tcPr>
            <w:tcW w:w="920" w:type="dxa"/>
            <w:vAlign w:val="bottom"/>
          </w:tcPr>
          <w:p>
            <w:pPr>
              <w:spacing w:after="0"/>
              <w:rPr>
                <w:sz w:val="15"/>
                <w:szCs w:val="15"/>
                <w:color w:val="auto"/>
              </w:rPr>
            </w:pPr>
          </w:p>
        </w:tc>
        <w:tc>
          <w:tcPr>
            <w:tcW w:w="520" w:type="dxa"/>
            <w:vAlign w:val="bottom"/>
            <w:vMerge w:val="restart"/>
          </w:tcPr>
          <w:p>
            <w:pPr>
              <w:jc w:val="right"/>
              <w:ind w:right="16"/>
              <w:spacing w:after="0"/>
              <w:rPr>
                <w:sz w:val="20"/>
                <w:szCs w:val="20"/>
                <w:color w:val="auto"/>
              </w:rPr>
            </w:pPr>
            <w:r>
              <w:rPr>
                <w:rFonts w:ascii="Arial" w:cs="Arial" w:eastAsia="Arial" w:hAnsi="Arial"/>
                <w:sz w:val="18"/>
                <w:szCs w:val="18"/>
                <w:color w:val="auto"/>
              </w:rPr>
              <w:t>70</w:t>
            </w:r>
          </w:p>
        </w:tc>
        <w:tc>
          <w:tcPr>
            <w:tcW w:w="1040" w:type="dxa"/>
            <w:vAlign w:val="bottom"/>
          </w:tcPr>
          <w:p>
            <w:pPr>
              <w:spacing w:after="0"/>
              <w:rPr>
                <w:sz w:val="15"/>
                <w:szCs w:val="15"/>
                <w:color w:val="auto"/>
              </w:rPr>
            </w:pPr>
          </w:p>
        </w:tc>
        <w:tc>
          <w:tcPr>
            <w:tcW w:w="480" w:type="dxa"/>
            <w:vAlign w:val="bottom"/>
            <w:vMerge w:val="restart"/>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40" w:type="dxa"/>
            <w:vAlign w:val="bottom"/>
            <w:vMerge w:val="restart"/>
          </w:tcPr>
          <w:p>
            <w:pPr>
              <w:ind w:left="600"/>
              <w:spacing w:after="0"/>
              <w:rPr>
                <w:sz w:val="20"/>
                <w:szCs w:val="20"/>
                <w:color w:val="auto"/>
              </w:rPr>
            </w:pPr>
            <w:r>
              <w:rPr>
                <w:rFonts w:ascii="Arial" w:cs="Arial" w:eastAsia="Arial" w:hAnsi="Arial"/>
                <w:sz w:val="18"/>
                <w:szCs w:val="18"/>
                <w:color w:val="auto"/>
              </w:rPr>
              <w:t>194</w:t>
            </w:r>
          </w:p>
        </w:tc>
        <w:tc>
          <w:tcPr>
            <w:tcW w:w="54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152"/>
        </w:trPr>
        <w:tc>
          <w:tcPr>
            <w:tcW w:w="5200" w:type="dxa"/>
            <w:vAlign w:val="bottom"/>
          </w:tcPr>
          <w:p>
            <w:pPr>
              <w:ind w:left="20"/>
              <w:spacing w:after="0"/>
              <w:rPr>
                <w:sz w:val="20"/>
                <w:szCs w:val="20"/>
                <w:color w:val="auto"/>
              </w:rPr>
            </w:pPr>
            <w:r>
              <w:rPr>
                <w:rFonts w:ascii="Arial" w:cs="Arial" w:eastAsia="Arial" w:hAnsi="Arial"/>
                <w:sz w:val="12"/>
                <w:szCs w:val="12"/>
                <w:color w:val="auto"/>
              </w:rPr>
              <w:t>(2)</w:t>
            </w:r>
          </w:p>
        </w:tc>
        <w:tc>
          <w:tcPr>
            <w:tcW w:w="920" w:type="dxa"/>
            <w:vAlign w:val="bottom"/>
          </w:tcPr>
          <w:p>
            <w:pPr>
              <w:spacing w:after="0"/>
              <w:rPr>
                <w:sz w:val="13"/>
                <w:szCs w:val="13"/>
                <w:color w:val="auto"/>
              </w:rPr>
            </w:pPr>
          </w:p>
        </w:tc>
        <w:tc>
          <w:tcPr>
            <w:tcW w:w="520" w:type="dxa"/>
            <w:vAlign w:val="bottom"/>
            <w:vMerge w:val="continue"/>
          </w:tcPr>
          <w:p>
            <w:pPr>
              <w:spacing w:after="0"/>
              <w:rPr>
                <w:sz w:val="13"/>
                <w:szCs w:val="13"/>
                <w:color w:val="auto"/>
              </w:rPr>
            </w:pPr>
          </w:p>
        </w:tc>
        <w:tc>
          <w:tcPr>
            <w:tcW w:w="1040" w:type="dxa"/>
            <w:vAlign w:val="bottom"/>
          </w:tcPr>
          <w:p>
            <w:pPr>
              <w:spacing w:after="0"/>
              <w:rPr>
                <w:sz w:val="13"/>
                <w:szCs w:val="13"/>
                <w:color w:val="auto"/>
              </w:rPr>
            </w:pPr>
          </w:p>
        </w:tc>
        <w:tc>
          <w:tcPr>
            <w:tcW w:w="4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54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352" w:lineRule="exact"/>
        <w:rPr>
          <w:sz w:val="20"/>
          <w:szCs w:val="20"/>
          <w:color w:val="auto"/>
        </w:rPr>
      </w:pPr>
    </w:p>
    <w:p>
      <w:pPr>
        <w:ind w:left="340" w:hanging="332"/>
        <w:spacing w:after="0" w:line="261" w:lineRule="auto"/>
        <w:tabs>
          <w:tab w:leader="none" w:pos="327" w:val="left"/>
        </w:tabs>
        <w:numPr>
          <w:ilvl w:val="0"/>
          <w:numId w:val="5"/>
        </w:numPr>
        <w:rPr>
          <w:rFonts w:ascii="Arial" w:cs="Arial" w:eastAsia="Arial" w:hAnsi="Arial"/>
          <w:sz w:val="14"/>
          <w:szCs w:val="14"/>
          <w:color w:val="auto"/>
        </w:rPr>
      </w:pPr>
      <w:r>
        <w:rPr>
          <w:rFonts w:ascii="Arial" w:cs="Arial" w:eastAsia="Arial" w:hAnsi="Arial"/>
          <w:sz w:val="14"/>
          <w:szCs w:val="14"/>
          <w:color w:val="auto"/>
        </w:rPr>
        <w:t>Amounts recorded for unsettled and settled NIH derivative contracts are recorded within the cumulative translation adjustment section of other comprehensive earnings/(losses).</w:t>
      </w:r>
    </w:p>
    <w:p>
      <w:pPr>
        <w:spacing w:after="0" w:line="176" w:lineRule="exact"/>
        <w:rPr>
          <w:rFonts w:ascii="Arial" w:cs="Arial" w:eastAsia="Arial" w:hAnsi="Arial"/>
          <w:sz w:val="14"/>
          <w:szCs w:val="14"/>
          <w:color w:val="auto"/>
        </w:rPr>
      </w:pPr>
    </w:p>
    <w:p>
      <w:pPr>
        <w:ind w:left="340" w:right="20" w:hanging="332"/>
        <w:spacing w:after="0" w:line="284" w:lineRule="auto"/>
        <w:tabs>
          <w:tab w:leader="none" w:pos="327" w:val="left"/>
        </w:tabs>
        <w:numPr>
          <w:ilvl w:val="0"/>
          <w:numId w:val="5"/>
        </w:numPr>
        <w:rPr>
          <w:rFonts w:ascii="Arial" w:cs="Arial" w:eastAsia="Arial" w:hAnsi="Arial"/>
          <w:sz w:val="14"/>
          <w:szCs w:val="14"/>
          <w:color w:val="auto"/>
        </w:rPr>
      </w:pPr>
      <w:r>
        <w:rPr>
          <w:rFonts w:ascii="Arial" w:cs="Arial" w:eastAsia="Arial" w:hAnsi="Arial"/>
          <w:sz w:val="14"/>
          <w:szCs w:val="14"/>
          <w:color w:val="auto"/>
        </w:rPr>
        <w:t>We assess the effectiveness of NIH relationships based on spot rates and amortize the initial value attributable to the excluded component to earnings over the life of the hedging instrument within interest and other expense,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6845935</wp:posOffset>
            </wp:positionH>
            <wp:positionV relativeFrom="paragraph">
              <wp:posOffset>989330</wp:posOffset>
            </wp:positionV>
            <wp:extent cx="282575" cy="1885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279400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Non-U.S. dollar debt designated as net investment hedges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Pre-tax gains/(losses) related to non-U.S. dollar debt designated as hedges of net investments in international operations, which 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recorded within the cumulative translation adjustment section of other comprehensive earnings/(losses), were:</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2480" w:type="dxa"/>
            <w:vAlign w:val="bottom"/>
            <w:gridSpan w:val="3"/>
          </w:tcPr>
          <w:p>
            <w:pPr>
              <w:jc w:val="center"/>
              <w:ind w:left="402"/>
              <w:spacing w:after="0"/>
              <w:rPr>
                <w:sz w:val="20"/>
                <w:szCs w:val="20"/>
                <w:color w:val="auto"/>
              </w:rPr>
            </w:pPr>
            <w:r>
              <w:rPr>
                <w:rFonts w:ascii="Arial" w:cs="Arial" w:eastAsia="Arial" w:hAnsi="Arial"/>
                <w:sz w:val="14"/>
                <w:szCs w:val="14"/>
                <w:b w:val="1"/>
                <w:bCs w:val="1"/>
                <w:color w:val="auto"/>
              </w:rPr>
              <w:t>For the Three Months Ended</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520" w:type="dxa"/>
            <w:vAlign w:val="bottom"/>
            <w:gridSpan w:val="3"/>
          </w:tcPr>
          <w:p>
            <w:pPr>
              <w:jc w:val="right"/>
              <w:ind w:right="455"/>
              <w:spacing w:after="0"/>
              <w:rPr>
                <w:sz w:val="20"/>
                <w:szCs w:val="20"/>
                <w:color w:val="auto"/>
              </w:rPr>
            </w:pPr>
            <w:r>
              <w:rPr>
                <w:rFonts w:ascii="Arial" w:cs="Arial" w:eastAsia="Arial" w:hAnsi="Arial"/>
                <w:sz w:val="14"/>
                <w:szCs w:val="14"/>
                <w:b w:val="1"/>
                <w:bCs w:val="1"/>
                <w:color w:val="auto"/>
              </w:rPr>
              <w:t>For the Nine Months Ended</w:t>
            </w:r>
          </w:p>
        </w:tc>
      </w:tr>
      <w:tr>
        <w:trPr>
          <w:trHeight w:val="185"/>
        </w:trPr>
        <w:tc>
          <w:tcPr>
            <w:tcW w:w="520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jc w:val="center"/>
              <w:ind w:right="379"/>
              <w:spacing w:after="0"/>
              <w:rPr>
                <w:sz w:val="20"/>
                <w:szCs w:val="20"/>
                <w:color w:val="auto"/>
              </w:rPr>
            </w:pPr>
            <w:r>
              <w:rPr>
                <w:rFonts w:ascii="Arial" w:cs="Arial" w:eastAsia="Arial" w:hAnsi="Arial"/>
                <w:sz w:val="14"/>
                <w:szCs w:val="14"/>
                <w:b w:val="1"/>
                <w:bCs w:val="1"/>
                <w:color w:val="auto"/>
              </w:rPr>
              <w:t>September 30,</w:t>
            </w:r>
          </w:p>
        </w:tc>
        <w:tc>
          <w:tcPr>
            <w:tcW w:w="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Borders>
              <w:bottom w:val="single" w:sz="8" w:color="auto"/>
            </w:tcBorders>
          </w:tcPr>
          <w:p>
            <w:pPr>
              <w:spacing w:after="0"/>
              <w:rPr>
                <w:sz w:val="16"/>
                <w:szCs w:val="16"/>
                <w:color w:val="auto"/>
              </w:rPr>
            </w:pPr>
          </w:p>
        </w:tc>
      </w:tr>
      <w:tr>
        <w:trPr>
          <w:trHeight w:val="195"/>
        </w:trPr>
        <w:tc>
          <w:tcPr>
            <w:tcW w:w="5200" w:type="dxa"/>
            <w:vAlign w:val="bottom"/>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5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2025</w:t>
            </w:r>
          </w:p>
        </w:tc>
        <w:tc>
          <w:tcPr>
            <w:tcW w:w="5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2024</w:t>
            </w:r>
          </w:p>
        </w:tc>
      </w:tr>
      <w:tr>
        <w:trPr>
          <w:trHeight w:val="196"/>
        </w:trPr>
        <w:tc>
          <w:tcPr>
            <w:tcW w:w="5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4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millions)</w:t>
            </w:r>
          </w:p>
        </w:tc>
        <w:tc>
          <w:tcPr>
            <w:tcW w:w="10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31"/>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Euro notes</w:t>
            </w:r>
          </w:p>
        </w:tc>
        <w:tc>
          <w:tcPr>
            <w:tcW w:w="920" w:type="dxa"/>
            <w:vAlign w:val="bottom"/>
            <w:shd w:val="clear" w:color="auto" w:fill="CCEEFF"/>
          </w:tcPr>
          <w:p>
            <w:pPr>
              <w:jc w:val="right"/>
              <w:ind w:right="722"/>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18</w:t>
            </w:r>
          </w:p>
        </w:tc>
        <w:tc>
          <w:tcPr>
            <w:tcW w:w="104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5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Swiss franc notes</w:t>
            </w:r>
          </w:p>
        </w:tc>
        <w:tc>
          <w:tcPr>
            <w:tcW w:w="920" w:type="dxa"/>
            <w:vAlign w:val="bottom"/>
          </w:tcPr>
          <w:p>
            <w:pPr>
              <w:spacing w:after="0"/>
              <w:rPr>
                <w:sz w:val="19"/>
                <w:szCs w:val="19"/>
                <w:color w:val="auto"/>
              </w:rPr>
            </w:pPr>
          </w:p>
        </w:tc>
        <w:tc>
          <w:tcPr>
            <w:tcW w:w="520" w:type="dxa"/>
            <w:vAlign w:val="bottom"/>
          </w:tcPr>
          <w:p>
            <w:pPr>
              <w:jc w:val="right"/>
              <w:ind w:right="15"/>
              <w:spacing w:after="0"/>
              <w:rPr>
                <w:sz w:val="20"/>
                <w:szCs w:val="20"/>
                <w:color w:val="auto"/>
              </w:rPr>
            </w:pPr>
            <w:r>
              <w:rPr>
                <w:rFonts w:ascii="Arial" w:cs="Arial" w:eastAsia="Arial" w:hAnsi="Arial"/>
                <w:sz w:val="18"/>
                <w:szCs w:val="18"/>
                <w:color w:val="auto"/>
              </w:rPr>
              <w:t>1</w:t>
            </w:r>
          </w:p>
        </w:tc>
        <w:tc>
          <w:tcPr>
            <w:tcW w:w="10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w:t>
            </w:r>
          </w:p>
        </w:tc>
        <w:tc>
          <w:tcPr>
            <w:tcW w:w="5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Canadian notes</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10</w:t>
            </w:r>
          </w:p>
        </w:tc>
        <w:tc>
          <w:tcPr>
            <w:tcW w:w="10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5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bl>
    <w:p>
      <w:pPr>
        <w:spacing w:after="0" w:line="3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Derivatives Not Designated as Accounting Hedges</w:t>
      </w:r>
    </w:p>
    <w:p>
      <w:pPr>
        <w:spacing w:after="0" w:line="25" w:lineRule="exact"/>
        <w:rPr>
          <w:sz w:val="20"/>
          <w:szCs w:val="20"/>
          <w:color w:val="auto"/>
        </w:rPr>
      </w:pPr>
    </w:p>
    <w:p>
      <w:pPr>
        <w:ind w:right="200"/>
        <w:spacing w:after="0" w:line="266" w:lineRule="auto"/>
        <w:rPr>
          <w:sz w:val="20"/>
          <w:szCs w:val="20"/>
          <w:color w:val="auto"/>
        </w:rPr>
      </w:pPr>
      <w:r>
        <w:rPr>
          <w:rFonts w:ascii="Arial" w:cs="Arial" w:eastAsia="Arial" w:hAnsi="Arial"/>
          <w:sz w:val="18"/>
          <w:szCs w:val="18"/>
          <w:color w:val="auto"/>
        </w:rPr>
        <w:t>For derivatives not designated as accounting hedges ("economic hedges"), we classify gains and losses in the income statement based on the classification of the item economically hedged. Pre-tax gains/(losses) recorded in net earnings for economic hedges were:</w:t>
      </w:r>
    </w:p>
    <w:tbl>
      <w:tblPr>
        <w:tblLayout w:type="fixed"/>
        <w:tblInd w:w="0" w:type="dxa"/>
        <w:tblCellMar>
          <w:top w:w="0" w:type="dxa"/>
          <w:left w:w="0" w:type="dxa"/>
          <w:bottom w:w="0" w:type="dxa"/>
          <w:right w:w="0" w:type="dxa"/>
        </w:tblCellMar>
      </w:tblPr>
      <w:tr>
        <w:trPr>
          <w:trHeight w:val="150"/>
        </w:trPr>
        <w:tc>
          <w:tcPr>
            <w:tcW w:w="5200" w:type="dxa"/>
            <w:vAlign w:val="bottom"/>
          </w:tcPr>
          <w:p>
            <w:pPr>
              <w:spacing w:after="0"/>
              <w:rPr>
                <w:sz w:val="13"/>
                <w:szCs w:val="13"/>
                <w:color w:val="auto"/>
              </w:rPr>
            </w:pPr>
          </w:p>
        </w:tc>
        <w:tc>
          <w:tcPr>
            <w:tcW w:w="2540" w:type="dxa"/>
            <w:vAlign w:val="bottom"/>
            <w:gridSpan w:val="4"/>
          </w:tcPr>
          <w:p>
            <w:pPr>
              <w:jc w:val="right"/>
              <w:spacing w:after="0" w:line="149" w:lineRule="exact"/>
              <w:rPr>
                <w:sz w:val="20"/>
                <w:szCs w:val="20"/>
                <w:color w:val="auto"/>
              </w:rPr>
            </w:pPr>
            <w:r>
              <w:rPr>
                <w:rFonts w:ascii="Arial" w:cs="Arial" w:eastAsia="Arial" w:hAnsi="Arial"/>
                <w:sz w:val="14"/>
                <w:szCs w:val="14"/>
                <w:b w:val="1"/>
                <w:bCs w:val="1"/>
                <w:color w:val="auto"/>
              </w:rPr>
              <w:t>For the Three Months Ended</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520" w:type="dxa"/>
            <w:vAlign w:val="bottom"/>
            <w:gridSpan w:val="4"/>
          </w:tcPr>
          <w:p>
            <w:pPr>
              <w:jc w:val="right"/>
              <w:ind w:right="453"/>
              <w:spacing w:after="0" w:line="149" w:lineRule="exact"/>
              <w:rPr>
                <w:sz w:val="20"/>
                <w:szCs w:val="20"/>
                <w:color w:val="auto"/>
              </w:rPr>
            </w:pPr>
            <w:r>
              <w:rPr>
                <w:rFonts w:ascii="Arial" w:cs="Arial" w:eastAsia="Arial" w:hAnsi="Arial"/>
                <w:sz w:val="14"/>
                <w:szCs w:val="14"/>
                <w:b w:val="1"/>
                <w:bCs w:val="1"/>
                <w:color w:val="auto"/>
              </w:rPr>
              <w:t>For the Nine Months Ended</w:t>
            </w:r>
          </w:p>
        </w:tc>
      </w:tr>
      <w:tr>
        <w:trPr>
          <w:trHeight w:val="189"/>
        </w:trPr>
        <w:tc>
          <w:tcPr>
            <w:tcW w:w="520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ind w:right="496"/>
              <w:spacing w:after="0"/>
              <w:rPr>
                <w:sz w:val="20"/>
                <w:szCs w:val="20"/>
                <w:color w:val="auto"/>
              </w:rPr>
            </w:pPr>
            <w:r>
              <w:rPr>
                <w:rFonts w:ascii="Arial" w:cs="Arial" w:eastAsia="Arial" w:hAnsi="Arial"/>
                <w:sz w:val="14"/>
                <w:szCs w:val="14"/>
                <w:b w:val="1"/>
                <w:bCs w:val="1"/>
                <w:color w:val="auto"/>
              </w:rPr>
              <w:t>September 30,</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Borders>
              <w:bottom w:val="single" w:sz="8" w:color="auto"/>
            </w:tcBorders>
          </w:tcPr>
          <w:p>
            <w:pPr>
              <w:spacing w:after="0"/>
              <w:rPr>
                <w:sz w:val="16"/>
                <w:szCs w:val="16"/>
                <w:color w:val="auto"/>
              </w:rPr>
            </w:pPr>
          </w:p>
        </w:tc>
      </w:tr>
      <w:tr>
        <w:trPr>
          <w:trHeight w:val="195"/>
        </w:trPr>
        <w:tc>
          <w:tcPr>
            <w:tcW w:w="5200" w:type="dxa"/>
            <w:vAlign w:val="bottom"/>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2024</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2024</w:t>
            </w:r>
          </w:p>
        </w:tc>
      </w:tr>
      <w:tr>
        <w:trPr>
          <w:trHeight w:val="196"/>
        </w:trPr>
        <w:tc>
          <w:tcPr>
            <w:tcW w:w="5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8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millions)</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31"/>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contracts:</w:t>
            </w:r>
          </w:p>
        </w:tc>
        <w:tc>
          <w:tcPr>
            <w:tcW w:w="9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r>
      <w:tr>
        <w:trPr>
          <w:trHeight w:val="229"/>
        </w:trPr>
        <w:tc>
          <w:tcPr>
            <w:tcW w:w="5200" w:type="dxa"/>
            <w:vAlign w:val="bottom"/>
          </w:tcPr>
          <w:p>
            <w:pPr>
              <w:ind w:left="220"/>
              <w:spacing w:after="0"/>
              <w:rPr>
                <w:sz w:val="20"/>
                <w:szCs w:val="20"/>
                <w:color w:val="auto"/>
              </w:rPr>
            </w:pPr>
            <w:r>
              <w:rPr>
                <w:rFonts w:ascii="Arial" w:cs="Arial" w:eastAsia="Arial" w:hAnsi="Arial"/>
                <w:sz w:val="18"/>
                <w:szCs w:val="18"/>
                <w:color w:val="auto"/>
              </w:rPr>
              <w:t>Cost of sales</w:t>
            </w:r>
          </w:p>
        </w:tc>
        <w:tc>
          <w:tcPr>
            <w:tcW w:w="920" w:type="dxa"/>
            <w:vAlign w:val="bottom"/>
          </w:tcPr>
          <w:p>
            <w:pPr>
              <w:jc w:val="right"/>
              <w:ind w:right="719"/>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19"/>
                <w:szCs w:val="19"/>
                <w:color w:val="auto"/>
              </w:rPr>
            </w:pPr>
          </w:p>
        </w:tc>
        <w:tc>
          <w:tcPr>
            <w:tcW w:w="1000" w:type="dxa"/>
            <w:vAlign w:val="bottom"/>
          </w:tcPr>
          <w:p>
            <w:pPr>
              <w:jc w:val="right"/>
              <w:ind w:right="816"/>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(227)</w:t>
            </w:r>
          </w:p>
        </w:tc>
        <w:tc>
          <w:tcPr>
            <w:tcW w:w="10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29"/>
        </w:trPr>
        <w:tc>
          <w:tcPr>
            <w:tcW w:w="5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Selling, general and administrative expenses</w:t>
            </w:r>
          </w:p>
        </w:tc>
        <w:tc>
          <w:tcPr>
            <w:tcW w:w="9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5200" w:type="dxa"/>
            <w:vAlign w:val="bottom"/>
          </w:tcPr>
          <w:p>
            <w:pPr>
              <w:ind w:left="220"/>
              <w:spacing w:after="0"/>
              <w:rPr>
                <w:sz w:val="20"/>
                <w:szCs w:val="20"/>
                <w:color w:val="auto"/>
              </w:rPr>
            </w:pPr>
            <w:r>
              <w:rPr>
                <w:rFonts w:ascii="Arial" w:cs="Arial" w:eastAsia="Arial" w:hAnsi="Arial"/>
                <w:sz w:val="18"/>
                <w:szCs w:val="18"/>
                <w:color w:val="auto"/>
              </w:rPr>
              <w:t>Interest and other expense, net</w:t>
            </w: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Commodity contracts - Cost of sales</w:t>
            </w: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w:t>
            </w: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Interest rate contracts - Interest and other expense, net</w:t>
            </w:r>
          </w:p>
        </w:tc>
        <w:tc>
          <w:tcPr>
            <w:tcW w:w="920" w:type="dxa"/>
            <w:vAlign w:val="bottom"/>
          </w:tcPr>
          <w:p>
            <w:pPr>
              <w:spacing w:after="0"/>
              <w:rPr>
                <w:sz w:val="19"/>
                <w:szCs w:val="19"/>
                <w:color w:val="auto"/>
              </w:rPr>
            </w:pPr>
          </w:p>
        </w:tc>
        <w:tc>
          <w:tcPr>
            <w:tcW w:w="6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48"/>
        </w:trPr>
        <w:tc>
          <w:tcPr>
            <w:tcW w:w="520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920" w:type="dxa"/>
            <w:vAlign w:val="bottom"/>
            <w:tcBorders>
              <w:top w:val="single" w:sz="8" w:color="auto"/>
              <w:bottom w:val="single" w:sz="8" w:color="auto"/>
            </w:tcBorders>
            <w:shd w:val="clear" w:color="auto" w:fill="CCEEFF"/>
          </w:tcPr>
          <w:p>
            <w:pPr>
              <w:jc w:val="right"/>
              <w:ind w:right="719"/>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auto"/>
            </w:tcBorders>
            <w:shd w:val="clear" w:color="auto" w:fill="CCEEFF"/>
          </w:tcPr>
          <w:p>
            <w:pPr>
              <w:jc w:val="right"/>
              <w:ind w:right="816"/>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953</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Contingent Consideration</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Contingent consideration liabilities, which reflect earn-out arrangements from business combinations, are recorded at fair value each period, with changes in fair value reported in earnings. The fair values of our contingent consideration liabilities were $155 million and $179 million as of September 30, 2025 and December 31, 2024, respectively. Contingent consideration liabilities are primarily recorded in </w:t>
      </w:r>
      <w:r>
        <w:rPr>
          <w:rFonts w:ascii="Arial" w:cs="Arial" w:eastAsia="Arial" w:hAnsi="Arial"/>
          <w:sz w:val="18"/>
          <w:szCs w:val="18"/>
          <w:i w:val="1"/>
          <w:iCs w:val="1"/>
          <w:color w:val="auto"/>
        </w:rPr>
        <w:t>Other liabilities</w:t>
      </w:r>
      <w:r>
        <w:rPr>
          <w:rFonts w:ascii="Arial" w:cs="Arial" w:eastAsia="Arial" w:hAnsi="Arial"/>
          <w:sz w:val="18"/>
          <w:szCs w:val="18"/>
          <w:color w:val="auto"/>
        </w:rPr>
        <w:t xml:space="preserve"> in the condensed consolidated balance sheets and changes in their fair values are primarily recorded in </w:t>
      </w:r>
      <w:r>
        <w:rPr>
          <w:rFonts w:ascii="Arial" w:cs="Arial" w:eastAsia="Arial" w:hAnsi="Arial"/>
          <w:sz w:val="18"/>
          <w:szCs w:val="18"/>
          <w:i w:val="1"/>
          <w:iCs w:val="1"/>
          <w:color w:val="auto"/>
        </w:rPr>
        <w:t>Selling, general and administrative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expenses </w:t>
      </w:r>
      <w:r>
        <w:rPr>
          <w:rFonts w:ascii="Arial" w:cs="Arial" w:eastAsia="Arial" w:hAnsi="Arial"/>
          <w:sz w:val="18"/>
          <w:szCs w:val="18"/>
          <w:color w:val="auto"/>
        </w:rPr>
        <w:t>in the condensed consolidated statements of earnings.</w:t>
      </w:r>
    </w:p>
    <w:p>
      <w:pPr>
        <w:spacing w:after="0" w:line="21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estimated fair values of our contingent consideration liabilities were primarily determined using Monte Carlo simulations. Significant assumptions used in assessing the fair value of the liabilities include financial projections for net revenue, gross profit and EBITDA, as well as discount and volatility rates. Fair value measurements of contingent consideration liabilities are classified as Level 3 in the fair value hierarchy because they use significant unobservable inputs.</w:t>
      </w:r>
    </w:p>
    <w:p>
      <w:pPr>
        <w:spacing w:after="0" w:line="20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Contingent consideration liabilities include an earn-out arrangement related to the acquisition of Clif Bar &amp; Company (“Clif Bar”) in 2022. The possible payments under that arrangement range from zero to a maximum total of $2.4 billion, with higher payouts requiring the achievement of targets that generate rates of returns in excess of our base financial projections for the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6845935</wp:posOffset>
            </wp:positionH>
            <wp:positionV relativeFrom="paragraph">
              <wp:posOffset>317500</wp:posOffset>
            </wp:positionV>
            <wp:extent cx="282575" cy="1885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287655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contingent consideration liability activity:</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spacing w:after="0"/>
              <w:rPr>
                <w:sz w:val="14"/>
                <w:szCs w:val="14"/>
                <w:color w:val="auto"/>
              </w:rPr>
            </w:pPr>
          </w:p>
        </w:tc>
        <w:tc>
          <w:tcPr>
            <w:tcW w:w="3180" w:type="dxa"/>
            <w:vAlign w:val="bottom"/>
            <w:gridSpan w:val="4"/>
          </w:tcPr>
          <w:p>
            <w:pPr>
              <w:jc w:val="center"/>
              <w:ind w:left="519"/>
              <w:spacing w:after="0"/>
              <w:rPr>
                <w:sz w:val="20"/>
                <w:szCs w:val="20"/>
                <w:color w:val="auto"/>
              </w:rPr>
            </w:pPr>
            <w:r>
              <w:rPr>
                <w:rFonts w:ascii="Arial" w:cs="Arial" w:eastAsia="Arial" w:hAnsi="Arial"/>
                <w:sz w:val="14"/>
                <w:szCs w:val="14"/>
                <w:b w:val="1"/>
                <w:bCs w:val="1"/>
                <w:color w:val="auto"/>
              </w:rPr>
              <w:t>For the Three Months Ended</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320" w:type="dxa"/>
            <w:vAlign w:val="bottom"/>
            <w:gridSpan w:val="4"/>
          </w:tcPr>
          <w:p>
            <w:pPr>
              <w:jc w:val="center"/>
              <w:ind w:right="353"/>
              <w:spacing w:after="0"/>
              <w:rPr>
                <w:sz w:val="20"/>
                <w:szCs w:val="20"/>
                <w:color w:val="auto"/>
              </w:rPr>
            </w:pPr>
            <w:r>
              <w:rPr>
                <w:rFonts w:ascii="Arial" w:cs="Arial" w:eastAsia="Arial" w:hAnsi="Arial"/>
                <w:sz w:val="14"/>
                <w:szCs w:val="14"/>
                <w:b w:val="1"/>
                <w:bCs w:val="1"/>
                <w:color w:val="auto"/>
              </w:rPr>
              <w:t>For the Nine Months Ended</w:t>
            </w:r>
          </w:p>
        </w:tc>
      </w:tr>
      <w:tr>
        <w:trPr>
          <w:trHeight w:val="185"/>
        </w:trPr>
        <w:tc>
          <w:tcPr>
            <w:tcW w:w="3600" w:type="dxa"/>
            <w:vAlign w:val="bottom"/>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center"/>
              <w:ind w:right="556"/>
              <w:spacing w:after="0"/>
              <w:rPr>
                <w:sz w:val="20"/>
                <w:szCs w:val="20"/>
                <w:color w:val="auto"/>
              </w:rPr>
            </w:pPr>
            <w:r>
              <w:rPr>
                <w:rFonts w:ascii="Arial" w:cs="Arial" w:eastAsia="Arial" w:hAnsi="Arial"/>
                <w:sz w:val="14"/>
                <w:szCs w:val="14"/>
                <w:b w:val="1"/>
                <w:bCs w:val="1"/>
                <w:color w:val="auto"/>
              </w:rPr>
              <w:t>September 30,</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3"/>
          </w:tcPr>
          <w:p>
            <w:pPr>
              <w:jc w:val="center"/>
              <w:ind w:left="698"/>
              <w:spacing w:after="0"/>
              <w:rPr>
                <w:sz w:val="20"/>
                <w:szCs w:val="20"/>
                <w:color w:val="auto"/>
              </w:rPr>
            </w:pPr>
            <w:r>
              <w:rPr>
                <w:rFonts w:ascii="Arial" w:cs="Arial" w:eastAsia="Arial" w:hAnsi="Arial"/>
                <w:sz w:val="14"/>
                <w:szCs w:val="14"/>
                <w:b w:val="1"/>
                <w:bCs w:val="1"/>
                <w:color w:val="auto"/>
              </w:rPr>
              <w:t>September 30,</w:t>
            </w:r>
          </w:p>
        </w:tc>
        <w:tc>
          <w:tcPr>
            <w:tcW w:w="1240" w:type="dxa"/>
            <w:vAlign w:val="bottom"/>
            <w:tcBorders>
              <w:bottom w:val="single" w:sz="8" w:color="auto"/>
            </w:tcBorders>
          </w:tcPr>
          <w:p>
            <w:pPr>
              <w:spacing w:after="0"/>
              <w:rPr>
                <w:sz w:val="16"/>
                <w:szCs w:val="16"/>
                <w:color w:val="auto"/>
              </w:rPr>
            </w:pPr>
          </w:p>
        </w:tc>
      </w:tr>
      <w:tr>
        <w:trPr>
          <w:trHeight w:val="195"/>
        </w:trPr>
        <w:tc>
          <w:tcPr>
            <w:tcW w:w="3600" w:type="dxa"/>
            <w:vAlign w:val="bottom"/>
          </w:tcPr>
          <w:p>
            <w:pPr>
              <w:spacing w:after="0"/>
              <w:rPr>
                <w:sz w:val="16"/>
                <w:szCs w:val="16"/>
                <w:color w:val="auto"/>
              </w:rPr>
            </w:pPr>
          </w:p>
        </w:tc>
        <w:tc>
          <w:tcPr>
            <w:tcW w:w="124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2025</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2024</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58"/>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rPr>
              <w:t>2024</w:t>
            </w:r>
          </w:p>
        </w:tc>
      </w:tr>
      <w:tr>
        <w:trPr>
          <w:trHeight w:val="196"/>
        </w:trPr>
        <w:tc>
          <w:tcPr>
            <w:tcW w:w="36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940" w:type="dxa"/>
            <w:vAlign w:val="bottom"/>
            <w:gridSpan w:val="3"/>
          </w:tcPr>
          <w:p>
            <w:pPr>
              <w:jc w:val="center"/>
              <w:ind w:right="556"/>
              <w:spacing w:after="0"/>
              <w:rPr>
                <w:sz w:val="20"/>
                <w:szCs w:val="20"/>
                <w:color w:val="auto"/>
              </w:rPr>
            </w:pPr>
            <w:r>
              <w:rPr>
                <w:rFonts w:ascii="Arial" w:cs="Arial" w:eastAsia="Arial" w:hAnsi="Arial"/>
                <w:sz w:val="14"/>
                <w:szCs w:val="14"/>
                <w:b w:val="1"/>
                <w:bCs w:val="1"/>
                <w:color w:val="auto"/>
              </w:rPr>
              <w:t>(in millions)</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80" w:type="dxa"/>
            <w:vAlign w:val="bottom"/>
            <w:gridSpan w:val="3"/>
          </w:tcPr>
          <w:p>
            <w:pPr>
              <w:jc w:val="center"/>
              <w:ind w:left="718"/>
              <w:spacing w:after="0"/>
              <w:rPr>
                <w:sz w:val="20"/>
                <w:szCs w:val="20"/>
                <w:color w:val="auto"/>
              </w:rPr>
            </w:pPr>
            <w:r>
              <w:rPr>
                <w:rFonts w:ascii="Arial" w:cs="Arial" w:eastAsia="Arial" w:hAnsi="Arial"/>
                <w:sz w:val="14"/>
                <w:szCs w:val="14"/>
                <w:b w:val="1"/>
                <w:bCs w:val="1"/>
                <w:color w:val="auto"/>
              </w:rPr>
              <w:t>(in millions)</w:t>
            </w:r>
          </w:p>
        </w:tc>
        <w:tc>
          <w:tcPr>
            <w:tcW w:w="1240" w:type="dxa"/>
            <w:vAlign w:val="bottom"/>
          </w:tcPr>
          <w:p>
            <w:pPr>
              <w:spacing w:after="0"/>
              <w:rPr>
                <w:sz w:val="17"/>
                <w:szCs w:val="17"/>
                <w:color w:val="auto"/>
              </w:rPr>
            </w:pPr>
          </w:p>
        </w:tc>
      </w:tr>
      <w:tr>
        <w:trPr>
          <w:trHeight w:val="231"/>
        </w:trPr>
        <w:tc>
          <w:tcPr>
            <w:tcW w:w="3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Liability at beginning of period</w:t>
            </w:r>
          </w:p>
        </w:tc>
        <w:tc>
          <w:tcPr>
            <w:tcW w:w="1240" w:type="dxa"/>
            <w:vAlign w:val="bottom"/>
            <w:shd w:val="clear" w:color="auto" w:fill="CCEEFF"/>
          </w:tcPr>
          <w:p>
            <w:pPr>
              <w:jc w:val="right"/>
              <w:ind w:right="1039"/>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1036"/>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w:t>
            </w:r>
          </w:p>
        </w:tc>
      </w:tr>
      <w:tr>
        <w:trPr>
          <w:trHeight w:val="229"/>
        </w:trPr>
        <w:tc>
          <w:tcPr>
            <w:tcW w:w="3600" w:type="dxa"/>
            <w:vAlign w:val="bottom"/>
          </w:tcPr>
          <w:p>
            <w:pPr>
              <w:ind w:left="140"/>
              <w:spacing w:after="0"/>
              <w:rPr>
                <w:sz w:val="20"/>
                <w:szCs w:val="20"/>
                <w:color w:val="auto"/>
              </w:rPr>
            </w:pPr>
            <w:r>
              <w:rPr>
                <w:rFonts w:ascii="Arial" w:cs="Arial" w:eastAsia="Arial" w:hAnsi="Arial"/>
                <w:sz w:val="18"/>
                <w:szCs w:val="18"/>
                <w:color w:val="auto"/>
              </w:rPr>
              <w:t>Changes in fair value</w:t>
            </w:r>
          </w:p>
        </w:tc>
        <w:tc>
          <w:tcPr>
            <w:tcW w:w="1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(315)</w:t>
            </w:r>
          </w:p>
        </w:tc>
      </w:tr>
      <w:tr>
        <w:trPr>
          <w:trHeight w:val="230"/>
        </w:trPr>
        <w:tc>
          <w:tcPr>
            <w:tcW w:w="3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Payments</w:t>
            </w:r>
          </w:p>
        </w:tc>
        <w:tc>
          <w:tcPr>
            <w:tcW w:w="12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r>
      <w:tr>
        <w:trPr>
          <w:trHeight w:val="229"/>
        </w:trPr>
        <w:tc>
          <w:tcPr>
            <w:tcW w:w="3600" w:type="dxa"/>
            <w:vAlign w:val="bottom"/>
          </w:tcPr>
          <w:p>
            <w:pPr>
              <w:ind w:left="140"/>
              <w:spacing w:after="0"/>
              <w:rPr>
                <w:sz w:val="20"/>
                <w:szCs w:val="20"/>
                <w:color w:val="auto"/>
              </w:rPr>
            </w:pPr>
            <w:r>
              <w:rPr>
                <w:rFonts w:ascii="Arial" w:cs="Arial" w:eastAsia="Arial" w:hAnsi="Arial"/>
                <w:sz w:val="18"/>
                <w:szCs w:val="18"/>
                <w:color w:val="auto"/>
              </w:rPr>
              <w:t>Currency</w:t>
            </w:r>
          </w:p>
        </w:tc>
        <w:tc>
          <w:tcPr>
            <w:tcW w:w="124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4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3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Liability at end of period</w:t>
            </w:r>
          </w:p>
        </w:tc>
        <w:tc>
          <w:tcPr>
            <w:tcW w:w="1240" w:type="dxa"/>
            <w:vAlign w:val="bottom"/>
            <w:tcBorders>
              <w:top w:val="single" w:sz="8" w:color="auto"/>
              <w:bottom w:val="single" w:sz="8" w:color="auto"/>
            </w:tcBorders>
            <w:shd w:val="clear" w:color="auto" w:fill="CCEEFF"/>
          </w:tcPr>
          <w:p>
            <w:pPr>
              <w:jc w:val="right"/>
              <w:ind w:right="1039"/>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auto"/>
            </w:tcBorders>
            <w:shd w:val="clear" w:color="auto" w:fill="CCEEFF"/>
          </w:tcPr>
          <w:p>
            <w:pPr>
              <w:jc w:val="right"/>
              <w:ind w:right="1036"/>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w:t>
            </w: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Benefit Plans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Plans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Components of Net Periodic Pension Cost</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Net periodic pension cost/(benefit) consisted of the following:</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440" w:type="dxa"/>
            <w:vAlign w:val="bottom"/>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3"/>
          </w:tcPr>
          <w:p>
            <w:pPr>
              <w:jc w:val="center"/>
              <w:ind w:right="536"/>
              <w:spacing w:after="0"/>
              <w:rPr>
                <w:sz w:val="20"/>
                <w:szCs w:val="20"/>
                <w:color w:val="auto"/>
              </w:rPr>
            </w:pPr>
            <w:r>
              <w:rPr>
                <w:rFonts w:ascii="Arial" w:cs="Arial" w:eastAsia="Arial" w:hAnsi="Arial"/>
                <w:sz w:val="14"/>
                <w:szCs w:val="14"/>
                <w:b w:val="1"/>
                <w:bCs w:val="1"/>
                <w:color w:val="auto"/>
              </w:rPr>
              <w:t>U.S. Plans</w:t>
            </w:r>
          </w:p>
        </w:tc>
        <w:tc>
          <w:tcPr>
            <w:tcW w:w="5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Non-U.S. Plans</w:t>
            </w:r>
          </w:p>
        </w:tc>
        <w:tc>
          <w:tcPr>
            <w:tcW w:w="540" w:type="dxa"/>
            <w:vAlign w:val="bottom"/>
            <w:tcBorders>
              <w:bottom w:val="single" w:sz="8" w:color="auto"/>
            </w:tcBorders>
          </w:tcPr>
          <w:p>
            <w:pPr>
              <w:spacing w:after="0"/>
              <w:rPr>
                <w:sz w:val="17"/>
                <w:szCs w:val="17"/>
                <w:color w:val="auto"/>
              </w:rPr>
            </w:pPr>
          </w:p>
        </w:tc>
      </w:tr>
      <w:tr>
        <w:trPr>
          <w:trHeight w:val="147"/>
        </w:trPr>
        <w:tc>
          <w:tcPr>
            <w:tcW w:w="4440" w:type="dxa"/>
            <w:vAlign w:val="bottom"/>
          </w:tcPr>
          <w:p>
            <w:pPr>
              <w:spacing w:after="0"/>
              <w:rPr>
                <w:sz w:val="12"/>
                <w:szCs w:val="12"/>
                <w:color w:val="auto"/>
              </w:rPr>
            </w:pPr>
          </w:p>
        </w:tc>
        <w:tc>
          <w:tcPr>
            <w:tcW w:w="2900" w:type="dxa"/>
            <w:vAlign w:val="bottom"/>
            <w:gridSpan w:val="4"/>
          </w:tcPr>
          <w:p>
            <w:pPr>
              <w:jc w:val="center"/>
              <w:ind w:left="459"/>
              <w:spacing w:after="0" w:line="147" w:lineRule="exact"/>
              <w:rPr>
                <w:sz w:val="20"/>
                <w:szCs w:val="20"/>
                <w:color w:val="auto"/>
              </w:rPr>
            </w:pPr>
            <w:r>
              <w:rPr>
                <w:rFonts w:ascii="Arial" w:cs="Arial" w:eastAsia="Arial" w:hAnsi="Arial"/>
                <w:sz w:val="14"/>
                <w:szCs w:val="14"/>
                <w:b w:val="1"/>
                <w:bCs w:val="1"/>
                <w:color w:val="auto"/>
              </w:rPr>
              <w:t>For the Three Months Ended</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700" w:type="dxa"/>
            <w:vAlign w:val="bottom"/>
            <w:gridSpan w:val="4"/>
          </w:tcPr>
          <w:p>
            <w:pPr>
              <w:jc w:val="right"/>
              <w:ind w:right="36"/>
              <w:spacing w:after="0" w:line="147" w:lineRule="exact"/>
              <w:rPr>
                <w:sz w:val="20"/>
                <w:szCs w:val="20"/>
                <w:color w:val="auto"/>
              </w:rPr>
            </w:pPr>
            <w:r>
              <w:rPr>
                <w:rFonts w:ascii="Arial" w:cs="Arial" w:eastAsia="Arial" w:hAnsi="Arial"/>
                <w:sz w:val="14"/>
                <w:szCs w:val="14"/>
                <w:b w:val="1"/>
                <w:bCs w:val="1"/>
                <w:color w:val="auto"/>
              </w:rPr>
              <w:t>For the Three Months Ended</w:t>
            </w:r>
          </w:p>
        </w:tc>
        <w:tc>
          <w:tcPr>
            <w:tcW w:w="540" w:type="dxa"/>
            <w:vAlign w:val="bottom"/>
          </w:tcPr>
          <w:p>
            <w:pPr>
              <w:spacing w:after="0"/>
              <w:rPr>
                <w:sz w:val="12"/>
                <w:szCs w:val="12"/>
                <w:color w:val="auto"/>
              </w:rPr>
            </w:pPr>
          </w:p>
        </w:tc>
      </w:tr>
      <w:tr>
        <w:trPr>
          <w:trHeight w:val="185"/>
        </w:trPr>
        <w:tc>
          <w:tcPr>
            <w:tcW w:w="444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center"/>
              <w:ind w:right="536"/>
              <w:spacing w:after="0"/>
              <w:rPr>
                <w:sz w:val="20"/>
                <w:szCs w:val="20"/>
                <w:color w:val="auto"/>
              </w:rPr>
            </w:pPr>
            <w:r>
              <w:rPr>
                <w:rFonts w:ascii="Arial" w:cs="Arial" w:eastAsia="Arial" w:hAnsi="Arial"/>
                <w:sz w:val="14"/>
                <w:szCs w:val="14"/>
                <w:b w:val="1"/>
                <w:bCs w:val="1"/>
                <w:color w:val="auto"/>
              </w:rPr>
              <w:t>September 30,</w:t>
            </w:r>
          </w:p>
        </w:tc>
        <w:tc>
          <w:tcPr>
            <w:tcW w:w="5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September 30,</w:t>
            </w:r>
          </w:p>
        </w:tc>
        <w:tc>
          <w:tcPr>
            <w:tcW w:w="540" w:type="dxa"/>
            <w:vAlign w:val="bottom"/>
            <w:tcBorders>
              <w:bottom w:val="single" w:sz="8" w:color="auto"/>
            </w:tcBorders>
          </w:tcPr>
          <w:p>
            <w:pPr>
              <w:spacing w:after="0"/>
              <w:rPr>
                <w:sz w:val="16"/>
                <w:szCs w:val="16"/>
                <w:color w:val="auto"/>
              </w:rPr>
            </w:pPr>
          </w:p>
        </w:tc>
      </w:tr>
      <w:tr>
        <w:trPr>
          <w:trHeight w:val="195"/>
        </w:trPr>
        <w:tc>
          <w:tcPr>
            <w:tcW w:w="4440" w:type="dxa"/>
            <w:vAlign w:val="bottom"/>
          </w:tcPr>
          <w:p>
            <w:pPr>
              <w:spacing w:after="0"/>
              <w:rPr>
                <w:sz w:val="16"/>
                <w:szCs w:val="16"/>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2025</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2024</w:t>
            </w: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540" w:type="dxa"/>
            <w:vAlign w:val="bottom"/>
            <w:tcBorders>
              <w:bottom w:val="single" w:sz="8" w:color="auto"/>
            </w:tcBorders>
          </w:tcPr>
          <w:p>
            <w:pPr>
              <w:spacing w:after="0"/>
              <w:rPr>
                <w:sz w:val="16"/>
                <w:szCs w:val="16"/>
                <w:color w:val="auto"/>
              </w:rPr>
            </w:pPr>
          </w:p>
        </w:tc>
      </w:tr>
      <w:tr>
        <w:trPr>
          <w:trHeight w:val="196"/>
        </w:trPr>
        <w:tc>
          <w:tcPr>
            <w:tcW w:w="44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60" w:type="dxa"/>
            <w:vAlign w:val="bottom"/>
            <w:gridSpan w:val="3"/>
          </w:tcPr>
          <w:p>
            <w:pPr>
              <w:jc w:val="right"/>
              <w:ind w:right="679"/>
              <w:spacing w:after="0"/>
              <w:rPr>
                <w:sz w:val="20"/>
                <w:szCs w:val="20"/>
                <w:color w:val="auto"/>
              </w:rPr>
            </w:pPr>
            <w:r>
              <w:rPr>
                <w:rFonts w:ascii="Arial" w:cs="Arial" w:eastAsia="Arial" w:hAnsi="Arial"/>
                <w:sz w:val="14"/>
                <w:szCs w:val="14"/>
                <w:b w:val="1"/>
                <w:bCs w:val="1"/>
                <w:color w:val="auto"/>
              </w:rPr>
              <w:t>(in millions)</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31"/>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1140" w:type="dxa"/>
            <w:vAlign w:val="bottom"/>
            <w:shd w:val="clear" w:color="auto" w:fill="CCEEFF"/>
          </w:tcPr>
          <w:p>
            <w:pPr>
              <w:jc w:val="right"/>
              <w:ind w:right="939"/>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819"/>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29"/>
        </w:trPr>
        <w:tc>
          <w:tcPr>
            <w:tcW w:w="444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1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30"/>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1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4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9"/>
              </w:rPr>
              <w:t>(106)</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r>
      <w:tr>
        <w:trPr>
          <w:trHeight w:val="230"/>
        </w:trPr>
        <w:tc>
          <w:tcPr>
            <w:tcW w:w="4440" w:type="dxa"/>
            <w:vAlign w:val="bottom"/>
          </w:tcPr>
          <w:p>
            <w:pPr>
              <w:ind w:left="20"/>
              <w:spacing w:after="0"/>
              <w:rPr>
                <w:sz w:val="20"/>
                <w:szCs w:val="20"/>
                <w:color w:val="auto"/>
              </w:rPr>
            </w:pPr>
            <w:r>
              <w:rPr>
                <w:rFonts w:ascii="Arial" w:cs="Arial" w:eastAsia="Arial" w:hAnsi="Arial"/>
                <w:sz w:val="18"/>
                <w:szCs w:val="18"/>
                <w:color w:val="auto"/>
              </w:rPr>
              <w:t>Amortization of net loss and prior service cost</w:t>
            </w:r>
          </w:p>
        </w:tc>
        <w:tc>
          <w:tcPr>
            <w:tcW w:w="114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29"/>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Settlement losses</w:t>
            </w:r>
          </w:p>
        </w:tc>
        <w:tc>
          <w:tcPr>
            <w:tcW w:w="11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440" w:type="dxa"/>
            <w:vAlign w:val="bottom"/>
          </w:tcPr>
          <w:p>
            <w:pPr>
              <w:ind w:left="120"/>
              <w:spacing w:after="0"/>
              <w:rPr>
                <w:sz w:val="20"/>
                <w:szCs w:val="20"/>
                <w:color w:val="auto"/>
              </w:rPr>
            </w:pPr>
            <w:r>
              <w:rPr>
                <w:rFonts w:ascii="Arial" w:cs="Arial" w:eastAsia="Arial" w:hAnsi="Arial"/>
                <w:sz w:val="18"/>
                <w:szCs w:val="18"/>
                <w:color w:val="auto"/>
              </w:rPr>
              <w:t>Net periodic pension (benefit)/cost</w:t>
            </w:r>
          </w:p>
        </w:tc>
        <w:tc>
          <w:tcPr>
            <w:tcW w:w="1140" w:type="dxa"/>
            <w:vAlign w:val="bottom"/>
            <w:tcBorders>
              <w:top w:val="single" w:sz="8" w:color="auto"/>
              <w:bottom w:val="single" w:sz="8" w:color="auto"/>
            </w:tcBorders>
          </w:tcPr>
          <w:p>
            <w:pPr>
              <w:jc w:val="right"/>
              <w:ind w:right="939"/>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ind w:right="836"/>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ind w:right="819"/>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ind w:right="836"/>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r>
      <w:tr>
        <w:trPr>
          <w:trHeight w:val="21"/>
        </w:trPr>
        <w:tc>
          <w:tcPr>
            <w:tcW w:w="44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r>
        <w:trPr>
          <w:trHeight w:val="330"/>
        </w:trPr>
        <w:tc>
          <w:tcPr>
            <w:tcW w:w="444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3"/>
          </w:tcPr>
          <w:p>
            <w:pPr>
              <w:jc w:val="center"/>
              <w:ind w:right="536"/>
              <w:spacing w:after="0"/>
              <w:rPr>
                <w:sz w:val="20"/>
                <w:szCs w:val="20"/>
                <w:color w:val="auto"/>
              </w:rPr>
            </w:pPr>
            <w:r>
              <w:rPr>
                <w:rFonts w:ascii="Arial" w:cs="Arial" w:eastAsia="Arial" w:hAnsi="Arial"/>
                <w:sz w:val="14"/>
                <w:szCs w:val="14"/>
                <w:b w:val="1"/>
                <w:bCs w:val="1"/>
                <w:color w:val="auto"/>
              </w:rPr>
              <w:t>U.S. Plans</w:t>
            </w:r>
          </w:p>
        </w:tc>
        <w:tc>
          <w:tcPr>
            <w:tcW w:w="5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Non-U.S. Plans</w:t>
            </w:r>
          </w:p>
        </w:tc>
        <w:tc>
          <w:tcPr>
            <w:tcW w:w="540" w:type="dxa"/>
            <w:vAlign w:val="bottom"/>
            <w:tcBorders>
              <w:bottom w:val="single" w:sz="8" w:color="auto"/>
            </w:tcBorders>
          </w:tcPr>
          <w:p>
            <w:pPr>
              <w:spacing w:after="0"/>
              <w:rPr>
                <w:sz w:val="24"/>
                <w:szCs w:val="24"/>
                <w:color w:val="auto"/>
              </w:rPr>
            </w:pPr>
          </w:p>
        </w:tc>
      </w:tr>
      <w:tr>
        <w:trPr>
          <w:trHeight w:val="147"/>
        </w:trPr>
        <w:tc>
          <w:tcPr>
            <w:tcW w:w="4440" w:type="dxa"/>
            <w:vAlign w:val="bottom"/>
          </w:tcPr>
          <w:p>
            <w:pPr>
              <w:spacing w:after="0"/>
              <w:rPr>
                <w:sz w:val="12"/>
                <w:szCs w:val="12"/>
                <w:color w:val="auto"/>
              </w:rPr>
            </w:pPr>
          </w:p>
        </w:tc>
        <w:tc>
          <w:tcPr>
            <w:tcW w:w="2900" w:type="dxa"/>
            <w:vAlign w:val="bottom"/>
            <w:gridSpan w:val="4"/>
          </w:tcPr>
          <w:p>
            <w:pPr>
              <w:jc w:val="center"/>
              <w:ind w:left="459"/>
              <w:spacing w:after="0" w:line="147" w:lineRule="exact"/>
              <w:rPr>
                <w:sz w:val="20"/>
                <w:szCs w:val="20"/>
                <w:color w:val="auto"/>
              </w:rPr>
            </w:pPr>
            <w:r>
              <w:rPr>
                <w:rFonts w:ascii="Arial" w:cs="Arial" w:eastAsia="Arial" w:hAnsi="Arial"/>
                <w:sz w:val="14"/>
                <w:szCs w:val="14"/>
                <w:b w:val="1"/>
                <w:bCs w:val="1"/>
                <w:color w:val="auto"/>
              </w:rPr>
              <w:t>For the Nine Months Ended</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700" w:type="dxa"/>
            <w:vAlign w:val="bottom"/>
            <w:gridSpan w:val="4"/>
          </w:tcPr>
          <w:p>
            <w:pPr>
              <w:jc w:val="right"/>
              <w:ind w:right="76"/>
              <w:spacing w:after="0" w:line="147" w:lineRule="exact"/>
              <w:rPr>
                <w:sz w:val="20"/>
                <w:szCs w:val="20"/>
                <w:color w:val="auto"/>
              </w:rPr>
            </w:pPr>
            <w:r>
              <w:rPr>
                <w:rFonts w:ascii="Arial" w:cs="Arial" w:eastAsia="Arial" w:hAnsi="Arial"/>
                <w:sz w:val="14"/>
                <w:szCs w:val="14"/>
                <w:b w:val="1"/>
                <w:bCs w:val="1"/>
                <w:color w:val="auto"/>
              </w:rPr>
              <w:t>For the Nine Months Ended</w:t>
            </w:r>
          </w:p>
        </w:tc>
        <w:tc>
          <w:tcPr>
            <w:tcW w:w="540" w:type="dxa"/>
            <w:vAlign w:val="bottom"/>
          </w:tcPr>
          <w:p>
            <w:pPr>
              <w:spacing w:after="0"/>
              <w:rPr>
                <w:sz w:val="12"/>
                <w:szCs w:val="12"/>
                <w:color w:val="auto"/>
              </w:rPr>
            </w:pPr>
          </w:p>
        </w:tc>
      </w:tr>
      <w:tr>
        <w:trPr>
          <w:trHeight w:val="185"/>
        </w:trPr>
        <w:tc>
          <w:tcPr>
            <w:tcW w:w="444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center"/>
              <w:ind w:right="536"/>
              <w:spacing w:after="0"/>
              <w:rPr>
                <w:sz w:val="20"/>
                <w:szCs w:val="20"/>
                <w:color w:val="auto"/>
              </w:rPr>
            </w:pPr>
            <w:r>
              <w:rPr>
                <w:rFonts w:ascii="Arial" w:cs="Arial" w:eastAsia="Arial" w:hAnsi="Arial"/>
                <w:sz w:val="14"/>
                <w:szCs w:val="14"/>
                <w:b w:val="1"/>
                <w:bCs w:val="1"/>
                <w:color w:val="auto"/>
              </w:rPr>
              <w:t>September 30,</w:t>
            </w:r>
          </w:p>
        </w:tc>
        <w:tc>
          <w:tcPr>
            <w:tcW w:w="5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September 30,</w:t>
            </w:r>
          </w:p>
        </w:tc>
        <w:tc>
          <w:tcPr>
            <w:tcW w:w="540" w:type="dxa"/>
            <w:vAlign w:val="bottom"/>
            <w:tcBorders>
              <w:bottom w:val="single" w:sz="8" w:color="auto"/>
            </w:tcBorders>
          </w:tcPr>
          <w:p>
            <w:pPr>
              <w:spacing w:after="0"/>
              <w:rPr>
                <w:sz w:val="16"/>
                <w:szCs w:val="16"/>
                <w:color w:val="auto"/>
              </w:rPr>
            </w:pPr>
          </w:p>
        </w:tc>
      </w:tr>
      <w:tr>
        <w:trPr>
          <w:trHeight w:val="195"/>
        </w:trPr>
        <w:tc>
          <w:tcPr>
            <w:tcW w:w="4440" w:type="dxa"/>
            <w:vAlign w:val="bottom"/>
          </w:tcPr>
          <w:p>
            <w:pPr>
              <w:spacing w:after="0"/>
              <w:rPr>
                <w:sz w:val="16"/>
                <w:szCs w:val="16"/>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2025</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2024</w:t>
            </w: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540" w:type="dxa"/>
            <w:vAlign w:val="bottom"/>
            <w:tcBorders>
              <w:bottom w:val="single" w:sz="8" w:color="auto"/>
            </w:tcBorders>
          </w:tcPr>
          <w:p>
            <w:pPr>
              <w:spacing w:after="0"/>
              <w:rPr>
                <w:sz w:val="16"/>
                <w:szCs w:val="16"/>
                <w:color w:val="auto"/>
              </w:rPr>
            </w:pPr>
          </w:p>
        </w:tc>
      </w:tr>
      <w:tr>
        <w:trPr>
          <w:trHeight w:val="196"/>
        </w:trPr>
        <w:tc>
          <w:tcPr>
            <w:tcW w:w="44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60" w:type="dxa"/>
            <w:vAlign w:val="bottom"/>
            <w:gridSpan w:val="3"/>
          </w:tcPr>
          <w:p>
            <w:pPr>
              <w:jc w:val="right"/>
              <w:ind w:right="679"/>
              <w:spacing w:after="0"/>
              <w:rPr>
                <w:sz w:val="20"/>
                <w:szCs w:val="20"/>
                <w:color w:val="auto"/>
              </w:rPr>
            </w:pPr>
            <w:r>
              <w:rPr>
                <w:rFonts w:ascii="Arial" w:cs="Arial" w:eastAsia="Arial" w:hAnsi="Arial"/>
                <w:sz w:val="14"/>
                <w:szCs w:val="14"/>
                <w:b w:val="1"/>
                <w:bCs w:val="1"/>
                <w:color w:val="auto"/>
              </w:rPr>
              <w:t>(in millions)</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30"/>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1140" w:type="dxa"/>
            <w:vAlign w:val="bottom"/>
            <w:shd w:val="clear" w:color="auto" w:fill="CCEEFF"/>
          </w:tcPr>
          <w:p>
            <w:pPr>
              <w:jc w:val="right"/>
              <w:ind w:right="939"/>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819"/>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30"/>
        </w:trPr>
        <w:tc>
          <w:tcPr>
            <w:tcW w:w="444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1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214</w:t>
            </w:r>
          </w:p>
        </w:tc>
      </w:tr>
      <w:tr>
        <w:trPr>
          <w:trHeight w:val="229"/>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1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4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9"/>
              </w:rPr>
              <w:t>(317)</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w:t>
            </w:r>
          </w:p>
        </w:tc>
      </w:tr>
      <w:tr>
        <w:trPr>
          <w:trHeight w:val="230"/>
        </w:trPr>
        <w:tc>
          <w:tcPr>
            <w:tcW w:w="4440" w:type="dxa"/>
            <w:vAlign w:val="bottom"/>
          </w:tcPr>
          <w:p>
            <w:pPr>
              <w:ind w:left="20"/>
              <w:spacing w:after="0"/>
              <w:rPr>
                <w:sz w:val="20"/>
                <w:szCs w:val="20"/>
                <w:color w:val="auto"/>
              </w:rPr>
            </w:pPr>
            <w:r>
              <w:rPr>
                <w:rFonts w:ascii="Arial" w:cs="Arial" w:eastAsia="Arial" w:hAnsi="Arial"/>
                <w:sz w:val="18"/>
                <w:szCs w:val="18"/>
                <w:color w:val="auto"/>
              </w:rPr>
              <w:t>Amortization of net loss and prior service cost</w:t>
            </w:r>
          </w:p>
        </w:tc>
        <w:tc>
          <w:tcPr>
            <w:tcW w:w="1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30"/>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Settlement losses</w:t>
            </w:r>
          </w:p>
        </w:tc>
        <w:tc>
          <w:tcPr>
            <w:tcW w:w="11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10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440" w:type="dxa"/>
            <w:vAlign w:val="bottom"/>
          </w:tcPr>
          <w:p>
            <w:pPr>
              <w:ind w:left="120"/>
              <w:spacing w:after="0"/>
              <w:rPr>
                <w:sz w:val="20"/>
                <w:szCs w:val="20"/>
                <w:color w:val="auto"/>
              </w:rPr>
            </w:pPr>
            <w:r>
              <w:rPr>
                <w:rFonts w:ascii="Arial" w:cs="Arial" w:eastAsia="Arial" w:hAnsi="Arial"/>
                <w:sz w:val="18"/>
                <w:szCs w:val="18"/>
                <w:color w:val="auto"/>
              </w:rPr>
              <w:t>Net periodic pension cost/(benefit)</w:t>
            </w:r>
          </w:p>
        </w:tc>
        <w:tc>
          <w:tcPr>
            <w:tcW w:w="1140" w:type="dxa"/>
            <w:vAlign w:val="bottom"/>
            <w:tcBorders>
              <w:bottom w:val="single" w:sz="8" w:color="auto"/>
            </w:tcBorders>
          </w:tcPr>
          <w:p>
            <w:pPr>
              <w:jc w:val="right"/>
              <w:ind w:right="939"/>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19"/>
                <w:szCs w:val="19"/>
                <w:color w:val="auto"/>
              </w:rPr>
            </w:pPr>
          </w:p>
        </w:tc>
        <w:tc>
          <w:tcPr>
            <w:tcW w:w="1040" w:type="dxa"/>
            <w:vAlign w:val="bottom"/>
            <w:tcBorders>
              <w:bottom w:val="single" w:sz="8" w:color="auto"/>
            </w:tcBorders>
          </w:tcPr>
          <w:p>
            <w:pPr>
              <w:jc w:val="right"/>
              <w:ind w:right="83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1020" w:type="dxa"/>
            <w:vAlign w:val="bottom"/>
            <w:tcBorders>
              <w:bottom w:val="single" w:sz="8" w:color="auto"/>
            </w:tcBorders>
          </w:tcPr>
          <w:p>
            <w:pPr>
              <w:jc w:val="right"/>
              <w:ind w:right="819"/>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1040" w:type="dxa"/>
            <w:vAlign w:val="bottom"/>
            <w:tcBorders>
              <w:bottom w:val="single" w:sz="8" w:color="auto"/>
            </w:tcBorders>
          </w:tcPr>
          <w:p>
            <w:pPr>
              <w:jc w:val="right"/>
              <w:ind w:right="83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r>
      <w:tr>
        <w:trPr>
          <w:trHeight w:val="20"/>
        </w:trPr>
        <w:tc>
          <w:tcPr>
            <w:tcW w:w="44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3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Employer Contributions</w:t>
      </w:r>
    </w:p>
    <w:p>
      <w:pPr>
        <w:spacing w:after="0" w:line="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During the nine months ended September 30, 2025, we contributed $2 million and $62 million to our U.S. and non-U.S. pension plans, respectively. We make contributions to our pension plans in accordance with local funding arrangements and statutory minimum funding requirements. Discretionary contributions are made to the extent that they are tax deductible and do not generate an excise tax liability.</w:t>
      </w:r>
    </w:p>
    <w:p>
      <w:pPr>
        <w:spacing w:after="0" w:line="20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of September 30, 2025, we plan to make further contributions of approximately $ 9 million to our U.S. plans and $6 million to our non-U.S. plans for the remainder of 2025. However, our actual contributions may be different due to many factors, including changes in tax and other benefit laws, significant differences between expected and actual pension asset performance or changes in interest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6845935</wp:posOffset>
            </wp:positionH>
            <wp:positionV relativeFrom="paragraph">
              <wp:posOffset>317500</wp:posOffset>
            </wp:positionV>
            <wp:extent cx="282575" cy="1885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287655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Mondelēz Global LLC Retirement Plan Settlement</w:t>
      </w:r>
    </w:p>
    <w:p>
      <w:pPr>
        <w:spacing w:after="0" w:line="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During the third quarter of 2024, we entered into agreements with two third-party insurance companies to purchase buy-in annuity contracts to cover the liabilities associated with the Mondelēz Global LLC Retirement Plan (“MDLZ Global Plan”), the pension plan for U.S. salaried employees. The agreements provided us with the option to elect a buy-out conversion, at which time full responsibility of the MDLZ Global Plan obligations would transfer to the insurance companies. On June 12, 2025 we elected the buy-out conversion and recognized a non-cash pre-tax settlement loss of $282 million as a component of our net periodic pension cost in the second quarter of 2025. That settlement loss is recorded within </w:t>
      </w:r>
      <w:r>
        <w:rPr>
          <w:rFonts w:ascii="Arial" w:cs="Arial" w:eastAsia="Arial" w:hAnsi="Arial"/>
          <w:sz w:val="18"/>
          <w:szCs w:val="18"/>
          <w:i w:val="1"/>
          <w:iCs w:val="1"/>
          <w:color w:val="auto"/>
        </w:rPr>
        <w:t>Benefit plan non-service (expense)/income</w:t>
      </w:r>
      <w:r>
        <w:rPr>
          <w:rFonts w:ascii="Arial" w:cs="Arial" w:eastAsia="Arial" w:hAnsi="Arial"/>
          <w:sz w:val="18"/>
          <w:szCs w:val="18"/>
          <w:color w:val="auto"/>
        </w:rPr>
        <w:t xml:space="preserve"> in the condensed consolidated statements of earnings.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Mondelez Canada Inc. - Trusteed Hourly Retirement Plan and Retirement Plan Settlement</w:t>
      </w:r>
    </w:p>
    <w:p>
      <w:pPr>
        <w:spacing w:after="0" w:line="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During the third quarter of 2025, we entered into an agreement with a third-party insurance company to buy-out the retiree participants' obligations of the Mondelez Canada Inc. Trusteed Hourly Retirement Plan and Mondelez Canada Inc. Retirement Plan (collectively, "Canadian Pension Plans"). On September 11, 2025 the obligations were transferred to the insurance company and we recognized a non-cash pre-tax settlement loss of $54 million as a component of our net periodic pension cost in the third quarter of 2025. That settlement loss is recorded within </w:t>
      </w:r>
      <w:r>
        <w:rPr>
          <w:rFonts w:ascii="Arial" w:cs="Arial" w:eastAsia="Arial" w:hAnsi="Arial"/>
          <w:sz w:val="18"/>
          <w:szCs w:val="18"/>
          <w:i w:val="1"/>
          <w:iCs w:val="1"/>
          <w:color w:val="auto"/>
        </w:rPr>
        <w:t>Benefit plan non-service (expense)/income</w:t>
      </w:r>
      <w:r>
        <w:rPr>
          <w:rFonts w:ascii="Arial" w:cs="Arial" w:eastAsia="Arial" w:hAnsi="Arial"/>
          <w:sz w:val="18"/>
          <w:szCs w:val="18"/>
          <w:color w:val="auto"/>
        </w:rPr>
        <w:t xml:space="preserve"> in the condensed consolidated statements of earnings.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Multiemployer Pension Plans</w:t>
      </w:r>
    </w:p>
    <w:p>
      <w:pPr>
        <w:spacing w:after="0" w:line="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On July 11, 2019, we received a withdrawal liability assessment from the Bakery and Confectionery Union and the Industry International Pension Fund requiring pro-rata monthly payments over 20 years and we recorded a discounted liability of $491 million at that time. In connection with the discounted long-term liability, we recorded accreted interest of $2 million for both the three months ended September 30, 2025 and 2024 and $7 million for both the nine months ended September 30, 2025 and 2024 within </w:t>
      </w:r>
      <w:r>
        <w:rPr>
          <w:rFonts w:ascii="Arial" w:cs="Arial" w:eastAsia="Arial" w:hAnsi="Arial"/>
          <w:sz w:val="18"/>
          <w:szCs w:val="18"/>
          <w:i w:val="1"/>
          <w:iCs w:val="1"/>
          <w:color w:val="auto"/>
        </w:rPr>
        <w:t>Interest and other expense, net</w:t>
      </w:r>
      <w:r>
        <w:rPr>
          <w:rFonts w:ascii="Arial" w:cs="Arial" w:eastAsia="Arial" w:hAnsi="Arial"/>
          <w:sz w:val="18"/>
          <w:szCs w:val="18"/>
          <w:color w:val="auto"/>
        </w:rPr>
        <w:t xml:space="preserve"> in the condensed consolidated statements of earnings. As of September 30, 2025, the remaining discounted withdrawal liability was $298 million, with $16 million recorded in </w:t>
      </w:r>
      <w:r>
        <w:rPr>
          <w:rFonts w:ascii="Arial" w:cs="Arial" w:eastAsia="Arial" w:hAnsi="Arial"/>
          <w:sz w:val="18"/>
          <w:szCs w:val="18"/>
          <w:i w:val="1"/>
          <w:iCs w:val="1"/>
          <w:color w:val="auto"/>
        </w:rPr>
        <w:t>Other current liabilities</w:t>
      </w:r>
      <w:r>
        <w:rPr>
          <w:rFonts w:ascii="Arial" w:cs="Arial" w:eastAsia="Arial" w:hAnsi="Arial"/>
          <w:sz w:val="18"/>
          <w:szCs w:val="18"/>
          <w:color w:val="auto"/>
        </w:rPr>
        <w:t xml:space="preserve"> and $282 million recorded in </w:t>
      </w:r>
      <w:r>
        <w:rPr>
          <w:rFonts w:ascii="Arial" w:cs="Arial" w:eastAsia="Arial" w:hAnsi="Arial"/>
          <w:sz w:val="18"/>
          <w:szCs w:val="18"/>
          <w:i w:val="1"/>
          <w:iCs w:val="1"/>
          <w:color w:val="auto"/>
        </w:rPr>
        <w:t>Other liabilities</w:t>
      </w:r>
      <w:r>
        <w:rPr>
          <w:rFonts w:ascii="Arial" w:cs="Arial" w:eastAsia="Arial" w:hAnsi="Arial"/>
          <w:sz w:val="18"/>
          <w:szCs w:val="18"/>
          <w:color w:val="auto"/>
        </w:rPr>
        <w:t xml:space="preserve"> in the condensed consolidated balance sheets.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Postretirement and Postemployment Benefit Plans</w:t>
      </w:r>
    </w:p>
    <w:p>
      <w:pPr>
        <w:spacing w:after="0" w:line="2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net periodic postretirement benefit was $ 3 million for both the three months ended September 30, 2025 and 2024, and $9 million and $8 million for the nine months ended September 30, 2025 and 2024, respectively. The net periodic postemployment cost was $ 5 million for both the three months ended September 30, 2025 and 2024 and $16 million for both the nine months ended September 30,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6845935</wp:posOffset>
            </wp:positionH>
            <wp:positionV relativeFrom="paragraph">
              <wp:posOffset>168275</wp:posOffset>
            </wp:positionV>
            <wp:extent cx="282575" cy="1885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287655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Commitments and Contingencies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w:t>
      </w:r>
    </w:p>
    <w:p>
      <w:pPr>
        <w:spacing w:after="0" w:line="2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routinely are involved in various pending or threatened legal proceedings, claims, disputes, regulatory matters and governmental inquiries, inspections or investigations arising in the ordinary course of or incidental to our business, including those noted below in this section. We record provisions in the consolidated financial statements for pending legal matters when we determine that an unfavorable outcome is probable, and the amount of the loss can be reasonably estimated. For matters we have not provided for that are reasonably possible to result in an unfavorable outcome, management is unable to estimate the possible loss or range of loss or such amounts have been determined to be immaterial. At present we believe that the ultimate outcome of these legal proceedings and regulatory and governmental matters, individually and in the aggregate, will not materially harm our financial position, results of operations or cash flows. However, legal proceedings and regulatory and governmental matters are subject to inherent uncertainties, and unfavorable rulings or other events could occur. Unfavorable resolutions could involve substantial fines, civil or criminal penalties, and other expenditures. In addition, in matters for which conduct remedies are sought, unfavorable resolutions could include an injunction or other order prohibiting us from selling one or more products at all or in particular ways, precluding particular business practices or requiring other equitable remedies. An unfavorable outcome might result in a material adverse impact on our business, results of operations or financial position.</w:t>
      </w:r>
    </w:p>
    <w:p>
      <w:pPr>
        <w:spacing w:after="0" w:line="21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April 1, 2015, the U.S. Commodity Futures Trading Commission ("CFTC") filed a complaint against Kraft Foods Group and Mondelēz Global LLC (“Mondelēz Global”) in the U.S. District Court for the Northern District of Illinois (the "District Court") related to the trading of December 2011 wheat futures contracts that occurred prior to the spin-off of Kraft Foods Group. The complaint alleged that Mondelēz Global:</w:t>
      </w:r>
    </w:p>
    <w:p>
      <w:pPr>
        <w:spacing w:after="0" w:line="1" w:lineRule="exact"/>
        <w:rPr>
          <w:sz w:val="20"/>
          <w:szCs w:val="20"/>
          <w:color w:val="auto"/>
        </w:rPr>
      </w:pPr>
    </w:p>
    <w:p>
      <w:pPr>
        <w:ind w:left="280" w:hanging="272"/>
        <w:spacing w:after="0"/>
        <w:tabs>
          <w:tab w:leader="none" w:pos="28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manipulated or attempted to manipulate the wheat markets during the fall of 2011; (2) violated position limit levels for wheat futures; and</w:t>
      </w:r>
    </w:p>
    <w:p>
      <w:pPr>
        <w:spacing w:after="0" w:line="9" w:lineRule="exact"/>
        <w:rPr>
          <w:rFonts w:ascii="Arial" w:cs="Arial" w:eastAsia="Arial" w:hAnsi="Arial"/>
          <w:sz w:val="18"/>
          <w:szCs w:val="18"/>
          <w:color w:val="auto"/>
        </w:rPr>
      </w:pPr>
    </w:p>
    <w:p>
      <w:pPr>
        <w:jc w:val="both"/>
        <w:ind w:firstLine="8"/>
        <w:spacing w:after="0" w:line="252" w:lineRule="auto"/>
        <w:tabs>
          <w:tab w:leader="none" w:pos="303" w:val="left"/>
        </w:tabs>
        <w:numPr>
          <w:ilvl w:val="0"/>
          <w:numId w:val="7"/>
        </w:numPr>
        <w:rPr>
          <w:rFonts w:ascii="Arial" w:cs="Arial" w:eastAsia="Arial" w:hAnsi="Arial"/>
          <w:sz w:val="18"/>
          <w:szCs w:val="18"/>
          <w:color w:val="auto"/>
        </w:rPr>
      </w:pPr>
      <w:r>
        <w:rPr>
          <w:rFonts w:ascii="Arial" w:cs="Arial" w:eastAsia="Arial" w:hAnsi="Arial"/>
          <w:sz w:val="18"/>
          <w:szCs w:val="18"/>
          <w:color w:val="auto"/>
        </w:rPr>
        <w:t>engaged in non-competitive trades. On May 13, 2022, the District Court approved a settlement agreement between the CFTC and Mondelēz Global. The terms of the settlement, which are available in the District Court’s docket, had an immaterial impact on our financial position, results of operations and cash flows and did not include an admission by Mondelēz Global. Several class action complaints also were filed against Mondelēz Global in the District Court by investors who copied and expanded upon the CFTC allegations in a series of private claims for monetary damages as well as injunctive, declaratory, and other unspecified relief. In June 2015, these suits were consolidated in the United States District Court for the Northern District of Illinois as case number 15-cv-2937, Harry Ploss et al. v. Kraft Foods Group, Inc. and Mondelēz Global LLC. On January 3, 2020, the District Court granted plaintiffs' request to certify a class. In November 2022, the District Court adjourned the trial date it had previously set for November 30, 2022 and ordered the parties to brief Kraft’s motions to decertify the class and for summary judgment, which has been completed. It is not possible to predict the outcome of these matters; however, based on our Separation and Distribution Agreement with Kraft Foods Group dated as of September 27, 2012, we expect to bear any monetary penalties or other payments in connection with the class action.</w:t>
      </w:r>
    </w:p>
    <w:p>
      <w:pPr>
        <w:spacing w:after="0" w:line="21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previously disclosed, in November 2019, the European Commission informed us that it initiated an investigation into our alleged infringement of European Union competition law through certain practices allegedly restricting cross-border trade within the European Economic Area. In the second quarter of 2024, we reached a negotiated resolution in this matter. At that time, we had accrued on a pre-tax basis, a liability of €337.5 million ($376 million). Pursuant to the terms of the agreed settlement, we fulfilled our payment obligation in August 2024. We do not anticipate any modification of our business practices and agreements that would have a material impact on our ongoing business operations within the European Union.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Third-Party Guarantees</w:t>
      </w:r>
    </w:p>
    <w:p>
      <w:pPr>
        <w:spacing w:after="0" w:line="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enter into third-party guarantees primarily to cover long-term obligations of our vendors. As part of these transactions, we guarantee that third parties will make contractual payments or achieve performance measures. As of September 30, 2025 and December 31, 2024, we had no material third-party guarantees recorded on our condensed consolidated balance sheets.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Matters</w:t>
      </w:r>
    </w:p>
    <w:p>
      <w:pPr>
        <w:spacing w:after="0" w:line="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are a party to various tax matter proceedings incidental to our business. These proceedings are subject to inherent uncertainties, and unfavorable outcomes could subject us to additional tax liabilities and could materially adversely impact our business, results of operations or financial 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6845935</wp:posOffset>
            </wp:positionH>
            <wp:positionV relativeFrom="paragraph">
              <wp:posOffset>168275</wp:posOffset>
            </wp:positionV>
            <wp:extent cx="282575" cy="1885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287655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Shareholders' Equity</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Compensation Plans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Stock Options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Stock option activity is reflected below:</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Weighted-</w:t>
            </w:r>
          </w:p>
        </w:tc>
        <w:tc>
          <w:tcPr>
            <w:tcW w:w="14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Average</w:t>
            </w: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7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Average</w:t>
            </w:r>
          </w:p>
        </w:tc>
        <w:tc>
          <w:tcPr>
            <w:tcW w:w="1480" w:type="dxa"/>
            <w:vAlign w:val="bottom"/>
            <w:gridSpan w:val="2"/>
            <w:vMerge w:val="continue"/>
          </w:tcPr>
          <w:p>
            <w:pPr>
              <w:spacing w:after="0"/>
              <w:rPr>
                <w:sz w:val="11"/>
                <w:szCs w:val="11"/>
                <w:color w:val="auto"/>
              </w:rPr>
            </w:pPr>
          </w:p>
        </w:tc>
        <w:tc>
          <w:tcPr>
            <w:tcW w:w="360" w:type="dxa"/>
            <w:vAlign w:val="bottom"/>
          </w:tcPr>
          <w:p>
            <w:pPr>
              <w:spacing w:after="0"/>
              <w:rPr>
                <w:sz w:val="11"/>
                <w:szCs w:val="11"/>
                <w:color w:val="auto"/>
              </w:rPr>
            </w:pPr>
          </w:p>
        </w:tc>
        <w:tc>
          <w:tcPr>
            <w:tcW w:w="980" w:type="dxa"/>
            <w:vAlign w:val="bottom"/>
            <w:vMerge w:val="restart"/>
          </w:tcPr>
          <w:p>
            <w:pPr>
              <w:jc w:val="center"/>
              <w:ind w:left="119"/>
              <w:spacing w:after="0"/>
              <w:rPr>
                <w:sz w:val="20"/>
                <w:szCs w:val="20"/>
                <w:color w:val="auto"/>
              </w:rPr>
            </w:pPr>
            <w:r>
              <w:rPr>
                <w:rFonts w:ascii="Arial" w:cs="Arial" w:eastAsia="Arial" w:hAnsi="Arial"/>
                <w:sz w:val="14"/>
                <w:szCs w:val="14"/>
                <w:b w:val="1"/>
                <w:bCs w:val="1"/>
                <w:color w:val="auto"/>
              </w:rPr>
              <w:t>Aggregate</w:t>
            </w: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740" w:type="dxa"/>
            <w:vAlign w:val="bottom"/>
          </w:tcPr>
          <w:p>
            <w:pPr>
              <w:spacing w:after="0"/>
              <w:rPr>
                <w:sz w:val="12"/>
                <w:szCs w:val="12"/>
                <w:color w:val="auto"/>
              </w:rPr>
            </w:pPr>
          </w:p>
        </w:tc>
        <w:tc>
          <w:tcPr>
            <w:tcW w:w="1400" w:type="dxa"/>
            <w:vAlign w:val="bottom"/>
            <w:vMerge w:val="restart"/>
          </w:tcPr>
          <w:p>
            <w:pPr>
              <w:jc w:val="right"/>
              <w:ind w:right="95"/>
              <w:spacing w:after="0"/>
              <w:rPr>
                <w:sz w:val="20"/>
                <w:szCs w:val="20"/>
                <w:color w:val="auto"/>
              </w:rPr>
            </w:pPr>
            <w:r>
              <w:rPr>
                <w:rFonts w:ascii="Arial" w:cs="Arial" w:eastAsia="Arial" w:hAnsi="Arial"/>
                <w:sz w:val="14"/>
                <w:szCs w:val="14"/>
                <w:b w:val="1"/>
                <w:bCs w:val="1"/>
                <w:color w:val="auto"/>
              </w:rPr>
              <w:t>Shares Subject</w:t>
            </w:r>
          </w:p>
        </w:tc>
        <w:tc>
          <w:tcPr>
            <w:tcW w:w="100" w:type="dxa"/>
            <w:vAlign w:val="bottom"/>
          </w:tcPr>
          <w:p>
            <w:pPr>
              <w:spacing w:after="0"/>
              <w:rPr>
                <w:sz w:val="12"/>
                <w:szCs w:val="12"/>
                <w:color w:val="auto"/>
              </w:rPr>
            </w:pPr>
          </w:p>
        </w:tc>
        <w:tc>
          <w:tcPr>
            <w:tcW w:w="15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Exercise or</w:t>
            </w:r>
          </w:p>
        </w:tc>
        <w:tc>
          <w:tcPr>
            <w:tcW w:w="14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Remaining</w:t>
            </w:r>
          </w:p>
        </w:tc>
        <w:tc>
          <w:tcPr>
            <w:tcW w:w="36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4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Grant Price</w:t>
            </w:r>
          </w:p>
        </w:tc>
        <w:tc>
          <w:tcPr>
            <w:tcW w:w="14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Contractual</w:t>
            </w:r>
          </w:p>
        </w:tc>
        <w:tc>
          <w:tcPr>
            <w:tcW w:w="360" w:type="dxa"/>
            <w:vAlign w:val="bottom"/>
          </w:tcPr>
          <w:p>
            <w:pPr>
              <w:spacing w:after="0"/>
              <w:rPr>
                <w:sz w:val="12"/>
                <w:szCs w:val="12"/>
                <w:color w:val="auto"/>
              </w:rPr>
            </w:pPr>
          </w:p>
        </w:tc>
        <w:tc>
          <w:tcPr>
            <w:tcW w:w="980" w:type="dxa"/>
            <w:vAlign w:val="bottom"/>
          </w:tcPr>
          <w:p>
            <w:pPr>
              <w:jc w:val="center"/>
              <w:ind w:left="99"/>
              <w:spacing w:after="0" w:line="149" w:lineRule="exact"/>
              <w:rPr>
                <w:sz w:val="20"/>
                <w:szCs w:val="20"/>
                <w:color w:val="auto"/>
              </w:rPr>
            </w:pPr>
            <w:r>
              <w:rPr>
                <w:rFonts w:ascii="Arial" w:cs="Arial" w:eastAsia="Arial" w:hAnsi="Arial"/>
                <w:sz w:val="14"/>
                <w:szCs w:val="14"/>
                <w:b w:val="1"/>
                <w:bCs w:val="1"/>
                <w:color w:val="auto"/>
              </w:rPr>
              <w:t>Intrinsic</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740" w:type="dxa"/>
            <w:vAlign w:val="bottom"/>
          </w:tcPr>
          <w:p>
            <w:pPr>
              <w:spacing w:after="0"/>
              <w:rPr>
                <w:sz w:val="16"/>
                <w:szCs w:val="16"/>
                <w:color w:val="auto"/>
              </w:rPr>
            </w:pPr>
          </w:p>
        </w:tc>
        <w:tc>
          <w:tcPr>
            <w:tcW w:w="1400" w:type="dxa"/>
            <w:vAlign w:val="bottom"/>
          </w:tcPr>
          <w:p>
            <w:pPr>
              <w:jc w:val="right"/>
              <w:ind w:right="295"/>
              <w:spacing w:after="0"/>
              <w:rPr>
                <w:sz w:val="20"/>
                <w:szCs w:val="20"/>
                <w:color w:val="auto"/>
              </w:rPr>
            </w:pPr>
            <w:r>
              <w:rPr>
                <w:rFonts w:ascii="Arial" w:cs="Arial" w:eastAsia="Arial" w:hAnsi="Arial"/>
                <w:sz w:val="14"/>
                <w:szCs w:val="14"/>
                <w:b w:val="1"/>
                <w:bCs w:val="1"/>
                <w:color w:val="auto"/>
              </w:rPr>
              <w:t>to Option</w:t>
            </w:r>
          </w:p>
        </w:tc>
        <w:tc>
          <w:tcPr>
            <w:tcW w:w="100" w:type="dxa"/>
            <w:vAlign w:val="bottom"/>
          </w:tcPr>
          <w:p>
            <w:pPr>
              <w:spacing w:after="0"/>
              <w:rPr>
                <w:sz w:val="16"/>
                <w:szCs w:val="16"/>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Per Share</w:t>
            </w:r>
          </w:p>
        </w:tc>
        <w:tc>
          <w:tcPr>
            <w:tcW w:w="1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Term</w:t>
            </w:r>
          </w:p>
        </w:tc>
        <w:tc>
          <w:tcPr>
            <w:tcW w:w="360" w:type="dxa"/>
            <w:vAlign w:val="bottom"/>
          </w:tcPr>
          <w:p>
            <w:pPr>
              <w:spacing w:after="0"/>
              <w:rPr>
                <w:sz w:val="16"/>
                <w:szCs w:val="16"/>
                <w:color w:val="auto"/>
              </w:rPr>
            </w:pPr>
          </w:p>
        </w:tc>
        <w:tc>
          <w:tcPr>
            <w:tcW w:w="980" w:type="dxa"/>
            <w:vAlign w:val="bottom"/>
          </w:tcPr>
          <w:p>
            <w:pPr>
              <w:jc w:val="center"/>
              <w:ind w:left="119"/>
              <w:spacing w:after="0"/>
              <w:rPr>
                <w:sz w:val="20"/>
                <w:szCs w:val="20"/>
                <w:color w:val="auto"/>
              </w:rPr>
            </w:pPr>
            <w:r>
              <w:rPr>
                <w:rFonts w:ascii="Arial" w:cs="Arial" w:eastAsia="Arial" w:hAnsi="Arial"/>
                <w:sz w:val="14"/>
                <w:szCs w:val="14"/>
                <w:b w:val="1"/>
                <w:bCs w:val="1"/>
                <w:color w:val="auto"/>
              </w:rPr>
              <w:t>Value</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January 1, 2025</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16,479,169</w:t>
            </w:r>
          </w:p>
        </w:tc>
        <w:tc>
          <w:tcPr>
            <w:tcW w:w="10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8"/>
              </w:rPr>
              <w:t>$54.51</w:t>
            </w:r>
          </w:p>
        </w:tc>
        <w:tc>
          <w:tcPr>
            <w:tcW w:w="12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5 years</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56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97"/>
              </w:rPr>
              <w:t>million</w:t>
            </w:r>
          </w:p>
        </w:tc>
        <w:tc>
          <w:tcPr>
            <w:tcW w:w="0" w:type="dxa"/>
            <w:vAlign w:val="bottom"/>
          </w:tcPr>
          <w:p>
            <w:pPr>
              <w:spacing w:after="0"/>
              <w:rPr>
                <w:sz w:val="1"/>
                <w:szCs w:val="1"/>
                <w:color w:val="auto"/>
              </w:rPr>
            </w:pPr>
          </w:p>
        </w:tc>
      </w:tr>
      <w:tr>
        <w:trPr>
          <w:trHeight w:val="229"/>
        </w:trPr>
        <w:tc>
          <w:tcPr>
            <w:tcW w:w="4740" w:type="dxa"/>
            <w:vAlign w:val="bottom"/>
          </w:tcPr>
          <w:p>
            <w:pPr>
              <w:ind w:left="20"/>
              <w:spacing w:after="0"/>
              <w:rPr>
                <w:sz w:val="20"/>
                <w:szCs w:val="20"/>
                <w:color w:val="auto"/>
              </w:rPr>
            </w:pPr>
            <w:r>
              <w:rPr>
                <w:rFonts w:ascii="Arial" w:cs="Arial" w:eastAsia="Arial" w:hAnsi="Arial"/>
                <w:sz w:val="18"/>
                <w:szCs w:val="18"/>
                <w:color w:val="auto"/>
              </w:rPr>
              <w:t>Granted</w:t>
            </w:r>
          </w:p>
        </w:tc>
        <w:tc>
          <w:tcPr>
            <w:tcW w:w="1400" w:type="dxa"/>
            <w:vAlign w:val="bottom"/>
          </w:tcPr>
          <w:p>
            <w:pPr>
              <w:jc w:val="right"/>
              <w:spacing w:after="0"/>
              <w:rPr>
                <w:sz w:val="20"/>
                <w:szCs w:val="20"/>
                <w:color w:val="auto"/>
              </w:rPr>
            </w:pPr>
            <w:r>
              <w:rPr>
                <w:rFonts w:ascii="Arial" w:cs="Arial" w:eastAsia="Arial" w:hAnsi="Arial"/>
                <w:sz w:val="18"/>
                <w:szCs w:val="18"/>
                <w:color w:val="auto"/>
              </w:rPr>
              <w:t>2,018,200</w:t>
            </w:r>
          </w:p>
        </w:tc>
        <w:tc>
          <w:tcPr>
            <w:tcW w:w="1560" w:type="dxa"/>
            <w:vAlign w:val="bottom"/>
            <w:gridSpan w:val="2"/>
          </w:tcPr>
          <w:p>
            <w:pPr>
              <w:jc w:val="center"/>
              <w:ind w:left="10"/>
              <w:spacing w:after="0"/>
              <w:rPr>
                <w:sz w:val="20"/>
                <w:szCs w:val="20"/>
                <w:color w:val="auto"/>
              </w:rPr>
            </w:pPr>
            <w:r>
              <w:rPr>
                <w:rFonts w:ascii="Arial" w:cs="Arial" w:eastAsia="Arial" w:hAnsi="Arial"/>
                <w:sz w:val="18"/>
                <w:szCs w:val="18"/>
                <w:color w:val="auto"/>
              </w:rPr>
              <w:t>65.13</w:t>
            </w: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Exercised </w:t>
            </w:r>
            <w:r>
              <w:rPr>
                <w:rFonts w:ascii="Arial" w:cs="Arial" w:eastAsia="Arial" w:hAnsi="Arial"/>
                <w:sz w:val="23"/>
                <w:szCs w:val="23"/>
                <w:color w:val="auto"/>
                <w:vertAlign w:val="superscript"/>
              </w:rPr>
              <w:t>(1)</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(2,039,161)</w:t>
            </w:r>
          </w:p>
        </w:tc>
        <w:tc>
          <w:tcPr>
            <w:tcW w:w="156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rPr>
              <w:t>42.53</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5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million</w:t>
            </w:r>
          </w:p>
        </w:tc>
        <w:tc>
          <w:tcPr>
            <w:tcW w:w="0" w:type="dxa"/>
            <w:vAlign w:val="bottom"/>
          </w:tcPr>
          <w:p>
            <w:pPr>
              <w:spacing w:after="0"/>
              <w:rPr>
                <w:sz w:val="1"/>
                <w:szCs w:val="1"/>
                <w:color w:val="auto"/>
              </w:rPr>
            </w:pPr>
          </w:p>
        </w:tc>
      </w:tr>
      <w:tr>
        <w:trPr>
          <w:trHeight w:val="230"/>
        </w:trPr>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Canceled</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(376,116)</w:t>
            </w:r>
          </w:p>
        </w:tc>
        <w:tc>
          <w:tcPr>
            <w:tcW w:w="1560" w:type="dxa"/>
            <w:vAlign w:val="bottom"/>
            <w:tcBorders>
              <w:bottom w:val="single" w:sz="8" w:color="CCEEFF"/>
            </w:tcBorders>
            <w:gridSpan w:val="2"/>
          </w:tcPr>
          <w:p>
            <w:pPr>
              <w:jc w:val="center"/>
              <w:ind w:left="10"/>
              <w:spacing w:after="0"/>
              <w:rPr>
                <w:sz w:val="20"/>
                <w:szCs w:val="20"/>
                <w:color w:val="auto"/>
              </w:rPr>
            </w:pPr>
            <w:r>
              <w:rPr>
                <w:rFonts w:ascii="Arial" w:cs="Arial" w:eastAsia="Arial" w:hAnsi="Arial"/>
                <w:sz w:val="18"/>
                <w:szCs w:val="18"/>
                <w:color w:val="auto"/>
              </w:rPr>
              <w:t>67.23</w:t>
            </w:r>
          </w:p>
        </w:tc>
        <w:tc>
          <w:tcPr>
            <w:tcW w:w="12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5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September 30, 2025</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16,082,092</w:t>
            </w:r>
          </w:p>
        </w:tc>
        <w:tc>
          <w:tcPr>
            <w:tcW w:w="15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rPr>
              <w:t>57.06</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5 years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7"/>
              </w:rPr>
              <w:t>million</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340" w:right="20" w:hanging="332"/>
        <w:spacing w:after="0" w:line="305" w:lineRule="auto"/>
        <w:tabs>
          <w:tab w:leader="none" w:pos="327" w:val="left"/>
        </w:tabs>
        <w:numPr>
          <w:ilvl w:val="0"/>
          <w:numId w:val="8"/>
        </w:numPr>
        <w:rPr>
          <w:rFonts w:ascii="Arial" w:cs="Arial" w:eastAsia="Arial" w:hAnsi="Arial"/>
          <w:sz w:val="14"/>
          <w:szCs w:val="14"/>
          <w:color w:val="auto"/>
        </w:rPr>
      </w:pPr>
      <w:r>
        <w:rPr>
          <w:rFonts w:ascii="Arial" w:cs="Arial" w:eastAsia="Arial" w:hAnsi="Arial"/>
          <w:sz w:val="14"/>
          <w:szCs w:val="14"/>
          <w:color w:val="auto"/>
        </w:rPr>
        <w:t>Cash received from options exercised was $14 million and $85 million in the three and nine months ended September 30, 2025, respectively. The excess income tax benefit from stock option exercises was $2 million and $7 million in the three and nine months ended September 30, 2025, respectively.</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Performance Share Units and Other Stock-Based Awards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Our performance share unit ("PSU") and deferred stock unit ("DSU") activity is reflected below:</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1960" w:type="dxa"/>
            <w:vAlign w:val="bottom"/>
            <w:vMerge w:val="restart"/>
          </w:tcPr>
          <w:p>
            <w:pPr>
              <w:jc w:val="right"/>
              <w:ind w:right="614"/>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4"/>
                <w:szCs w:val="14"/>
                <w:color w:val="auto"/>
              </w:rPr>
            </w:pPr>
          </w:p>
        </w:tc>
        <w:tc>
          <w:tcPr>
            <w:tcW w:w="2340" w:type="dxa"/>
            <w:vAlign w:val="bottom"/>
            <w:gridSpan w:val="4"/>
          </w:tcPr>
          <w:p>
            <w:pPr>
              <w:jc w:val="right"/>
              <w:ind w:right="760"/>
              <w:spacing w:after="0"/>
              <w:rPr>
                <w:sz w:val="20"/>
                <w:szCs w:val="20"/>
                <w:color w:val="auto"/>
              </w:rPr>
            </w:pPr>
            <w:r>
              <w:rPr>
                <w:rFonts w:ascii="Arial" w:cs="Arial" w:eastAsia="Arial" w:hAnsi="Arial"/>
                <w:sz w:val="14"/>
                <w:szCs w:val="14"/>
                <w:b w:val="1"/>
                <w:bCs w:val="1"/>
                <w:color w:val="auto"/>
              </w:rPr>
              <w:t>Weighted-Average</w:t>
            </w:r>
          </w:p>
        </w:tc>
        <w:tc>
          <w:tcPr>
            <w:tcW w:w="1460" w:type="dxa"/>
            <w:vAlign w:val="bottom"/>
          </w:tcPr>
          <w:p>
            <w:pPr>
              <w:jc w:val="center"/>
              <w:ind w:left="141"/>
              <w:spacing w:after="0"/>
              <w:rPr>
                <w:sz w:val="20"/>
                <w:szCs w:val="20"/>
                <w:color w:val="auto"/>
              </w:rPr>
            </w:pPr>
            <w:r>
              <w:rPr>
                <w:rFonts w:ascii="Arial" w:cs="Arial" w:eastAsia="Arial" w:hAnsi="Arial"/>
                <w:sz w:val="14"/>
                <w:szCs w:val="14"/>
                <w:b w:val="1"/>
                <w:bCs w:val="1"/>
                <w:color w:val="auto"/>
              </w:rPr>
              <w:t>Weighted-Average</w:t>
            </w: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820" w:type="dxa"/>
            <w:vAlign w:val="bottom"/>
          </w:tcPr>
          <w:p>
            <w:pPr>
              <w:spacing w:after="0"/>
              <w:rPr>
                <w:sz w:val="12"/>
                <w:szCs w:val="12"/>
                <w:color w:val="auto"/>
              </w:rPr>
            </w:pPr>
          </w:p>
        </w:tc>
        <w:tc>
          <w:tcPr>
            <w:tcW w:w="19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340" w:type="dxa"/>
            <w:vAlign w:val="bottom"/>
            <w:gridSpan w:val="4"/>
          </w:tcPr>
          <w:p>
            <w:pPr>
              <w:jc w:val="right"/>
              <w:ind w:right="1040"/>
              <w:spacing w:after="0" w:line="149" w:lineRule="exact"/>
              <w:rPr>
                <w:sz w:val="20"/>
                <w:szCs w:val="20"/>
                <w:color w:val="auto"/>
              </w:rPr>
            </w:pPr>
            <w:r>
              <w:rPr>
                <w:rFonts w:ascii="Arial" w:cs="Arial" w:eastAsia="Arial" w:hAnsi="Arial"/>
                <w:sz w:val="14"/>
                <w:szCs w:val="14"/>
                <w:b w:val="1"/>
                <w:bCs w:val="1"/>
                <w:color w:val="auto"/>
              </w:rPr>
              <w:t>Fair Value</w:t>
            </w:r>
          </w:p>
        </w:tc>
        <w:tc>
          <w:tcPr>
            <w:tcW w:w="1460" w:type="dxa"/>
            <w:vAlign w:val="bottom"/>
          </w:tcPr>
          <w:p>
            <w:pPr>
              <w:jc w:val="center"/>
              <w:ind w:left="141"/>
              <w:spacing w:after="0" w:line="149" w:lineRule="exact"/>
              <w:rPr>
                <w:sz w:val="20"/>
                <w:szCs w:val="20"/>
                <w:color w:val="auto"/>
              </w:rPr>
            </w:pPr>
            <w:r>
              <w:rPr>
                <w:rFonts w:ascii="Arial" w:cs="Arial" w:eastAsia="Arial" w:hAnsi="Arial"/>
                <w:sz w:val="14"/>
                <w:szCs w:val="14"/>
                <w:b w:val="1"/>
                <w:bCs w:val="1"/>
                <w:color w:val="auto"/>
              </w:rPr>
              <w:t>Aggregate</w:t>
            </w: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820" w:type="dxa"/>
            <w:vAlign w:val="bottom"/>
            <w:tcBorders>
              <w:bottom w:val="single" w:sz="8" w:color="CCEEFF"/>
            </w:tcBorders>
          </w:tcPr>
          <w:p>
            <w:pPr>
              <w:spacing w:after="0"/>
              <w:rPr>
                <w:sz w:val="16"/>
                <w:szCs w:val="16"/>
                <w:color w:val="auto"/>
              </w:rPr>
            </w:pPr>
          </w:p>
        </w:tc>
        <w:tc>
          <w:tcPr>
            <w:tcW w:w="196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of Shares</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ind w:left="540"/>
              <w:spacing w:after="0"/>
              <w:rPr>
                <w:sz w:val="20"/>
                <w:szCs w:val="20"/>
                <w:color w:val="auto"/>
              </w:rPr>
            </w:pPr>
            <w:r>
              <w:rPr>
                <w:rFonts w:ascii="Arial" w:cs="Arial" w:eastAsia="Arial" w:hAnsi="Arial"/>
                <w:sz w:val="14"/>
                <w:szCs w:val="14"/>
                <w:b w:val="1"/>
                <w:bCs w:val="1"/>
                <w:color w:val="auto"/>
              </w:rPr>
              <w:t>Per Share</w:t>
            </w:r>
          </w:p>
        </w:tc>
        <w:tc>
          <w:tcPr>
            <w:tcW w:w="660" w:type="dxa"/>
            <w:vAlign w:val="bottom"/>
            <w:tcBorders>
              <w:bottom w:val="single" w:sz="8" w:color="auto"/>
            </w:tcBorders>
          </w:tcPr>
          <w:p>
            <w:pPr>
              <w:jc w:val="right"/>
              <w:ind w:right="442"/>
              <w:spacing w:after="0"/>
              <w:rPr>
                <w:sz w:val="20"/>
                <w:szCs w:val="20"/>
                <w:color w:val="auto"/>
              </w:rPr>
            </w:pPr>
            <w:r>
              <w:rPr>
                <w:rFonts w:ascii="Arial" w:cs="Arial" w:eastAsia="Arial" w:hAnsi="Arial"/>
                <w:sz w:val="11"/>
                <w:szCs w:val="11"/>
                <w:b w:val="1"/>
                <w:bCs w:val="1"/>
                <w:color w:val="auto"/>
                <w:w w:val="88"/>
              </w:rPr>
              <w:t>(3)</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left="141"/>
              <w:spacing w:after="0"/>
              <w:rPr>
                <w:sz w:val="20"/>
                <w:szCs w:val="20"/>
                <w:color w:val="auto"/>
              </w:rPr>
            </w:pPr>
            <w:r>
              <w:rPr>
                <w:rFonts w:ascii="Arial" w:cs="Arial" w:eastAsia="Arial" w:hAnsi="Arial"/>
                <w:sz w:val="14"/>
                <w:szCs w:val="14"/>
                <w:b w:val="1"/>
                <w:bCs w:val="1"/>
                <w:color w:val="auto"/>
              </w:rPr>
              <w:t>Fair Value</w:t>
            </w:r>
          </w:p>
        </w:tc>
        <w:tc>
          <w:tcPr>
            <w:tcW w:w="5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January 1, 2025</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4,536,574</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center"/>
              <w:ind w:left="584"/>
              <w:spacing w:after="0"/>
              <w:rPr>
                <w:sz w:val="20"/>
                <w:szCs w:val="20"/>
                <w:color w:val="auto"/>
              </w:rPr>
            </w:pPr>
            <w:r>
              <w:rPr>
                <w:rFonts w:ascii="Arial" w:cs="Arial" w:eastAsia="Arial" w:hAnsi="Arial"/>
                <w:sz w:val="18"/>
                <w:szCs w:val="18"/>
                <w:color w:val="auto"/>
                <w:w w:val="98"/>
              </w:rPr>
              <w:t>$67.76</w:t>
            </w: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20"/>
              <w:spacing w:after="0"/>
              <w:rPr>
                <w:sz w:val="20"/>
                <w:szCs w:val="20"/>
                <w:color w:val="auto"/>
              </w:rPr>
            </w:pPr>
            <w:r>
              <w:rPr>
                <w:rFonts w:ascii="Arial" w:cs="Arial" w:eastAsia="Arial" w:hAnsi="Arial"/>
                <w:sz w:val="18"/>
                <w:szCs w:val="18"/>
                <w:color w:val="auto"/>
              </w:rPr>
              <w:t>Units granted:</w:t>
            </w:r>
          </w:p>
        </w:tc>
        <w:tc>
          <w:tcPr>
            <w:tcW w:w="1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20"/>
              <w:spacing w:after="0" w:line="230" w:lineRule="exact"/>
              <w:rPr>
                <w:sz w:val="20"/>
                <w:szCs w:val="20"/>
                <w:color w:val="auto"/>
              </w:rPr>
            </w:pPr>
            <w:r>
              <w:rPr>
                <w:rFonts w:ascii="Arial" w:cs="Arial" w:eastAsia="Arial" w:hAnsi="Arial"/>
                <w:sz w:val="18"/>
                <w:szCs w:val="18"/>
                <w:color w:val="auto"/>
              </w:rPr>
              <w:t xml:space="preserve">Performance share units </w:t>
            </w:r>
            <w:r>
              <w:rPr>
                <w:rFonts w:ascii="Arial" w:cs="Arial" w:eastAsia="Arial" w:hAnsi="Arial"/>
                <w:sz w:val="23"/>
                <w:szCs w:val="23"/>
                <w:color w:val="auto"/>
                <w:vertAlign w:val="superscript"/>
              </w:rPr>
              <w:t>(1)</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1,433,935</w:t>
            </w:r>
          </w:p>
        </w:tc>
        <w:tc>
          <w:tcPr>
            <w:tcW w:w="1360" w:type="dxa"/>
            <w:vAlign w:val="bottom"/>
            <w:gridSpan w:val="2"/>
            <w:shd w:val="clear" w:color="auto" w:fill="CCEEFF"/>
          </w:tcPr>
          <w:p>
            <w:pPr>
              <w:jc w:val="center"/>
              <w:ind w:left="690"/>
              <w:spacing w:after="0"/>
              <w:rPr>
                <w:sz w:val="20"/>
                <w:szCs w:val="20"/>
                <w:color w:val="auto"/>
              </w:rPr>
            </w:pPr>
            <w:r>
              <w:rPr>
                <w:rFonts w:ascii="Arial" w:cs="Arial" w:eastAsia="Arial" w:hAnsi="Arial"/>
                <w:sz w:val="18"/>
                <w:szCs w:val="18"/>
                <w:color w:val="auto"/>
              </w:rPr>
              <w:t>67.95</w:t>
            </w: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Deferred stock units</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1,427,061</w:t>
            </w:r>
          </w:p>
        </w:tc>
        <w:tc>
          <w:tcPr>
            <w:tcW w:w="1360" w:type="dxa"/>
            <w:vAlign w:val="bottom"/>
            <w:tcBorders>
              <w:bottom w:val="single" w:sz="8" w:color="CCEEFF"/>
            </w:tcBorders>
            <w:gridSpan w:val="2"/>
          </w:tcPr>
          <w:p>
            <w:pPr>
              <w:jc w:val="center"/>
              <w:ind w:left="690"/>
              <w:spacing w:after="0"/>
              <w:rPr>
                <w:sz w:val="20"/>
                <w:szCs w:val="20"/>
                <w:color w:val="auto"/>
              </w:rPr>
            </w:pPr>
            <w:r>
              <w:rPr>
                <w:rFonts w:ascii="Arial" w:cs="Arial" w:eastAsia="Arial" w:hAnsi="Arial"/>
                <w:sz w:val="18"/>
                <w:szCs w:val="18"/>
                <w:color w:val="auto"/>
              </w:rPr>
              <w:t>63.21</w:t>
            </w:r>
          </w:p>
        </w:tc>
        <w:tc>
          <w:tcPr>
            <w:tcW w:w="6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tcPr>
          <w:p>
            <w:pPr>
              <w:spacing w:after="0"/>
              <w:rPr>
                <w:sz w:val="19"/>
                <w:szCs w:val="19"/>
                <w:color w:val="auto"/>
              </w:rPr>
            </w:pPr>
          </w:p>
        </w:tc>
        <w:tc>
          <w:tcPr>
            <w:tcW w:w="5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2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Total units granted </w:t>
            </w:r>
            <w:r>
              <w:rPr>
                <w:rFonts w:ascii="Arial" w:cs="Arial" w:eastAsia="Arial" w:hAnsi="Arial"/>
                <w:sz w:val="23"/>
                <w:szCs w:val="23"/>
                <w:color w:val="auto"/>
                <w:vertAlign w:val="superscript"/>
              </w:rPr>
              <w:t>(1)</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2,860,996</w:t>
            </w:r>
          </w:p>
        </w:tc>
        <w:tc>
          <w:tcPr>
            <w:tcW w:w="1360" w:type="dxa"/>
            <w:vAlign w:val="bottom"/>
            <w:gridSpan w:val="2"/>
            <w:shd w:val="clear" w:color="auto" w:fill="CCEEFF"/>
          </w:tcPr>
          <w:p>
            <w:pPr>
              <w:jc w:val="center"/>
              <w:ind w:left="690"/>
              <w:spacing w:after="0"/>
              <w:rPr>
                <w:sz w:val="20"/>
                <w:szCs w:val="20"/>
                <w:color w:val="auto"/>
              </w:rPr>
            </w:pPr>
            <w:r>
              <w:rPr>
                <w:rFonts w:ascii="Arial" w:cs="Arial" w:eastAsia="Arial" w:hAnsi="Arial"/>
                <w:sz w:val="18"/>
                <w:szCs w:val="18"/>
                <w:color w:val="auto"/>
              </w:rPr>
              <w:t>65.59</w:t>
            </w:r>
          </w:p>
        </w:tc>
        <w:tc>
          <w:tcPr>
            <w:tcW w:w="11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188</w:t>
            </w:r>
          </w:p>
        </w:tc>
        <w:tc>
          <w:tcPr>
            <w:tcW w:w="5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million</w:t>
            </w:r>
          </w:p>
        </w:tc>
        <w:tc>
          <w:tcPr>
            <w:tcW w:w="0" w:type="dxa"/>
            <w:vAlign w:val="bottom"/>
          </w:tcPr>
          <w:p>
            <w:pPr>
              <w:spacing w:after="0"/>
              <w:rPr>
                <w:sz w:val="1"/>
                <w:szCs w:val="1"/>
                <w:color w:val="auto"/>
              </w:rPr>
            </w:pPr>
          </w:p>
        </w:tc>
      </w:tr>
      <w:tr>
        <w:trPr>
          <w:trHeight w:val="229"/>
        </w:trPr>
        <w:tc>
          <w:tcPr>
            <w:tcW w:w="48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Vested </w:t>
            </w:r>
            <w:r>
              <w:rPr>
                <w:rFonts w:ascii="Arial" w:cs="Arial" w:eastAsia="Arial" w:hAnsi="Arial"/>
                <w:sz w:val="23"/>
                <w:szCs w:val="23"/>
                <w:color w:val="auto"/>
                <w:vertAlign w:val="superscript"/>
              </w:rPr>
              <w:t>(1) (2)</w:t>
            </w:r>
          </w:p>
        </w:tc>
        <w:tc>
          <w:tcPr>
            <w:tcW w:w="1960" w:type="dxa"/>
            <w:vAlign w:val="bottom"/>
          </w:tcPr>
          <w:p>
            <w:pPr>
              <w:jc w:val="right"/>
              <w:spacing w:after="0"/>
              <w:rPr>
                <w:sz w:val="20"/>
                <w:szCs w:val="20"/>
                <w:color w:val="auto"/>
              </w:rPr>
            </w:pPr>
            <w:r>
              <w:rPr>
                <w:rFonts w:ascii="Arial" w:cs="Arial" w:eastAsia="Arial" w:hAnsi="Arial"/>
                <w:sz w:val="18"/>
                <w:szCs w:val="18"/>
                <w:color w:val="auto"/>
              </w:rPr>
              <w:t>(1,460,425)</w:t>
            </w:r>
          </w:p>
        </w:tc>
        <w:tc>
          <w:tcPr>
            <w:tcW w:w="1360" w:type="dxa"/>
            <w:vAlign w:val="bottom"/>
            <w:gridSpan w:val="2"/>
          </w:tcPr>
          <w:p>
            <w:pPr>
              <w:jc w:val="center"/>
              <w:ind w:left="690"/>
              <w:spacing w:after="0"/>
              <w:rPr>
                <w:sz w:val="20"/>
                <w:szCs w:val="20"/>
                <w:color w:val="auto"/>
              </w:rPr>
            </w:pPr>
            <w:r>
              <w:rPr>
                <w:rFonts w:ascii="Arial" w:cs="Arial" w:eastAsia="Arial" w:hAnsi="Arial"/>
                <w:sz w:val="18"/>
                <w:szCs w:val="18"/>
                <w:color w:val="auto"/>
              </w:rPr>
              <w:t>63.44</w:t>
            </w:r>
          </w:p>
        </w:tc>
        <w:tc>
          <w:tcPr>
            <w:tcW w:w="11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21"/>
              <w:spacing w:after="0"/>
              <w:rPr>
                <w:sz w:val="20"/>
                <w:szCs w:val="20"/>
                <w:color w:val="auto"/>
              </w:rPr>
            </w:pPr>
            <w:r>
              <w:rPr>
                <w:rFonts w:ascii="Arial" w:cs="Arial" w:eastAsia="Arial" w:hAnsi="Arial"/>
                <w:sz w:val="18"/>
                <w:szCs w:val="18"/>
                <w:color w:val="auto"/>
              </w:rPr>
              <w:t>93</w:t>
            </w:r>
          </w:p>
        </w:tc>
        <w:tc>
          <w:tcPr>
            <w:tcW w:w="540" w:type="dxa"/>
            <w:vAlign w:val="bottom"/>
          </w:tcPr>
          <w:p>
            <w:pPr>
              <w:ind w:left="20"/>
              <w:spacing w:after="0"/>
              <w:rPr>
                <w:sz w:val="20"/>
                <w:szCs w:val="20"/>
                <w:color w:val="auto"/>
              </w:rPr>
            </w:pPr>
            <w:r>
              <w:rPr>
                <w:rFonts w:ascii="Arial" w:cs="Arial" w:eastAsia="Arial" w:hAnsi="Arial"/>
                <w:sz w:val="18"/>
                <w:szCs w:val="18"/>
                <w:color w:val="auto"/>
                <w:w w:val="97"/>
              </w:rPr>
              <w:t>million</w:t>
            </w: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Forfeited</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(430,005)</w:t>
            </w:r>
          </w:p>
        </w:tc>
        <w:tc>
          <w:tcPr>
            <w:tcW w:w="1360" w:type="dxa"/>
            <w:vAlign w:val="bottom"/>
            <w:gridSpan w:val="2"/>
            <w:shd w:val="clear" w:color="auto" w:fill="CCEEFF"/>
          </w:tcPr>
          <w:p>
            <w:pPr>
              <w:jc w:val="center"/>
              <w:ind w:left="690"/>
              <w:spacing w:after="0"/>
              <w:rPr>
                <w:sz w:val="20"/>
                <w:szCs w:val="20"/>
                <w:color w:val="auto"/>
              </w:rPr>
            </w:pPr>
            <w:r>
              <w:rPr>
                <w:rFonts w:ascii="Arial" w:cs="Arial" w:eastAsia="Arial" w:hAnsi="Arial"/>
                <w:sz w:val="18"/>
                <w:szCs w:val="18"/>
                <w:color w:val="auto"/>
              </w:rPr>
              <w:t>69.48</w:t>
            </w: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20" w:type="dxa"/>
            <w:vAlign w:val="bottom"/>
          </w:tcPr>
          <w:p>
            <w:pPr>
              <w:ind w:left="20"/>
              <w:spacing w:after="0"/>
              <w:rPr>
                <w:sz w:val="20"/>
                <w:szCs w:val="20"/>
                <w:color w:val="auto"/>
              </w:rPr>
            </w:pPr>
            <w:r>
              <w:rPr>
                <w:rFonts w:ascii="Arial" w:cs="Arial" w:eastAsia="Arial" w:hAnsi="Arial"/>
                <w:sz w:val="18"/>
                <w:szCs w:val="18"/>
                <w:color w:val="auto"/>
              </w:rPr>
              <w:t>Balance at September 30, 2025</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5,507,140</w:t>
            </w:r>
          </w:p>
        </w:tc>
        <w:tc>
          <w:tcPr>
            <w:tcW w:w="1360" w:type="dxa"/>
            <w:vAlign w:val="bottom"/>
            <w:gridSpan w:val="2"/>
          </w:tcPr>
          <w:p>
            <w:pPr>
              <w:jc w:val="center"/>
              <w:ind w:left="690"/>
              <w:spacing w:after="0"/>
              <w:rPr>
                <w:sz w:val="20"/>
                <w:szCs w:val="20"/>
                <w:color w:val="auto"/>
              </w:rPr>
            </w:pPr>
            <w:r>
              <w:rPr>
                <w:rFonts w:ascii="Arial" w:cs="Arial" w:eastAsia="Arial" w:hAnsi="Arial"/>
                <w:sz w:val="18"/>
                <w:szCs w:val="18"/>
                <w:color w:val="auto"/>
              </w:rPr>
              <w:t>67.64</w:t>
            </w: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82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ind w:left="320" w:hanging="312"/>
        <w:spacing w:after="0"/>
        <w:tabs>
          <w:tab w:leader="none" w:pos="32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Includes incremental PSUs issued over target.</w:t>
      </w:r>
    </w:p>
    <w:p>
      <w:pPr>
        <w:spacing w:after="0" w:line="28" w:lineRule="exact"/>
        <w:rPr>
          <w:rFonts w:ascii="Arial" w:cs="Arial" w:eastAsia="Arial" w:hAnsi="Arial"/>
          <w:sz w:val="14"/>
          <w:szCs w:val="14"/>
          <w:color w:val="auto"/>
        </w:rPr>
      </w:pPr>
    </w:p>
    <w:p>
      <w:pPr>
        <w:ind w:left="320" w:hanging="312"/>
        <w:spacing w:after="0"/>
        <w:tabs>
          <w:tab w:leader="none" w:pos="32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income tax shortfall upon vesting of PSUs and DSUs was zero and $1 million in the three and nine months ended September 30, 2025, respectively.</w:t>
      </w:r>
    </w:p>
    <w:p>
      <w:pPr>
        <w:spacing w:after="0" w:line="1" w:lineRule="exact"/>
        <w:rPr>
          <w:rFonts w:ascii="Arial" w:cs="Arial" w:eastAsia="Arial" w:hAnsi="Arial"/>
          <w:sz w:val="14"/>
          <w:szCs w:val="14"/>
          <w:color w:val="auto"/>
        </w:rPr>
      </w:pPr>
    </w:p>
    <w:p>
      <w:pPr>
        <w:jc w:val="both"/>
        <w:ind w:left="340" w:hanging="332"/>
        <w:spacing w:after="0" w:line="236" w:lineRule="auto"/>
        <w:tabs>
          <w:tab w:leader="none" w:pos="327"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grant date fair value of PSUs is determined based on the Monte Carlo simulation model for the market-based total shareholder return component and the closing market price of the Company’s stock on the grant date for performance-based components. The Monte Carlo simulation model incorporates the probability of achieving the total shareholder return market condition. Compensation expense is recognized using the grant date fair values regardless of whether the market condition is achieved, as long as the requisite service has been provided.</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 Program</w:t>
      </w:r>
    </w:p>
    <w:p>
      <w:pPr>
        <w:spacing w:after="0" w:line="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Effective January 1, 2025, our Board of Directors replaced our prior share repurchase program by approving a program authorizing the repurchase of up to $9.0 billion of our Common Stock through December 31, 2027. Repurchases under the program are determined by management and are wholly discretionary.</w:t>
      </w:r>
    </w:p>
    <w:p>
      <w:pPr>
        <w:spacing w:after="0" w:line="20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During the nine months ended September 30, 2025, we repurchased approximately 31 million shares of Common Stock at an average cost of $59.00 per share, or an aggregate cost of approximately $1.8 billion, all of which was paid during the period. All share repurchases were funded through available cash and commercial paper issuances. As of September 30, 2025, we have approximately $7.2 billion in remaining share repurchase capacity.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6845935</wp:posOffset>
            </wp:positionH>
            <wp:positionV relativeFrom="paragraph">
              <wp:posOffset>175260</wp:posOffset>
            </wp:positionV>
            <wp:extent cx="282575" cy="1885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279400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Accumulated Other Comprehensive Earnings/(Losses)</w:t>
      </w:r>
    </w:p>
    <w:p>
      <w:pPr>
        <w:spacing w:after="0" w:line="25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following table summarizes the changes in accumulated balances of each component of accumulated other comprehensive earnings/(losses) attributable to Mondelēz International. Amounts reclassified from accumulated other comprehensive earnings/(losses) to net earnings (net of tax) were net losses of $(60) million and $(71) million in the third quarter of 2025 and 2024, respectively, and $(391) million and $(50) million in the first nine months of 2025 and 2024, respectively.</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0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rPr>
              <w:t>For the Three Months Ended</w:t>
            </w:r>
          </w:p>
        </w:tc>
        <w:tc>
          <w:tcPr>
            <w:tcW w:w="160" w:type="dxa"/>
            <w:vAlign w:val="bottom"/>
          </w:tcPr>
          <w:p>
            <w:pPr>
              <w:spacing w:after="0"/>
              <w:rPr>
                <w:sz w:val="14"/>
                <w:szCs w:val="14"/>
                <w:color w:val="auto"/>
              </w:rPr>
            </w:pPr>
          </w:p>
        </w:tc>
        <w:tc>
          <w:tcPr>
            <w:tcW w:w="2200" w:type="dxa"/>
            <w:vAlign w:val="bottom"/>
            <w:gridSpan w:val="4"/>
          </w:tcPr>
          <w:p>
            <w:pPr>
              <w:jc w:val="right"/>
              <w:ind w:right="168"/>
              <w:spacing w:after="0"/>
              <w:rPr>
                <w:sz w:val="20"/>
                <w:szCs w:val="20"/>
                <w:color w:val="auto"/>
              </w:rPr>
            </w:pPr>
            <w:r>
              <w:rPr>
                <w:rFonts w:ascii="Arial" w:cs="Arial" w:eastAsia="Arial" w:hAnsi="Arial"/>
                <w:sz w:val="14"/>
                <w:szCs w:val="14"/>
                <w:b w:val="1"/>
                <w:bCs w:val="1"/>
                <w:color w:val="auto"/>
              </w:rPr>
              <w:t>For the Nine Months Ended</w:t>
            </w:r>
          </w:p>
        </w:tc>
      </w:tr>
      <w:tr>
        <w:trPr>
          <w:trHeight w:val="189"/>
        </w:trPr>
        <w:tc>
          <w:tcPr>
            <w:tcW w:w="6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30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6"/>
                <w:szCs w:val="16"/>
                <w:color w:val="auto"/>
              </w:rPr>
            </w:pPr>
          </w:p>
        </w:tc>
        <w:tc>
          <w:tcPr>
            <w:tcW w:w="2200" w:type="dxa"/>
            <w:vAlign w:val="bottom"/>
            <w:gridSpan w:val="4"/>
          </w:tcPr>
          <w:p>
            <w:pPr>
              <w:jc w:val="right"/>
              <w:ind w:right="608"/>
              <w:spacing w:after="0"/>
              <w:rPr>
                <w:sz w:val="20"/>
                <w:szCs w:val="20"/>
                <w:color w:val="auto"/>
              </w:rPr>
            </w:pPr>
            <w:r>
              <w:rPr>
                <w:rFonts w:ascii="Arial" w:cs="Arial" w:eastAsia="Arial" w:hAnsi="Arial"/>
                <w:sz w:val="14"/>
                <w:szCs w:val="14"/>
                <w:b w:val="1"/>
                <w:bCs w:val="1"/>
                <w:color w:val="auto"/>
              </w:rPr>
              <w:t>September 30,</w:t>
            </w:r>
          </w:p>
        </w:tc>
      </w:tr>
      <w:tr>
        <w:trPr>
          <w:trHeight w:val="195"/>
        </w:trPr>
        <w:tc>
          <w:tcPr>
            <w:tcW w:w="6420" w:type="dxa"/>
            <w:vAlign w:val="bottom"/>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top w:val="single" w:sz="8" w:color="auto"/>
              <w:bottom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top w:val="single" w:sz="8" w:color="auto"/>
              <w:bottom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2024</w:t>
            </w:r>
          </w:p>
        </w:tc>
      </w:tr>
      <w:tr>
        <w:trPr>
          <w:trHeight w:val="168"/>
        </w:trPr>
        <w:tc>
          <w:tcPr>
            <w:tcW w:w="6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0" w:type="dxa"/>
            <w:vAlign w:val="bottom"/>
            <w:gridSpan w:val="5"/>
          </w:tcPr>
          <w:p>
            <w:pPr>
              <w:ind w:left="580"/>
              <w:spacing w:after="0"/>
              <w:rPr>
                <w:sz w:val="20"/>
                <w:szCs w:val="20"/>
                <w:color w:val="auto"/>
              </w:rPr>
            </w:pPr>
            <w:r>
              <w:rPr>
                <w:rFonts w:ascii="Arial" w:cs="Arial" w:eastAsia="Arial" w:hAnsi="Arial"/>
                <w:sz w:val="13"/>
                <w:szCs w:val="13"/>
                <w:b w:val="1"/>
                <w:bCs w:val="1"/>
                <w:color w:val="auto"/>
              </w:rPr>
              <w:t>(in millions)</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204"/>
        </w:trPr>
        <w:tc>
          <w:tcPr>
            <w:tcW w:w="64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Currency Translation Adjustments:</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198"/>
        </w:trPr>
        <w:tc>
          <w:tcPr>
            <w:tcW w:w="6420" w:type="dxa"/>
            <w:vAlign w:val="bottom"/>
          </w:tcPr>
          <w:p>
            <w:pPr>
              <w:ind w:left="140"/>
              <w:spacing w:after="0"/>
              <w:rPr>
                <w:sz w:val="20"/>
                <w:szCs w:val="20"/>
                <w:color w:val="auto"/>
              </w:rPr>
            </w:pPr>
            <w:r>
              <w:rPr>
                <w:rFonts w:ascii="Arial" w:cs="Arial" w:eastAsia="Arial" w:hAnsi="Arial"/>
                <w:sz w:val="14"/>
                <w:szCs w:val="14"/>
                <w:color w:val="auto"/>
              </w:rPr>
              <w:t>Balance at beginning of period</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(10,149)</w:t>
            </w:r>
          </w:p>
        </w:tc>
        <w:tc>
          <w:tcPr>
            <w:tcW w:w="80" w:type="dxa"/>
            <w:vAlign w:val="bottom"/>
          </w:tcPr>
          <w:p>
            <w:pPr>
              <w:spacing w:after="0"/>
              <w:rPr>
                <w:sz w:val="17"/>
                <w:szCs w:val="17"/>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(10,177)</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(11,017)</w:t>
            </w:r>
          </w:p>
        </w:tc>
        <w:tc>
          <w:tcPr>
            <w:tcW w:w="80" w:type="dxa"/>
            <w:vAlign w:val="bottom"/>
          </w:tcPr>
          <w:p>
            <w:pPr>
              <w:spacing w:after="0"/>
              <w:rPr>
                <w:sz w:val="17"/>
                <w:szCs w:val="17"/>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(9,574)</w:t>
            </w:r>
          </w:p>
        </w:tc>
      </w:tr>
      <w:tr>
        <w:trPr>
          <w:trHeight w:val="207"/>
        </w:trPr>
        <w:tc>
          <w:tcPr>
            <w:tcW w:w="64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Currency translation adjustments</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763</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(608)</w:t>
            </w:r>
          </w:p>
        </w:tc>
      </w:tr>
      <w:tr>
        <w:trPr>
          <w:trHeight w:val="198"/>
        </w:trPr>
        <w:tc>
          <w:tcPr>
            <w:tcW w:w="642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Tax effect</w:t>
            </w: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49</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r>
      <w:tr>
        <w:trPr>
          <w:trHeight w:val="200"/>
        </w:trPr>
        <w:tc>
          <w:tcPr>
            <w:tcW w:w="64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comprehensive earnings/(losses)</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812</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(611)</w:t>
            </w:r>
          </w:p>
        </w:tc>
      </w:tr>
      <w:tr>
        <w:trPr>
          <w:trHeight w:val="199"/>
        </w:trPr>
        <w:tc>
          <w:tcPr>
            <w:tcW w:w="642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less: other comprehensive (earnings)/loss attributable to noncontrolling interests</w:t>
            </w: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r>
      <w:tr>
        <w:trPr>
          <w:trHeight w:val="200"/>
        </w:trPr>
        <w:tc>
          <w:tcPr>
            <w:tcW w:w="64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Balance at end of period</w:t>
            </w:r>
          </w:p>
        </w:tc>
        <w:tc>
          <w:tcPr>
            <w:tcW w:w="1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(10,228)</w:t>
            </w:r>
          </w:p>
        </w:tc>
        <w:tc>
          <w:tcPr>
            <w:tcW w:w="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(10,187)</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(10,228)</w:t>
            </w:r>
          </w:p>
        </w:tc>
        <w:tc>
          <w:tcPr>
            <w:tcW w:w="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(10,187)</w:t>
            </w:r>
          </w:p>
        </w:tc>
      </w:tr>
      <w:tr>
        <w:trPr>
          <w:trHeight w:val="169"/>
        </w:trPr>
        <w:tc>
          <w:tcPr>
            <w:tcW w:w="6420" w:type="dxa"/>
            <w:vAlign w:val="bottom"/>
          </w:tcPr>
          <w:p>
            <w:pPr>
              <w:ind w:left="20"/>
              <w:spacing w:after="0"/>
              <w:rPr>
                <w:sz w:val="20"/>
                <w:szCs w:val="20"/>
                <w:color w:val="auto"/>
              </w:rPr>
            </w:pPr>
            <w:r>
              <w:rPr>
                <w:rFonts w:ascii="Arial" w:cs="Arial" w:eastAsia="Arial" w:hAnsi="Arial"/>
                <w:sz w:val="14"/>
                <w:szCs w:val="14"/>
                <w:b w:val="1"/>
                <w:bCs w:val="1"/>
                <w:color w:val="auto"/>
              </w:rPr>
              <w:t>Pension and Other Benefit Plans:</w:t>
            </w: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203"/>
        </w:trPr>
        <w:tc>
          <w:tcPr>
            <w:tcW w:w="64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Balance at beginning of period</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(1,343)</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(1,402)</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(1,323)</w:t>
            </w:r>
          </w:p>
        </w:tc>
      </w:tr>
      <w:tr>
        <w:trPr>
          <w:trHeight w:val="199"/>
        </w:trPr>
        <w:tc>
          <w:tcPr>
            <w:tcW w:w="6420" w:type="dxa"/>
            <w:vAlign w:val="bottom"/>
          </w:tcPr>
          <w:p>
            <w:pPr>
              <w:ind w:left="140"/>
              <w:spacing w:after="0"/>
              <w:rPr>
                <w:sz w:val="20"/>
                <w:szCs w:val="20"/>
                <w:color w:val="auto"/>
              </w:rPr>
            </w:pPr>
            <w:r>
              <w:rPr>
                <w:rFonts w:ascii="Arial" w:cs="Arial" w:eastAsia="Arial" w:hAnsi="Arial"/>
                <w:sz w:val="14"/>
                <w:szCs w:val="14"/>
                <w:color w:val="auto"/>
              </w:rPr>
              <w:t>Net actuarial gain/(loss) arising during period</w:t>
            </w:r>
          </w:p>
        </w:tc>
        <w:tc>
          <w:tcPr>
            <w:tcW w:w="160" w:type="dxa"/>
            <w:vAlign w:val="bottom"/>
          </w:tcPr>
          <w:p>
            <w:pPr>
              <w:spacing w:after="0"/>
              <w:rPr>
                <w:sz w:val="17"/>
                <w:szCs w:val="17"/>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14</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(37)</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w:t>
            </w:r>
          </w:p>
        </w:tc>
      </w:tr>
      <w:tr>
        <w:trPr>
          <w:trHeight w:val="206"/>
        </w:trPr>
        <w:tc>
          <w:tcPr>
            <w:tcW w:w="64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Tax effect on net actuarial gain/(loss)</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85</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98</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r>
      <w:tr>
        <w:trPr>
          <w:trHeight w:val="198"/>
        </w:trPr>
        <w:tc>
          <w:tcPr>
            <w:tcW w:w="6420" w:type="dxa"/>
            <w:vAlign w:val="bottom"/>
          </w:tcPr>
          <w:p>
            <w:pPr>
              <w:ind w:left="140"/>
              <w:spacing w:after="0"/>
              <w:rPr>
                <w:sz w:val="20"/>
                <w:szCs w:val="20"/>
                <w:color w:val="auto"/>
              </w:rPr>
            </w:pPr>
            <w:r>
              <w:rPr>
                <w:rFonts w:ascii="Arial" w:cs="Arial" w:eastAsia="Arial" w:hAnsi="Arial"/>
                <w:sz w:val="14"/>
                <w:szCs w:val="14"/>
                <w:color w:val="auto"/>
              </w:rPr>
              <w:t>Losses/(gains) reclassified into net earnings:</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7"/>
        </w:trPr>
        <w:tc>
          <w:tcPr>
            <w:tcW w:w="64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 xml:space="preserve">Amortization of net loss and prior service </w:t>
            </w:r>
            <w:r>
              <w:rPr>
                <w:rFonts w:ascii="Arial" w:cs="Arial" w:eastAsia="Arial" w:hAnsi="Arial"/>
                <w:sz w:val="18"/>
                <w:szCs w:val="18"/>
                <w:color w:val="auto"/>
                <w:vertAlign w:val="superscript"/>
              </w:rPr>
              <w:t>(1)</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44</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r>
      <w:tr>
        <w:trPr>
          <w:trHeight w:val="203"/>
        </w:trPr>
        <w:tc>
          <w:tcPr>
            <w:tcW w:w="6420" w:type="dxa"/>
            <w:vAlign w:val="bottom"/>
          </w:tcPr>
          <w:p>
            <w:pPr>
              <w:ind w:left="360"/>
              <w:spacing w:after="0" w:line="202" w:lineRule="exact"/>
              <w:rPr>
                <w:sz w:val="20"/>
                <w:szCs w:val="20"/>
                <w:color w:val="auto"/>
              </w:rPr>
            </w:pPr>
            <w:r>
              <w:rPr>
                <w:rFonts w:ascii="Arial" w:cs="Arial" w:eastAsia="Arial" w:hAnsi="Arial"/>
                <w:sz w:val="14"/>
                <w:szCs w:val="14"/>
                <w:color w:val="auto"/>
              </w:rPr>
              <w:t xml:space="preserve">Settlement losses </w:t>
            </w:r>
            <w:r>
              <w:rPr>
                <w:rFonts w:ascii="Arial" w:cs="Arial" w:eastAsia="Arial" w:hAnsi="Arial"/>
                <w:sz w:val="18"/>
                <w:szCs w:val="18"/>
                <w:color w:val="auto"/>
                <w:vertAlign w:val="superscript"/>
              </w:rPr>
              <w:t>(1)</w:t>
            </w:r>
          </w:p>
        </w:tc>
        <w:tc>
          <w:tcPr>
            <w:tcW w:w="160" w:type="dxa"/>
            <w:vAlign w:val="bottom"/>
          </w:tcPr>
          <w:p>
            <w:pPr>
              <w:spacing w:after="0"/>
              <w:rPr>
                <w:sz w:val="17"/>
                <w:szCs w:val="17"/>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54</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346</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w:t>
            </w:r>
          </w:p>
        </w:tc>
      </w:tr>
      <w:tr>
        <w:trPr>
          <w:trHeight w:val="203"/>
        </w:trPr>
        <w:tc>
          <w:tcPr>
            <w:tcW w:w="6420" w:type="dxa"/>
            <w:vAlign w:val="bottom"/>
            <w:shd w:val="clear" w:color="auto" w:fill="CCEEFF"/>
          </w:tcPr>
          <w:p>
            <w:pPr>
              <w:ind w:left="360"/>
              <w:spacing w:after="0" w:line="202" w:lineRule="exact"/>
              <w:rPr>
                <w:sz w:val="20"/>
                <w:szCs w:val="20"/>
                <w:color w:val="auto"/>
              </w:rPr>
            </w:pPr>
            <w:r>
              <w:rPr>
                <w:rFonts w:ascii="Arial" w:cs="Arial" w:eastAsia="Arial" w:hAnsi="Arial"/>
                <w:sz w:val="14"/>
                <w:szCs w:val="14"/>
                <w:color w:val="auto"/>
              </w:rPr>
              <w:t xml:space="preserve">Tax expense/(benefit) on reclassifications </w:t>
            </w:r>
            <w:r>
              <w:rPr>
                <w:rFonts w:ascii="Arial" w:cs="Arial" w:eastAsia="Arial" w:hAnsi="Arial"/>
                <w:sz w:val="18"/>
                <w:szCs w:val="18"/>
                <w:color w:val="auto"/>
                <w:vertAlign w:val="superscript"/>
              </w:rPr>
              <w:t>(3)</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r>
      <w:tr>
        <w:trPr>
          <w:trHeight w:val="198"/>
        </w:trPr>
        <w:tc>
          <w:tcPr>
            <w:tcW w:w="642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Currency impact</w:t>
            </w: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(124)</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w:t>
            </w:r>
          </w:p>
        </w:tc>
      </w:tr>
      <w:tr>
        <w:trPr>
          <w:trHeight w:val="200"/>
        </w:trPr>
        <w:tc>
          <w:tcPr>
            <w:tcW w:w="64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comprehensive earnings/(losses)</w:t>
            </w:r>
          </w:p>
        </w:tc>
        <w:tc>
          <w:tcPr>
            <w:tcW w:w="1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169</w:t>
            </w:r>
          </w:p>
        </w:tc>
        <w:tc>
          <w:tcPr>
            <w:tcW w:w="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228</w:t>
            </w:r>
          </w:p>
        </w:tc>
        <w:tc>
          <w:tcPr>
            <w:tcW w:w="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w:t>
            </w:r>
          </w:p>
        </w:tc>
      </w:tr>
      <w:tr>
        <w:trPr>
          <w:trHeight w:val="192"/>
        </w:trPr>
        <w:tc>
          <w:tcPr>
            <w:tcW w:w="642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Balance at end of period</w:t>
            </w: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(1,174)</w:t>
            </w: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(1,329)</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(1,174)</w:t>
            </w: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(1,329)</w:t>
            </w:r>
          </w:p>
        </w:tc>
      </w:tr>
      <w:tr>
        <w:trPr>
          <w:trHeight w:val="186"/>
        </w:trPr>
        <w:tc>
          <w:tcPr>
            <w:tcW w:w="64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Derivative Cash Flow Hedges:</w:t>
            </w: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r>
      <w:tr>
        <w:trPr>
          <w:trHeight w:val="198"/>
        </w:trPr>
        <w:tc>
          <w:tcPr>
            <w:tcW w:w="6420" w:type="dxa"/>
            <w:vAlign w:val="bottom"/>
          </w:tcPr>
          <w:p>
            <w:pPr>
              <w:ind w:left="140"/>
              <w:spacing w:after="0"/>
              <w:rPr>
                <w:sz w:val="20"/>
                <w:szCs w:val="20"/>
                <w:color w:val="auto"/>
              </w:rPr>
            </w:pPr>
            <w:r>
              <w:rPr>
                <w:rFonts w:ascii="Arial" w:cs="Arial" w:eastAsia="Arial" w:hAnsi="Arial"/>
                <w:sz w:val="14"/>
                <w:szCs w:val="14"/>
                <w:color w:val="auto"/>
              </w:rPr>
              <w:t>Balance at beginning of period</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(69)</w:t>
            </w:r>
          </w:p>
        </w:tc>
        <w:tc>
          <w:tcPr>
            <w:tcW w:w="80" w:type="dxa"/>
            <w:vAlign w:val="bottom"/>
          </w:tcPr>
          <w:p>
            <w:pPr>
              <w:spacing w:after="0"/>
              <w:rPr>
                <w:sz w:val="17"/>
                <w:szCs w:val="17"/>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(61)</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(52)</w:t>
            </w:r>
          </w:p>
        </w:tc>
        <w:tc>
          <w:tcPr>
            <w:tcW w:w="80" w:type="dxa"/>
            <w:vAlign w:val="bottom"/>
          </w:tcPr>
          <w:p>
            <w:pPr>
              <w:spacing w:after="0"/>
              <w:rPr>
                <w:sz w:val="17"/>
                <w:szCs w:val="17"/>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(49)</w:t>
            </w:r>
          </w:p>
        </w:tc>
      </w:tr>
      <w:tr>
        <w:trPr>
          <w:trHeight w:val="207"/>
        </w:trPr>
        <w:tc>
          <w:tcPr>
            <w:tcW w:w="64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Interest rate contracts gains/(losses)</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r>
      <w:tr>
        <w:trPr>
          <w:trHeight w:val="198"/>
        </w:trPr>
        <w:tc>
          <w:tcPr>
            <w:tcW w:w="6420" w:type="dxa"/>
            <w:vAlign w:val="bottom"/>
          </w:tcPr>
          <w:p>
            <w:pPr>
              <w:ind w:left="140"/>
              <w:spacing w:after="0"/>
              <w:rPr>
                <w:sz w:val="20"/>
                <w:szCs w:val="20"/>
                <w:color w:val="auto"/>
              </w:rPr>
            </w:pPr>
            <w:r>
              <w:rPr>
                <w:rFonts w:ascii="Arial" w:cs="Arial" w:eastAsia="Arial" w:hAnsi="Arial"/>
                <w:sz w:val="14"/>
                <w:szCs w:val="14"/>
                <w:color w:val="auto"/>
              </w:rPr>
              <w:t>Cross-currency swap contracts gains/(losses)</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(9)</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(95)</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(17)</w:t>
            </w:r>
          </w:p>
        </w:tc>
      </w:tr>
      <w:tr>
        <w:trPr>
          <w:trHeight w:val="207"/>
        </w:trPr>
        <w:tc>
          <w:tcPr>
            <w:tcW w:w="64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derivative gains/(losses)</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r>
      <w:tr>
        <w:trPr>
          <w:trHeight w:val="198"/>
        </w:trPr>
        <w:tc>
          <w:tcPr>
            <w:tcW w:w="6420" w:type="dxa"/>
            <w:vAlign w:val="bottom"/>
          </w:tcPr>
          <w:p>
            <w:pPr>
              <w:ind w:left="140"/>
              <w:spacing w:after="0"/>
              <w:rPr>
                <w:sz w:val="20"/>
                <w:szCs w:val="20"/>
                <w:color w:val="auto"/>
              </w:rPr>
            </w:pPr>
            <w:r>
              <w:rPr>
                <w:rFonts w:ascii="Arial" w:cs="Arial" w:eastAsia="Arial" w:hAnsi="Arial"/>
                <w:sz w:val="14"/>
                <w:szCs w:val="14"/>
                <w:color w:val="auto"/>
              </w:rPr>
              <w:t>Tax effect on net derivative gain/(loss)</w:t>
            </w:r>
          </w:p>
        </w:tc>
        <w:tc>
          <w:tcPr>
            <w:tcW w:w="160" w:type="dxa"/>
            <w:vAlign w:val="bottom"/>
          </w:tcPr>
          <w:p>
            <w:pPr>
              <w:spacing w:after="0"/>
              <w:rPr>
                <w:sz w:val="17"/>
                <w:szCs w:val="17"/>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w:t>
            </w:r>
          </w:p>
        </w:tc>
      </w:tr>
      <w:tr>
        <w:trPr>
          <w:trHeight w:val="207"/>
        </w:trPr>
        <w:tc>
          <w:tcPr>
            <w:tcW w:w="64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Losses/(gains) reclassified into net earnings:</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03"/>
        </w:trPr>
        <w:tc>
          <w:tcPr>
            <w:tcW w:w="6420" w:type="dxa"/>
            <w:vAlign w:val="bottom"/>
          </w:tcPr>
          <w:p>
            <w:pPr>
              <w:ind w:left="360"/>
              <w:spacing w:after="0" w:line="202" w:lineRule="exact"/>
              <w:rPr>
                <w:sz w:val="20"/>
                <w:szCs w:val="20"/>
                <w:color w:val="auto"/>
              </w:rPr>
            </w:pPr>
            <w:r>
              <w:rPr>
                <w:rFonts w:ascii="Arial" w:cs="Arial" w:eastAsia="Arial" w:hAnsi="Arial"/>
                <w:sz w:val="14"/>
                <w:szCs w:val="14"/>
                <w:color w:val="auto"/>
              </w:rPr>
              <w:t xml:space="preserve">Interest rate contracts </w:t>
            </w:r>
            <w:r>
              <w:rPr>
                <w:rFonts w:ascii="Arial" w:cs="Arial" w:eastAsia="Arial" w:hAnsi="Arial"/>
                <w:sz w:val="18"/>
                <w:szCs w:val="18"/>
                <w:color w:val="auto"/>
                <w:vertAlign w:val="superscript"/>
              </w:rPr>
              <w:t>(2)</w:t>
            </w:r>
          </w:p>
        </w:tc>
        <w:tc>
          <w:tcPr>
            <w:tcW w:w="160" w:type="dxa"/>
            <w:vAlign w:val="bottom"/>
          </w:tcPr>
          <w:p>
            <w:pPr>
              <w:spacing w:after="0"/>
              <w:rPr>
                <w:sz w:val="17"/>
                <w:szCs w:val="17"/>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w:t>
            </w:r>
          </w:p>
        </w:tc>
      </w:tr>
      <w:tr>
        <w:trPr>
          <w:trHeight w:val="203"/>
        </w:trPr>
        <w:tc>
          <w:tcPr>
            <w:tcW w:w="6420" w:type="dxa"/>
            <w:vAlign w:val="bottom"/>
            <w:shd w:val="clear" w:color="auto" w:fill="CCEEFF"/>
          </w:tcPr>
          <w:p>
            <w:pPr>
              <w:ind w:left="360"/>
              <w:spacing w:after="0" w:line="202" w:lineRule="exact"/>
              <w:rPr>
                <w:sz w:val="20"/>
                <w:szCs w:val="20"/>
                <w:color w:val="auto"/>
              </w:rPr>
            </w:pPr>
            <w:r>
              <w:rPr>
                <w:rFonts w:ascii="Arial" w:cs="Arial" w:eastAsia="Arial" w:hAnsi="Arial"/>
                <w:sz w:val="14"/>
                <w:szCs w:val="14"/>
                <w:color w:val="auto"/>
              </w:rPr>
              <w:t xml:space="preserve">Cross-currency swap contracts </w:t>
            </w:r>
            <w:r>
              <w:rPr>
                <w:rFonts w:ascii="Arial" w:cs="Arial" w:eastAsia="Arial" w:hAnsi="Arial"/>
                <w:sz w:val="18"/>
                <w:szCs w:val="18"/>
                <w:color w:val="auto"/>
                <w:vertAlign w:val="superscript"/>
              </w:rPr>
              <w:t>(2)</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90</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r>
      <w:tr>
        <w:trPr>
          <w:trHeight w:val="203"/>
        </w:trPr>
        <w:tc>
          <w:tcPr>
            <w:tcW w:w="6420" w:type="dxa"/>
            <w:vAlign w:val="bottom"/>
          </w:tcPr>
          <w:p>
            <w:pPr>
              <w:ind w:left="360"/>
              <w:spacing w:after="0" w:line="202" w:lineRule="exact"/>
              <w:rPr>
                <w:sz w:val="20"/>
                <w:szCs w:val="20"/>
                <w:color w:val="auto"/>
              </w:rPr>
            </w:pPr>
            <w:r>
              <w:rPr>
                <w:rFonts w:ascii="Arial" w:cs="Arial" w:eastAsia="Arial" w:hAnsi="Arial"/>
                <w:sz w:val="14"/>
                <w:szCs w:val="14"/>
                <w:color w:val="auto"/>
              </w:rPr>
              <w:t xml:space="preserve">Other derivative contracts </w:t>
            </w:r>
            <w:r>
              <w:rPr>
                <w:rFonts w:ascii="Arial" w:cs="Arial" w:eastAsia="Arial" w:hAnsi="Arial"/>
                <w:sz w:val="18"/>
                <w:szCs w:val="18"/>
                <w:color w:val="auto"/>
                <w:vertAlign w:val="superscript"/>
              </w:rPr>
              <w:t>(2)</w:t>
            </w:r>
          </w:p>
        </w:tc>
        <w:tc>
          <w:tcPr>
            <w:tcW w:w="16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w:t>
            </w:r>
          </w:p>
        </w:tc>
      </w:tr>
      <w:tr>
        <w:trPr>
          <w:trHeight w:val="203"/>
        </w:trPr>
        <w:tc>
          <w:tcPr>
            <w:tcW w:w="6420" w:type="dxa"/>
            <w:vAlign w:val="bottom"/>
            <w:shd w:val="clear" w:color="auto" w:fill="CCEEFF"/>
          </w:tcPr>
          <w:p>
            <w:pPr>
              <w:ind w:left="360"/>
              <w:spacing w:after="0" w:line="202" w:lineRule="exact"/>
              <w:rPr>
                <w:sz w:val="20"/>
                <w:szCs w:val="20"/>
                <w:color w:val="auto"/>
              </w:rPr>
            </w:pPr>
            <w:r>
              <w:rPr>
                <w:rFonts w:ascii="Arial" w:cs="Arial" w:eastAsia="Arial" w:hAnsi="Arial"/>
                <w:sz w:val="14"/>
                <w:szCs w:val="14"/>
                <w:color w:val="auto"/>
              </w:rPr>
              <w:t xml:space="preserve">Tax expense/(benefit) on reclassifications </w:t>
            </w:r>
            <w:r>
              <w:rPr>
                <w:rFonts w:ascii="Arial" w:cs="Arial" w:eastAsia="Arial" w:hAnsi="Arial"/>
                <w:sz w:val="18"/>
                <w:szCs w:val="18"/>
                <w:color w:val="auto"/>
                <w:vertAlign w:val="superscript"/>
              </w:rPr>
              <w:t>(3)</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r>
      <w:tr>
        <w:trPr>
          <w:trHeight w:val="198"/>
        </w:trPr>
        <w:tc>
          <w:tcPr>
            <w:tcW w:w="642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Currency impact</w:t>
            </w: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00"/>
        </w:trPr>
        <w:tc>
          <w:tcPr>
            <w:tcW w:w="64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comprehensive earnings/(losses)</w:t>
            </w:r>
          </w:p>
        </w:tc>
        <w:tc>
          <w:tcPr>
            <w:tcW w:w="1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w:t>
            </w:r>
          </w:p>
        </w:tc>
        <w:tc>
          <w:tcPr>
            <w:tcW w:w="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w:t>
            </w:r>
          </w:p>
        </w:tc>
      </w:tr>
      <w:tr>
        <w:trPr>
          <w:trHeight w:val="192"/>
        </w:trPr>
        <w:tc>
          <w:tcPr>
            <w:tcW w:w="642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Balance at end of period</w:t>
            </w: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w:t>
            </w: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w:t>
            </w: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w:t>
            </w:r>
          </w:p>
        </w:tc>
      </w:tr>
      <w:tr>
        <w:trPr>
          <w:trHeight w:val="173"/>
        </w:trPr>
        <w:tc>
          <w:tcPr>
            <w:tcW w:w="64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Accumulated other comprehensive losses attributable to Mondelēz International:</w:t>
            </w: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198"/>
        </w:trPr>
        <w:tc>
          <w:tcPr>
            <w:tcW w:w="6420" w:type="dxa"/>
            <w:vAlign w:val="bottom"/>
          </w:tcPr>
          <w:p>
            <w:pPr>
              <w:ind w:left="140"/>
              <w:spacing w:after="0"/>
              <w:rPr>
                <w:sz w:val="20"/>
                <w:szCs w:val="20"/>
                <w:color w:val="auto"/>
              </w:rPr>
            </w:pPr>
            <w:r>
              <w:rPr>
                <w:rFonts w:ascii="Arial" w:cs="Arial" w:eastAsia="Arial" w:hAnsi="Arial"/>
                <w:sz w:val="14"/>
                <w:szCs w:val="14"/>
                <w:color w:val="auto"/>
              </w:rPr>
              <w:t>Balance at beginning of period</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(11,561)</w:t>
            </w:r>
          </w:p>
        </w:tc>
        <w:tc>
          <w:tcPr>
            <w:tcW w:w="80" w:type="dxa"/>
            <w:vAlign w:val="bottom"/>
          </w:tcPr>
          <w:p>
            <w:pPr>
              <w:spacing w:after="0"/>
              <w:rPr>
                <w:sz w:val="17"/>
                <w:szCs w:val="17"/>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(11,515)</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(12,471)</w:t>
            </w:r>
          </w:p>
        </w:tc>
        <w:tc>
          <w:tcPr>
            <w:tcW w:w="80" w:type="dxa"/>
            <w:vAlign w:val="bottom"/>
          </w:tcPr>
          <w:p>
            <w:pPr>
              <w:spacing w:after="0"/>
              <w:rPr>
                <w:sz w:val="17"/>
                <w:szCs w:val="17"/>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(10,946)</w:t>
            </w:r>
          </w:p>
        </w:tc>
      </w:tr>
      <w:tr>
        <w:trPr>
          <w:trHeight w:val="207"/>
        </w:trPr>
        <w:tc>
          <w:tcPr>
            <w:tcW w:w="64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Total other comprehensive earnings/(losses)</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96</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1,030</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(631)</w:t>
            </w:r>
          </w:p>
        </w:tc>
      </w:tr>
      <w:tr>
        <w:trPr>
          <w:trHeight w:val="198"/>
        </w:trPr>
        <w:tc>
          <w:tcPr>
            <w:tcW w:w="642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less: other comprehensive (earnings)/loss attributable to noncontrolling interests</w:t>
            </w: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r>
      <w:tr>
        <w:trPr>
          <w:trHeight w:val="196"/>
        </w:trPr>
        <w:tc>
          <w:tcPr>
            <w:tcW w:w="64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comprehensive earnings/(losses) attributable to Mondelēz International</w:t>
            </w:r>
          </w:p>
        </w:tc>
        <w:tc>
          <w:tcPr>
            <w:tcW w:w="1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97</w:t>
            </w:r>
          </w:p>
        </w:tc>
        <w:tc>
          <w:tcPr>
            <w:tcW w:w="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1,007</w:t>
            </w:r>
          </w:p>
        </w:tc>
        <w:tc>
          <w:tcPr>
            <w:tcW w:w="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(633)</w:t>
            </w:r>
          </w:p>
        </w:tc>
      </w:tr>
      <w:tr>
        <w:trPr>
          <w:trHeight w:val="200"/>
        </w:trPr>
        <w:tc>
          <w:tcPr>
            <w:tcW w:w="6420" w:type="dxa"/>
            <w:vAlign w:val="bottom"/>
          </w:tcPr>
          <w:p>
            <w:pPr>
              <w:ind w:left="140"/>
              <w:spacing w:after="0"/>
              <w:rPr>
                <w:sz w:val="20"/>
                <w:szCs w:val="20"/>
                <w:color w:val="auto"/>
              </w:rPr>
            </w:pPr>
            <w:r>
              <w:rPr>
                <w:rFonts w:ascii="Arial" w:cs="Arial" w:eastAsia="Arial" w:hAnsi="Arial"/>
                <w:sz w:val="14"/>
                <w:szCs w:val="14"/>
                <w:color w:val="auto"/>
              </w:rPr>
              <w:t>Balance at end of period</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(11,464)</w:t>
            </w:r>
          </w:p>
        </w:tc>
        <w:tc>
          <w:tcPr>
            <w:tcW w:w="80" w:type="dxa"/>
            <w:vAlign w:val="bottom"/>
          </w:tcPr>
          <w:p>
            <w:pPr>
              <w:spacing w:after="0"/>
              <w:rPr>
                <w:sz w:val="17"/>
                <w:szCs w:val="17"/>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(11,579)</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(11,464)</w:t>
            </w:r>
          </w:p>
        </w:tc>
        <w:tc>
          <w:tcPr>
            <w:tcW w:w="80" w:type="dxa"/>
            <w:vAlign w:val="bottom"/>
          </w:tcPr>
          <w:p>
            <w:pPr>
              <w:spacing w:after="0"/>
              <w:rPr>
                <w:sz w:val="17"/>
                <w:szCs w:val="17"/>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(11,579)</w:t>
            </w:r>
          </w:p>
        </w:tc>
      </w:tr>
      <w:tr>
        <w:trPr>
          <w:trHeight w:val="20"/>
        </w:trPr>
        <w:tc>
          <w:tcPr>
            <w:tcW w:w="6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left="320" w:hanging="312"/>
        <w:spacing w:after="0"/>
        <w:tabs>
          <w:tab w:leader="none" w:pos="3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 xml:space="preserve">These reclassified losses are included in net periodic benefit costs disclosed in Note 9, </w:t>
      </w:r>
      <w:r>
        <w:rPr>
          <w:rFonts w:ascii="Arial" w:cs="Arial" w:eastAsia="Arial" w:hAnsi="Arial"/>
          <w:sz w:val="14"/>
          <w:szCs w:val="14"/>
          <w:i w:val="1"/>
          <w:iCs w:val="1"/>
          <w:color w:val="auto"/>
        </w:rPr>
        <w:t>Benefit Plans</w:t>
      </w:r>
      <w:r>
        <w:rPr>
          <w:rFonts w:ascii="Arial" w:cs="Arial" w:eastAsia="Arial" w:hAnsi="Arial"/>
          <w:sz w:val="14"/>
          <w:szCs w:val="14"/>
          <w:color w:val="auto"/>
        </w:rPr>
        <w:t>.</w:t>
      </w:r>
    </w:p>
    <w:p>
      <w:pPr>
        <w:spacing w:after="0" w:line="28" w:lineRule="exact"/>
        <w:rPr>
          <w:rFonts w:ascii="Arial" w:cs="Arial" w:eastAsia="Arial" w:hAnsi="Arial"/>
          <w:sz w:val="14"/>
          <w:szCs w:val="14"/>
          <w:color w:val="auto"/>
        </w:rPr>
      </w:pPr>
    </w:p>
    <w:p>
      <w:pPr>
        <w:ind w:left="320" w:hanging="312"/>
        <w:spacing w:after="0"/>
        <w:tabs>
          <w:tab w:leader="none" w:pos="3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These reclassified gains or losses are recorded within interest and other expense, net.</w:t>
      </w:r>
    </w:p>
    <w:p>
      <w:pPr>
        <w:spacing w:after="0" w:line="14" w:lineRule="exact"/>
        <w:rPr>
          <w:rFonts w:ascii="Arial" w:cs="Arial" w:eastAsia="Arial" w:hAnsi="Arial"/>
          <w:sz w:val="14"/>
          <w:szCs w:val="14"/>
          <w:color w:val="auto"/>
        </w:rPr>
      </w:pPr>
    </w:p>
    <w:p>
      <w:pPr>
        <w:ind w:left="320" w:hanging="312"/>
        <w:spacing w:after="0"/>
        <w:tabs>
          <w:tab w:leader="none" w:pos="3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Taxes reclassified to earnings are recorded within the provision for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6845935</wp:posOffset>
            </wp:positionH>
            <wp:positionV relativeFrom="paragraph">
              <wp:posOffset>31750</wp:posOffset>
            </wp:positionV>
            <wp:extent cx="282575" cy="1885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pacing w:after="0" w:line="18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287655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Restructuring Program</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2014, our Board of Directors approved a multi-year restructuring program ("Simplify to Grow Program") to reduce our operating cost structure in both supply chain and overhead costs. Total restructuring and implementation charges of $5.4 billion were incurred throughout the Simplify to Grow Program, which ended in December 2024.</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recorded a net gain of $5 million and net restructuring charges of $40 million in the three and nine months ended September 30, 2024, respectively, and recorded implementation costs of $17 million and $40 million in the three and nine months ended September 30, 2024, respectively.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Simplify to Grow Program restructuring liability activity for the nine months ended September 30, 2025 was: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60" w:type="dxa"/>
            <w:vAlign w:val="bottom"/>
          </w:tcPr>
          <w:p>
            <w:pPr>
              <w:jc w:val="center"/>
              <w:ind w:right="239"/>
              <w:spacing w:after="0"/>
              <w:rPr>
                <w:sz w:val="20"/>
                <w:szCs w:val="20"/>
                <w:color w:val="auto"/>
              </w:rPr>
            </w:pPr>
            <w:r>
              <w:rPr>
                <w:rFonts w:ascii="Arial" w:cs="Arial" w:eastAsia="Arial" w:hAnsi="Arial"/>
                <w:sz w:val="14"/>
                <w:szCs w:val="14"/>
                <w:b w:val="1"/>
                <w:bCs w:val="1"/>
                <w:color w:val="auto"/>
              </w:rPr>
              <w:t>Severance</w:t>
            </w:r>
          </w:p>
        </w:tc>
        <w:tc>
          <w:tcPr>
            <w:tcW w:w="0" w:type="dxa"/>
            <w:vAlign w:val="bottom"/>
          </w:tcPr>
          <w:p>
            <w:pPr>
              <w:spacing w:after="0"/>
              <w:rPr>
                <w:sz w:val="1"/>
                <w:szCs w:val="1"/>
                <w:color w:val="auto"/>
              </w:rPr>
            </w:pPr>
          </w:p>
        </w:tc>
      </w:tr>
      <w:tr>
        <w:trPr>
          <w:trHeight w:val="144"/>
        </w:trPr>
        <w:tc>
          <w:tcPr>
            <w:tcW w:w="9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60" w:type="dxa"/>
            <w:vAlign w:val="bottom"/>
          </w:tcPr>
          <w:p>
            <w:pPr>
              <w:jc w:val="center"/>
              <w:ind w:right="239"/>
              <w:spacing w:after="0" w:line="145" w:lineRule="exact"/>
              <w:rPr>
                <w:sz w:val="20"/>
                <w:szCs w:val="20"/>
                <w:color w:val="auto"/>
              </w:rPr>
            </w:pPr>
            <w:r>
              <w:rPr>
                <w:rFonts w:ascii="Arial" w:cs="Arial" w:eastAsia="Arial" w:hAnsi="Arial"/>
                <w:sz w:val="14"/>
                <w:szCs w:val="14"/>
                <w:b w:val="1"/>
                <w:bCs w:val="1"/>
                <w:color w:val="auto"/>
              </w:rPr>
              <w:t>and related</w:t>
            </w:r>
          </w:p>
        </w:tc>
        <w:tc>
          <w:tcPr>
            <w:tcW w:w="0" w:type="dxa"/>
            <w:vAlign w:val="bottom"/>
          </w:tcPr>
          <w:p>
            <w:pPr>
              <w:spacing w:after="0"/>
              <w:rPr>
                <w:sz w:val="1"/>
                <w:szCs w:val="1"/>
                <w:color w:val="auto"/>
              </w:rPr>
            </w:pPr>
          </w:p>
        </w:tc>
      </w:tr>
      <w:tr>
        <w:trPr>
          <w:trHeight w:val="189"/>
        </w:trPr>
        <w:tc>
          <w:tcPr>
            <w:tcW w:w="93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center"/>
              <w:ind w:right="259"/>
              <w:spacing w:after="0"/>
              <w:rPr>
                <w:sz w:val="20"/>
                <w:szCs w:val="20"/>
                <w:color w:val="auto"/>
              </w:rPr>
            </w:pPr>
            <w:r>
              <w:rPr>
                <w:rFonts w:ascii="Arial" w:cs="Arial" w:eastAsia="Arial" w:hAnsi="Arial"/>
                <w:sz w:val="14"/>
                <w:szCs w:val="14"/>
                <w:b w:val="1"/>
                <w:bCs w:val="1"/>
                <w:color w:val="auto"/>
              </w:rPr>
              <w:t>costs</w:t>
            </w:r>
          </w:p>
        </w:tc>
        <w:tc>
          <w:tcPr>
            <w:tcW w:w="0" w:type="dxa"/>
            <w:vAlign w:val="bottom"/>
          </w:tcPr>
          <w:p>
            <w:pPr>
              <w:spacing w:after="0"/>
              <w:rPr>
                <w:sz w:val="1"/>
                <w:szCs w:val="1"/>
                <w:color w:val="auto"/>
              </w:rPr>
            </w:pPr>
          </w:p>
        </w:tc>
      </w:tr>
      <w:tr>
        <w:trPr>
          <w:trHeight w:val="195"/>
        </w:trPr>
        <w:tc>
          <w:tcPr>
            <w:tcW w:w="9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tcPr>
          <w:p>
            <w:pPr>
              <w:jc w:val="center"/>
              <w:ind w:right="239"/>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30"/>
        </w:trPr>
        <w:tc>
          <w:tcPr>
            <w:tcW w:w="9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Liability balance, January 1, 2025</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30"/>
        </w:trPr>
        <w:tc>
          <w:tcPr>
            <w:tcW w:w="9300" w:type="dxa"/>
            <w:vAlign w:val="bottom"/>
          </w:tcPr>
          <w:p>
            <w:pPr>
              <w:ind w:left="140"/>
              <w:spacing w:after="0"/>
              <w:rPr>
                <w:sz w:val="20"/>
                <w:szCs w:val="20"/>
                <w:color w:val="auto"/>
              </w:rPr>
            </w:pPr>
            <w:r>
              <w:rPr>
                <w:rFonts w:ascii="Arial" w:cs="Arial" w:eastAsia="Arial" w:hAnsi="Arial"/>
                <w:sz w:val="18"/>
                <w:szCs w:val="18"/>
                <w:color w:val="auto"/>
              </w:rPr>
              <w:t>Payments</w:t>
            </w:r>
          </w:p>
        </w:tc>
        <w:tc>
          <w:tcPr>
            <w:tcW w:w="3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9"/>
        </w:trPr>
        <w:tc>
          <w:tcPr>
            <w:tcW w:w="9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Currency and other</w:t>
            </w:r>
          </w:p>
        </w:tc>
        <w:tc>
          <w:tcPr>
            <w:tcW w:w="32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3"/>
        </w:trPr>
        <w:tc>
          <w:tcPr>
            <w:tcW w:w="9300" w:type="dxa"/>
            <w:vAlign w:val="bottom"/>
          </w:tcPr>
          <w:p>
            <w:pPr>
              <w:ind w:left="20"/>
              <w:spacing w:after="0"/>
              <w:rPr>
                <w:sz w:val="20"/>
                <w:szCs w:val="20"/>
                <w:color w:val="auto"/>
              </w:rPr>
            </w:pPr>
            <w:r>
              <w:rPr>
                <w:rFonts w:ascii="Arial" w:cs="Arial" w:eastAsia="Arial" w:hAnsi="Arial"/>
                <w:sz w:val="18"/>
                <w:szCs w:val="18"/>
                <w:color w:val="auto"/>
              </w:rPr>
              <w:t>Liability balance, September 30, 2025</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0"/>
        </w:trPr>
        <w:tc>
          <w:tcPr>
            <w:tcW w:w="9300" w:type="dxa"/>
            <w:vAlign w:val="bottom"/>
            <w:vMerge w:val="restart"/>
          </w:tcPr>
          <w:p>
            <w:pPr>
              <w:spacing w:after="0"/>
              <w:rPr>
                <w:sz w:val="20"/>
                <w:szCs w:val="20"/>
                <w:color w:val="auto"/>
              </w:rPr>
            </w:pPr>
            <w:r>
              <w:rPr>
                <w:rFonts w:ascii="Arial" w:cs="Arial" w:eastAsia="Arial" w:hAnsi="Arial"/>
                <w:sz w:val="18"/>
                <w:szCs w:val="18"/>
                <w:color w:val="auto"/>
              </w:rPr>
              <w:t>The liability for restructuring charges is included within other current liabilities and other long-term liabilities.</w:t>
            </w:r>
          </w:p>
        </w:tc>
        <w:tc>
          <w:tcPr>
            <w:tcW w:w="3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51"/>
        </w:trPr>
        <w:tc>
          <w:tcPr>
            <w:tcW w:w="93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7"/>
        </w:trPr>
        <w:tc>
          <w:tcPr>
            <w:tcW w:w="9300" w:type="dxa"/>
            <w:vAlign w:val="bottom"/>
          </w:tcPr>
          <w:p>
            <w:pPr>
              <w:spacing w:after="0"/>
              <w:rPr>
                <w:sz w:val="20"/>
                <w:szCs w:val="20"/>
                <w:color w:val="auto"/>
              </w:rPr>
            </w:pPr>
            <w:r>
              <w:rPr>
                <w:rFonts w:ascii="Arial" w:cs="Arial" w:eastAsia="Arial" w:hAnsi="Arial"/>
                <w:sz w:val="18"/>
                <w:szCs w:val="18"/>
                <w:b w:val="1"/>
                <w:bCs w:val="1"/>
                <w:color w:val="auto"/>
              </w:rPr>
              <w:t>Note 14. Income Taxes</w:t>
            </w:r>
          </w:p>
        </w:tc>
        <w:tc>
          <w:tcPr>
            <w:tcW w:w="3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1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effective tax rate was 19.7% for the third quarter of 2025 as compared to 28.8% in the third quarter of 2024. The decrease in our effective tax rate was primarily driven by a favorable jurisdictional mix of earnings, tax benefits related to the provision for final 2024 tax return filings, and the tax treatment of certain foreign pension assets.</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effective tax rate for the nine months ended September 30, 2025, was 24.9% as compared to 26.9% for the nine months ended September 30, 2024. The decrease in our year-to-date effective tax rate was primarily driven by tax benefits related to the provision for final 2024 tax return filings, the tax treatment of certain foreign pension assets, and the release of liabilities for uncertain tax positions due to audit developments and statute of limitation expirations in the nine months ended September 30, 2025. These benefits were partially offset by changes in our jurisdictional mix of earnings (including the impact of mark-to-market losses on commodity and foreign currency derivatives) as compared to the nine months ended September 30, 2024.</w:t>
      </w:r>
    </w:p>
    <w:p>
      <w:pPr>
        <w:spacing w:after="0" w:line="20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July 4, 2025, the One Big Beautiful Bill Act ("OBBBA") was signed into U.S. law. This legislation contains numerous tax provisions, including an increase to the tax rate applied to income earned by our foreign subsidiaries, favorable changes to foreign tax credit calculation methodologies, and changes to the timing of certain tax deductions for qualifying depreciable assets, costs of research and development performed in the U.S. and interest expense. The initial impact of the OBBBA legislation was not material to our third quarter earnings. Further, while we continue to monitor supplemental guidance released by the government, we do not expect any material impacts to our financial statements for the full year ending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6845935</wp:posOffset>
            </wp:positionH>
            <wp:positionV relativeFrom="paragraph">
              <wp:posOffset>170180</wp:posOffset>
            </wp:positionV>
            <wp:extent cx="282575" cy="1885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287655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Earnings per Share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Basic and diluted earnings per share (EPS) were calculated as follows: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2980" w:type="dxa"/>
            <w:vAlign w:val="bottom"/>
            <w:gridSpan w:val="6"/>
          </w:tcPr>
          <w:p>
            <w:pPr>
              <w:jc w:val="center"/>
              <w:ind w:right="100"/>
              <w:spacing w:after="0"/>
              <w:rPr>
                <w:sz w:val="20"/>
                <w:szCs w:val="20"/>
                <w:color w:val="auto"/>
              </w:rPr>
            </w:pPr>
            <w:r>
              <w:rPr>
                <w:rFonts w:ascii="Arial" w:cs="Arial" w:eastAsia="Arial" w:hAnsi="Arial"/>
                <w:sz w:val="14"/>
                <w:szCs w:val="14"/>
                <w:b w:val="1"/>
                <w:bCs w:val="1"/>
                <w:color w:val="auto"/>
              </w:rPr>
              <w:t>For the Three Months Ended</w:t>
            </w:r>
          </w:p>
        </w:tc>
        <w:tc>
          <w:tcPr>
            <w:tcW w:w="340" w:type="dxa"/>
            <w:vAlign w:val="bottom"/>
          </w:tcPr>
          <w:p>
            <w:pPr>
              <w:spacing w:after="0"/>
              <w:rPr>
                <w:sz w:val="14"/>
                <w:szCs w:val="14"/>
                <w:color w:val="auto"/>
              </w:rPr>
            </w:pPr>
          </w:p>
        </w:tc>
        <w:tc>
          <w:tcPr>
            <w:tcW w:w="2580" w:type="dxa"/>
            <w:vAlign w:val="bottom"/>
            <w:gridSpan w:val="4"/>
          </w:tcPr>
          <w:p>
            <w:pPr>
              <w:jc w:val="right"/>
              <w:ind w:right="432"/>
              <w:spacing w:after="0"/>
              <w:rPr>
                <w:sz w:val="20"/>
                <w:szCs w:val="20"/>
                <w:color w:val="auto"/>
              </w:rPr>
            </w:pPr>
            <w:r>
              <w:rPr>
                <w:rFonts w:ascii="Arial" w:cs="Arial" w:eastAsia="Arial" w:hAnsi="Arial"/>
                <w:sz w:val="14"/>
                <w:szCs w:val="14"/>
                <w:b w:val="1"/>
                <w:bCs w:val="1"/>
                <w:color w:val="auto"/>
              </w:rPr>
              <w:t>For the Nine Months Ended</w:t>
            </w:r>
          </w:p>
        </w:tc>
        <w:tc>
          <w:tcPr>
            <w:tcW w:w="0" w:type="dxa"/>
            <w:vAlign w:val="bottom"/>
          </w:tcPr>
          <w:p>
            <w:pPr>
              <w:spacing w:after="0"/>
              <w:rPr>
                <w:sz w:val="1"/>
                <w:szCs w:val="1"/>
                <w:color w:val="auto"/>
              </w:rPr>
            </w:pPr>
          </w:p>
        </w:tc>
      </w:tr>
      <w:tr>
        <w:trPr>
          <w:trHeight w:val="189"/>
        </w:trPr>
        <w:tc>
          <w:tcPr>
            <w:tcW w:w="5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120" w:type="dxa"/>
            <w:vAlign w:val="bottom"/>
            <w:gridSpan w:val="5"/>
          </w:tcPr>
          <w:p>
            <w:pPr>
              <w:jc w:val="center"/>
              <w:ind w:right="940"/>
              <w:spacing w:after="0"/>
              <w:rPr>
                <w:sz w:val="20"/>
                <w:szCs w:val="20"/>
                <w:color w:val="auto"/>
              </w:rPr>
            </w:pPr>
            <w:r>
              <w:rPr>
                <w:rFonts w:ascii="Arial" w:cs="Arial" w:eastAsia="Arial" w:hAnsi="Arial"/>
                <w:sz w:val="14"/>
                <w:szCs w:val="14"/>
                <w:b w:val="1"/>
                <w:bCs w:val="1"/>
                <w:color w:val="auto"/>
              </w:rPr>
              <w:t>September 30,</w:t>
            </w:r>
          </w:p>
        </w:tc>
        <w:tc>
          <w:tcPr>
            <w:tcW w:w="340" w:type="dxa"/>
            <w:vAlign w:val="bottom"/>
          </w:tcPr>
          <w:p>
            <w:pPr>
              <w:spacing w:after="0"/>
              <w:rPr>
                <w:sz w:val="16"/>
                <w:szCs w:val="16"/>
                <w:color w:val="auto"/>
              </w:rPr>
            </w:pPr>
          </w:p>
        </w:tc>
        <w:tc>
          <w:tcPr>
            <w:tcW w:w="168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280" w:type="dxa"/>
            <w:vAlign w:val="bottom"/>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54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top w:val="single" w:sz="8" w:color="auto"/>
              <w:bottom w:val="single" w:sz="8" w:color="auto"/>
            </w:tcBorders>
          </w:tcPr>
          <w:p>
            <w:pPr>
              <w:spacing w:after="0"/>
              <w:rPr>
                <w:sz w:val="16"/>
                <w:szCs w:val="16"/>
                <w:color w:val="auto"/>
              </w:rPr>
            </w:pPr>
          </w:p>
        </w:tc>
        <w:tc>
          <w:tcPr>
            <w:tcW w:w="50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196"/>
        </w:trPr>
        <w:tc>
          <w:tcPr>
            <w:tcW w:w="5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0" w:type="dxa"/>
            <w:vAlign w:val="bottom"/>
            <w:gridSpan w:val="5"/>
          </w:tcPr>
          <w:p>
            <w:pPr>
              <w:ind w:left="80"/>
              <w:spacing w:after="0"/>
              <w:rPr>
                <w:sz w:val="20"/>
                <w:szCs w:val="20"/>
                <w:color w:val="auto"/>
              </w:rPr>
            </w:pPr>
            <w:r>
              <w:rPr>
                <w:rFonts w:ascii="Arial" w:cs="Arial" w:eastAsia="Arial" w:hAnsi="Arial"/>
                <w:sz w:val="14"/>
                <w:szCs w:val="14"/>
                <w:b w:val="1"/>
                <w:bCs w:val="1"/>
                <w:color w:val="auto"/>
              </w:rPr>
              <w:t>(in millions, except per share data)</w:t>
            </w:r>
          </w:p>
        </w:tc>
        <w:tc>
          <w:tcPr>
            <w:tcW w:w="5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earnings</w:t>
            </w:r>
          </w:p>
        </w:tc>
        <w:tc>
          <w:tcPr>
            <w:tcW w:w="860" w:type="dxa"/>
            <w:vAlign w:val="bottom"/>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1,797</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2,875</w:t>
            </w:r>
          </w:p>
        </w:tc>
        <w:tc>
          <w:tcPr>
            <w:tcW w:w="0" w:type="dxa"/>
            <w:vAlign w:val="bottom"/>
          </w:tcPr>
          <w:p>
            <w:pPr>
              <w:spacing w:after="0"/>
              <w:rPr>
                <w:sz w:val="1"/>
                <w:szCs w:val="1"/>
                <w:color w:val="auto"/>
              </w:rPr>
            </w:pPr>
          </w:p>
        </w:tc>
      </w:tr>
      <w:tr>
        <w:trPr>
          <w:trHeight w:val="229"/>
        </w:trPr>
        <w:tc>
          <w:tcPr>
            <w:tcW w:w="52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less: Noncontrolling interest earnings</w:t>
            </w:r>
          </w:p>
        </w:tc>
        <w:tc>
          <w:tcPr>
            <w:tcW w:w="8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8"/>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earnings attributable to Mondelēz International</w:t>
            </w:r>
          </w:p>
        </w:tc>
        <w:tc>
          <w:tcPr>
            <w:tcW w:w="860" w:type="dxa"/>
            <w:vAlign w:val="bottom"/>
            <w:tcBorders>
              <w:bottom w:val="single" w:sz="8" w:color="auto"/>
            </w:tcBorders>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2,866</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Weighted-average shares for basic EPS</w:t>
            </w: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280" w:type="dxa"/>
            <w:vAlign w:val="bottom"/>
            <w:vMerge w:val="continue"/>
          </w:tcPr>
          <w:p>
            <w:pPr>
              <w:spacing w:after="0"/>
              <w:rPr>
                <w:sz w:val="17"/>
                <w:szCs w:val="17"/>
                <w:color w:val="auto"/>
              </w:rPr>
            </w:pPr>
          </w:p>
        </w:tc>
        <w:tc>
          <w:tcPr>
            <w:tcW w:w="860" w:type="dxa"/>
            <w:vAlign w:val="bottom"/>
          </w:tcPr>
          <w:p>
            <w:pPr>
              <w:spacing w:after="0"/>
              <w:rPr>
                <w:sz w:val="17"/>
                <w:szCs w:val="17"/>
                <w:color w:val="auto"/>
              </w:rPr>
            </w:pPr>
          </w:p>
        </w:tc>
        <w:tc>
          <w:tcPr>
            <w:tcW w:w="540" w:type="dxa"/>
            <w:vAlign w:val="bottom"/>
          </w:tcPr>
          <w:p>
            <w:pPr>
              <w:jc w:val="right"/>
              <w:spacing w:after="0" w:line="203" w:lineRule="exact"/>
              <w:rPr>
                <w:sz w:val="20"/>
                <w:szCs w:val="20"/>
                <w:color w:val="auto"/>
              </w:rPr>
            </w:pPr>
            <w:r>
              <w:rPr>
                <w:rFonts w:ascii="Arial" w:cs="Arial" w:eastAsia="Arial" w:hAnsi="Arial"/>
                <w:sz w:val="18"/>
                <w:szCs w:val="18"/>
                <w:color w:val="auto"/>
                <w:w w:val="97"/>
              </w:rPr>
              <w:t>1,293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spacing w:after="0" w:line="203" w:lineRule="exact"/>
              <w:rPr>
                <w:sz w:val="20"/>
                <w:szCs w:val="20"/>
                <w:color w:val="auto"/>
              </w:rPr>
            </w:pPr>
            <w:r>
              <w:rPr>
                <w:rFonts w:ascii="Arial" w:cs="Arial" w:eastAsia="Arial" w:hAnsi="Arial"/>
                <w:sz w:val="18"/>
                <w:szCs w:val="18"/>
                <w:color w:val="auto"/>
              </w:rPr>
              <w:t>1,339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line="203" w:lineRule="exact"/>
              <w:rPr>
                <w:sz w:val="20"/>
                <w:szCs w:val="20"/>
                <w:color w:val="auto"/>
              </w:rPr>
            </w:pPr>
            <w:r>
              <w:rPr>
                <w:rFonts w:ascii="Arial" w:cs="Arial" w:eastAsia="Arial" w:hAnsi="Arial"/>
                <w:sz w:val="18"/>
                <w:szCs w:val="18"/>
                <w:color w:val="auto"/>
              </w:rPr>
              <w:t>1,296</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Arial" w:cs="Arial" w:eastAsia="Arial" w:hAnsi="Arial"/>
                <w:sz w:val="18"/>
                <w:szCs w:val="18"/>
                <w:color w:val="auto"/>
              </w:rPr>
              <w:t>1,343</w:t>
            </w: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plus: Dilutive effect of outstanding stock awards</w:t>
            </w:r>
          </w:p>
        </w:tc>
        <w:tc>
          <w:tcPr>
            <w:tcW w:w="8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3"/>
        </w:trPr>
        <w:tc>
          <w:tcPr>
            <w:tcW w:w="5280" w:type="dxa"/>
            <w:vAlign w:val="bottom"/>
          </w:tcPr>
          <w:p>
            <w:pPr>
              <w:ind w:left="20"/>
              <w:spacing w:after="0"/>
              <w:rPr>
                <w:sz w:val="20"/>
                <w:szCs w:val="20"/>
                <w:color w:val="auto"/>
              </w:rPr>
            </w:pPr>
            <w:r>
              <w:rPr>
                <w:rFonts w:ascii="Arial" w:cs="Arial" w:eastAsia="Arial" w:hAnsi="Arial"/>
                <w:sz w:val="18"/>
                <w:szCs w:val="18"/>
                <w:color w:val="auto"/>
              </w:rPr>
              <w:t>Weighted-average shares for diluted EPS</w:t>
            </w:r>
          </w:p>
        </w:tc>
        <w:tc>
          <w:tcPr>
            <w:tcW w:w="8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1,296</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1,344</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1,300</w:t>
            </w:r>
          </w:p>
        </w:tc>
        <w:tc>
          <w:tcPr>
            <w:tcW w:w="1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1,349</w:t>
            </w:r>
          </w:p>
        </w:tc>
        <w:tc>
          <w:tcPr>
            <w:tcW w:w="0" w:type="dxa"/>
            <w:vAlign w:val="bottom"/>
          </w:tcPr>
          <w:p>
            <w:pPr>
              <w:spacing w:after="0"/>
              <w:rPr>
                <w:sz w:val="1"/>
                <w:szCs w:val="1"/>
                <w:color w:val="auto"/>
              </w:rPr>
            </w:pPr>
          </w:p>
        </w:tc>
      </w:tr>
      <w:tr>
        <w:trPr>
          <w:trHeight w:val="20"/>
        </w:trPr>
        <w:tc>
          <w:tcPr>
            <w:tcW w:w="52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280" w:type="dxa"/>
            <w:vAlign w:val="bottom"/>
            <w:shd w:val="clear" w:color="auto" w:fill="CCEEFF"/>
          </w:tcPr>
          <w:p>
            <w:pPr>
              <w:ind w:left="20"/>
              <w:spacing w:after="0" w:line="142" w:lineRule="exact"/>
              <w:rPr>
                <w:sz w:val="20"/>
                <w:szCs w:val="20"/>
                <w:color w:val="auto"/>
              </w:rPr>
            </w:pPr>
            <w:r>
              <w:rPr>
                <w:rFonts w:ascii="Arial" w:cs="Arial" w:eastAsia="Arial" w:hAnsi="Arial"/>
                <w:sz w:val="16"/>
                <w:szCs w:val="16"/>
                <w:color w:val="auto"/>
              </w:rPr>
              <w:t>Basic earnings per share attributable to</w:t>
            </w:r>
          </w:p>
        </w:tc>
        <w:tc>
          <w:tcPr>
            <w:tcW w:w="860" w:type="dxa"/>
            <w:vAlign w:val="bottom"/>
            <w:vMerge w:val="restart"/>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0.57</w:t>
            </w:r>
          </w:p>
        </w:tc>
        <w:tc>
          <w:tcPr>
            <w:tcW w:w="10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0.64</w:t>
            </w:r>
          </w:p>
        </w:tc>
        <w:tc>
          <w:tcPr>
            <w:tcW w:w="100" w:type="dxa"/>
            <w:vAlign w:val="bottom"/>
            <w:shd w:val="clear" w:color="auto" w:fill="CCEEFF"/>
          </w:tcPr>
          <w:p>
            <w:pPr>
              <w:spacing w:after="0"/>
              <w:rPr>
                <w:sz w:val="12"/>
                <w:szCs w:val="12"/>
                <w:color w:val="auto"/>
              </w:rPr>
            </w:pP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00" w:type="dxa"/>
            <w:vAlign w:val="bottom"/>
            <w:shd w:val="clear" w:color="auto" w:fill="CCEEFF"/>
          </w:tcPr>
          <w:p>
            <w:pPr>
              <w:spacing w:after="0"/>
              <w:rPr>
                <w:sz w:val="12"/>
                <w:szCs w:val="12"/>
                <w:color w:val="auto"/>
              </w:rPr>
            </w:pPr>
          </w:p>
        </w:tc>
        <w:tc>
          <w:tcPr>
            <w:tcW w:w="500" w:type="dxa"/>
            <w:vAlign w:val="bottom"/>
            <w:vMerge w:val="restart"/>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36"/>
        </w:trPr>
        <w:tc>
          <w:tcPr>
            <w:tcW w:w="5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Mondelēz International</w:t>
            </w: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5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11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10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vMerge w:val="continue"/>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Arial" w:cs="Arial" w:eastAsia="Arial" w:hAnsi="Arial"/>
                <w:sz w:val="18"/>
                <w:szCs w:val="18"/>
                <w:color w:val="auto"/>
              </w:rPr>
              <w:t>Diluted earnings per share attributable to</w:t>
            </w: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5280" w:type="dxa"/>
            <w:vAlign w:val="bottom"/>
            <w:vMerge w:val="continue"/>
          </w:tcPr>
          <w:p>
            <w:pPr>
              <w:spacing w:after="0"/>
              <w:rPr>
                <w:sz w:val="10"/>
                <w:szCs w:val="10"/>
                <w:color w:val="auto"/>
              </w:rPr>
            </w:pPr>
          </w:p>
        </w:tc>
        <w:tc>
          <w:tcPr>
            <w:tcW w:w="860" w:type="dxa"/>
            <w:vAlign w:val="bottom"/>
            <w:vMerge w:val="restart"/>
          </w:tcPr>
          <w:p>
            <w:pPr>
              <w:jc w:val="right"/>
              <w:ind w:right="656"/>
              <w:spacing w:after="0"/>
              <w:rPr>
                <w:sz w:val="20"/>
                <w:szCs w:val="20"/>
                <w:color w:val="auto"/>
              </w:rPr>
            </w:pPr>
            <w:r>
              <w:rPr>
                <w:rFonts w:ascii="Arial" w:cs="Arial" w:eastAsia="Arial" w:hAnsi="Arial"/>
                <w:sz w:val="18"/>
                <w:szCs w:val="18"/>
                <w:color w:val="auto"/>
                <w:w w:val="99"/>
              </w:rPr>
              <w:t>$</w:t>
            </w: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0.57</w:t>
            </w:r>
          </w:p>
        </w:tc>
        <w:tc>
          <w:tcPr>
            <w:tcW w:w="100" w:type="dxa"/>
            <w:vAlign w:val="bottom"/>
          </w:tcPr>
          <w:p>
            <w:pPr>
              <w:spacing w:after="0"/>
              <w:rPr>
                <w:sz w:val="10"/>
                <w:szCs w:val="10"/>
                <w:color w:val="auto"/>
              </w:rPr>
            </w:pPr>
          </w:p>
        </w:tc>
        <w:tc>
          <w:tcPr>
            <w:tcW w:w="200" w:type="dxa"/>
            <w:vAlign w:val="bottom"/>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0.63</w:t>
            </w:r>
          </w:p>
        </w:tc>
        <w:tc>
          <w:tcPr>
            <w:tcW w:w="100" w:type="dxa"/>
            <w:vAlign w:val="bottom"/>
          </w:tcPr>
          <w:p>
            <w:pPr>
              <w:spacing w:after="0"/>
              <w:rPr>
                <w:sz w:val="10"/>
                <w:szCs w:val="10"/>
                <w:color w:val="auto"/>
              </w:rPr>
            </w:pPr>
          </w:p>
        </w:tc>
        <w:tc>
          <w:tcPr>
            <w:tcW w:w="340" w:type="dxa"/>
            <w:vAlign w:val="bottom"/>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10"/>
                <w:szCs w:val="10"/>
                <w:color w:val="auto"/>
              </w:rPr>
            </w:pPr>
          </w:p>
        </w:tc>
        <w:tc>
          <w:tcPr>
            <w:tcW w:w="500" w:type="dxa"/>
            <w:vAlign w:val="bottom"/>
            <w:vMerge w:val="restart"/>
          </w:tcPr>
          <w:p>
            <w:pPr>
              <w:jc w:val="right"/>
              <w:ind w:right="290"/>
              <w:spacing w:after="0"/>
              <w:rPr>
                <w:sz w:val="20"/>
                <w:szCs w:val="20"/>
                <w:color w:val="auto"/>
              </w:rPr>
            </w:pPr>
            <w:r>
              <w:rPr>
                <w:rFonts w:ascii="Arial" w:cs="Arial" w:eastAsia="Arial" w:hAnsi="Arial"/>
                <w:sz w:val="18"/>
                <w:szCs w:val="18"/>
                <w:color w:val="auto"/>
                <w:w w:val="99"/>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21"/>
        </w:trPr>
        <w:tc>
          <w:tcPr>
            <w:tcW w:w="5280" w:type="dxa"/>
            <w:vAlign w:val="bottom"/>
          </w:tcPr>
          <w:p>
            <w:pPr>
              <w:ind w:left="180"/>
              <w:spacing w:after="0"/>
              <w:rPr>
                <w:sz w:val="20"/>
                <w:szCs w:val="20"/>
                <w:color w:val="auto"/>
              </w:rPr>
            </w:pPr>
            <w:r>
              <w:rPr>
                <w:rFonts w:ascii="Arial" w:cs="Arial" w:eastAsia="Arial" w:hAnsi="Arial"/>
                <w:sz w:val="18"/>
                <w:szCs w:val="18"/>
                <w:color w:val="auto"/>
              </w:rPr>
              <w:t>Mondelēz International</w:t>
            </w:r>
          </w:p>
        </w:tc>
        <w:tc>
          <w:tcPr>
            <w:tcW w:w="860" w:type="dxa"/>
            <w:vAlign w:val="bottom"/>
            <w:tcBorders>
              <w:bottom w:val="single" w:sz="8" w:color="auto"/>
            </w:tcBorders>
            <w:vMerge w:val="continue"/>
          </w:tcPr>
          <w:p>
            <w:pPr>
              <w:spacing w:after="0"/>
              <w:rPr>
                <w:sz w:val="18"/>
                <w:szCs w:val="18"/>
                <w:color w:val="auto"/>
              </w:rPr>
            </w:pPr>
          </w:p>
        </w:tc>
        <w:tc>
          <w:tcPr>
            <w:tcW w:w="5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vMerge w:val="continue"/>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Borders>
              <w:bottom w:val="single" w:sz="8" w:color="auto"/>
            </w:tcBorders>
            <w:vMerge w:val="continue"/>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2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exclude antidilutive Mondelēz International share-based payment awards from our calculation of weighted-average shares for diluted EPS. We excluded antidilutive stock options and performance share units of 8.1 million and 3.7 million for the three months ended September 30, 2025 and 2024, respectively, and 4.0 million and 3.3 million for the nine months ended September 30, 2025 and 2024, respectively.</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Segment Reporting</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We manufacture and market primarily snack food products, including chocolate, biscuits and baked snacks, as well as gum &amp; candy, cheese</w:t>
      </w:r>
    </w:p>
    <w:p>
      <w:pPr>
        <w:spacing w:after="0" w:line="27" w:lineRule="exact"/>
        <w:rPr>
          <w:sz w:val="20"/>
          <w:szCs w:val="20"/>
          <w:color w:val="auto"/>
        </w:rPr>
      </w:pPr>
    </w:p>
    <w:p>
      <w:pPr>
        <w:jc w:val="both"/>
        <w:ind w:firstLine="8"/>
        <w:spacing w:after="0" w:line="255" w:lineRule="auto"/>
        <w:tabs>
          <w:tab w:leader="none" w:pos="173" w:val="left"/>
        </w:tabs>
        <w:numPr>
          <w:ilvl w:val="0"/>
          <w:numId w:val="11"/>
        </w:numPr>
        <w:rPr>
          <w:rFonts w:ascii="Arial" w:cs="Arial" w:eastAsia="Arial" w:hAnsi="Arial"/>
          <w:sz w:val="18"/>
          <w:szCs w:val="18"/>
          <w:color w:val="auto"/>
        </w:rPr>
      </w:pPr>
      <w:r>
        <w:rPr>
          <w:rFonts w:ascii="Arial" w:cs="Arial" w:eastAsia="Arial" w:hAnsi="Arial"/>
          <w:sz w:val="18"/>
          <w:szCs w:val="18"/>
          <w:color w:val="auto"/>
        </w:rPr>
        <w:t>grocery and powdered beverages. We manage our global business and report operating results through geographic units. We manage our operations by region to leverage regional operating scale, manage different and changing business environments more effectively and pursue growth opportunities as they arise across our key markets. Our regional management teams have responsibility for the business, product categories and financial results in the regions.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Our operations and management structure are organized into four operating segments:</w:t>
      </w:r>
    </w:p>
    <w:p>
      <w:pPr>
        <w:spacing w:after="0" w:line="27" w:lineRule="exact"/>
        <w:rPr>
          <w:sz w:val="20"/>
          <w:szCs w:val="20"/>
          <w:color w:val="auto"/>
        </w:rPr>
      </w:pPr>
    </w:p>
    <w:p>
      <w:pPr>
        <w:ind w:left="320" w:hanging="112"/>
        <w:spacing w:after="0"/>
        <w:tabs>
          <w:tab w:leader="none" w:pos="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Latin America</w:t>
      </w:r>
    </w:p>
    <w:p>
      <w:pPr>
        <w:spacing w:after="0" w:line="9" w:lineRule="exact"/>
        <w:rPr>
          <w:rFonts w:ascii="Arial" w:cs="Arial" w:eastAsia="Arial" w:hAnsi="Arial"/>
          <w:sz w:val="18"/>
          <w:szCs w:val="18"/>
          <w:color w:val="auto"/>
        </w:rPr>
      </w:pPr>
    </w:p>
    <w:p>
      <w:pPr>
        <w:ind w:left="320" w:hanging="112"/>
        <w:spacing w:after="0"/>
        <w:tabs>
          <w:tab w:leader="none" w:pos="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AMEA</w:t>
      </w:r>
    </w:p>
    <w:p>
      <w:pPr>
        <w:spacing w:after="0" w:line="9" w:lineRule="exact"/>
        <w:rPr>
          <w:rFonts w:ascii="Arial" w:cs="Arial" w:eastAsia="Arial" w:hAnsi="Arial"/>
          <w:sz w:val="18"/>
          <w:szCs w:val="18"/>
          <w:color w:val="auto"/>
        </w:rPr>
      </w:pPr>
    </w:p>
    <w:p>
      <w:pPr>
        <w:ind w:left="320" w:hanging="112"/>
        <w:spacing w:after="0"/>
        <w:tabs>
          <w:tab w:leader="none" w:pos="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Europe</w:t>
      </w:r>
    </w:p>
    <w:p>
      <w:pPr>
        <w:spacing w:after="0" w:line="9" w:lineRule="exact"/>
        <w:rPr>
          <w:rFonts w:ascii="Arial" w:cs="Arial" w:eastAsia="Arial" w:hAnsi="Arial"/>
          <w:sz w:val="18"/>
          <w:szCs w:val="18"/>
          <w:color w:val="auto"/>
        </w:rPr>
      </w:pPr>
    </w:p>
    <w:p>
      <w:pPr>
        <w:ind w:left="320" w:hanging="112"/>
        <w:spacing w:after="0"/>
        <w:tabs>
          <w:tab w:leader="none" w:pos="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North America</w:t>
      </w:r>
    </w:p>
    <w:p>
      <w:pPr>
        <w:spacing w:after="0" w:line="23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Our Chief Operating Decision Maker ("CODM") is our Chief Executive Officer. Our CODM uses segment operating income in the annual plan and forecasting process and considers actual versus plan variances in assessing the performance of the segment. The CODM also uses segment operating income as an input to the overall compensation measures for segment management under our incentive compensation plans. We believe it is appropriate to disclose this measure to help investors analyze segment performance and trends. Segment operating income excludes certain mark-to-market impacts on commodity and foreign currency derivatives (which are primarily a component of cost of sales), general corporate expenses (which are a component of selling, general and administrative expenses), amortization of intangibles, gains and losses on divestitures and acquisition-related costs (which are a component of selling, general and administrative expenses) in all periods presented. We exclude these items from segment operating income in order to provide better transparency of our segment operating results. Furthermore, we centrally manage benefit plan non-service income and interest and other expense, net. Accordingly, we do not present these items by segment because they are excluded from the segment profitability measure that our CODM reviews. Additionally, assets for reportable segments are not disclosed as such information is not regularly reviewed by the Company's CODM.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6845935</wp:posOffset>
            </wp:positionH>
            <wp:positionV relativeFrom="paragraph">
              <wp:posOffset>633730</wp:posOffset>
            </wp:positionV>
            <wp:extent cx="282575" cy="1885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287655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Our segment net revenue, significant segment expenses and operating income, by reportable segment were as follows: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280" w:type="dxa"/>
            <w:vAlign w:val="bottom"/>
            <w:tcBorders>
              <w:bottom w:val="single" w:sz="8" w:color="auto"/>
            </w:tcBorders>
            <w:gridSpan w:val="6"/>
          </w:tcPr>
          <w:p>
            <w:pPr>
              <w:jc w:val="center"/>
              <w:ind w:left="275"/>
              <w:spacing w:after="0"/>
              <w:rPr>
                <w:sz w:val="20"/>
                <w:szCs w:val="20"/>
                <w:color w:val="auto"/>
              </w:rPr>
            </w:pPr>
            <w:r>
              <w:rPr>
                <w:rFonts w:ascii="Arial" w:cs="Arial" w:eastAsia="Arial" w:hAnsi="Arial"/>
                <w:sz w:val="14"/>
                <w:szCs w:val="14"/>
                <w:b w:val="1"/>
                <w:bCs w:val="1"/>
                <w:color w:val="auto"/>
              </w:rPr>
              <w:t>Three Months Ended September 30, 2025</w:t>
            </w:r>
          </w:p>
        </w:tc>
        <w:tc>
          <w:tcPr>
            <w:tcW w:w="6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 millions)</w:t>
            </w: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spacing w:after="0"/>
              <w:rPr>
                <w:sz w:val="20"/>
                <w:szCs w:val="20"/>
                <w:color w:val="auto"/>
              </w:rPr>
            </w:pPr>
            <w:r>
              <w:rPr>
                <w:rFonts w:ascii="Arial" w:cs="Arial" w:eastAsia="Arial" w:hAnsi="Arial"/>
                <w:sz w:val="16"/>
                <w:szCs w:val="16"/>
                <w:b w:val="1"/>
                <w:bCs w:val="1"/>
                <w:color w:val="auto"/>
              </w:rPr>
              <w:t>Latin America</w:t>
            </w:r>
          </w:p>
        </w:tc>
        <w:tc>
          <w:tcPr>
            <w:tcW w:w="280" w:type="dxa"/>
            <w:vAlign w:val="bottom"/>
          </w:tcPr>
          <w:p>
            <w:pPr>
              <w:spacing w:after="0"/>
              <w:rPr>
                <w:sz w:val="18"/>
                <w:szCs w:val="18"/>
                <w:color w:val="auto"/>
              </w:rPr>
            </w:pPr>
          </w:p>
        </w:tc>
        <w:tc>
          <w:tcPr>
            <w:tcW w:w="1160" w:type="dxa"/>
            <w:vAlign w:val="bottom"/>
            <w:gridSpan w:val="2"/>
          </w:tcPr>
          <w:p>
            <w:pPr>
              <w:ind w:left="160"/>
              <w:spacing w:after="0"/>
              <w:rPr>
                <w:sz w:val="20"/>
                <w:szCs w:val="20"/>
                <w:color w:val="auto"/>
              </w:rPr>
            </w:pPr>
            <w:r>
              <w:rPr>
                <w:rFonts w:ascii="Arial" w:cs="Arial" w:eastAsia="Arial" w:hAnsi="Arial"/>
                <w:sz w:val="16"/>
                <w:szCs w:val="16"/>
                <w:b w:val="1"/>
                <w:bCs w:val="1"/>
                <w:color w:val="auto"/>
              </w:rPr>
              <w:t>AMEA</w:t>
            </w:r>
          </w:p>
        </w:tc>
        <w:tc>
          <w:tcPr>
            <w:tcW w:w="180" w:type="dxa"/>
            <w:vAlign w:val="bottom"/>
          </w:tcPr>
          <w:p>
            <w:pPr>
              <w:spacing w:after="0"/>
              <w:rPr>
                <w:sz w:val="18"/>
                <w:szCs w:val="18"/>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7"/>
              </w:rPr>
              <w:t>Europe</w:t>
            </w:r>
          </w:p>
        </w:tc>
        <w:tc>
          <w:tcPr>
            <w:tcW w:w="1420" w:type="dxa"/>
            <w:vAlign w:val="bottom"/>
            <w:gridSpan w:val="3"/>
          </w:tcPr>
          <w:p>
            <w:pPr>
              <w:ind w:left="100"/>
              <w:spacing w:after="0"/>
              <w:rPr>
                <w:sz w:val="20"/>
                <w:szCs w:val="20"/>
                <w:color w:val="auto"/>
              </w:rPr>
            </w:pPr>
            <w:r>
              <w:rPr>
                <w:rFonts w:ascii="Arial" w:cs="Arial" w:eastAsia="Arial" w:hAnsi="Arial"/>
                <w:sz w:val="16"/>
                <w:szCs w:val="16"/>
                <w:b w:val="1"/>
                <w:bCs w:val="1"/>
                <w:color w:val="auto"/>
              </w:rPr>
              <w:t>North America</w:t>
            </w:r>
          </w:p>
        </w:tc>
        <w:tc>
          <w:tcPr>
            <w:tcW w:w="300" w:type="dxa"/>
            <w:vAlign w:val="bottom"/>
          </w:tcPr>
          <w:p>
            <w:pPr>
              <w:spacing w:after="0"/>
              <w:rPr>
                <w:sz w:val="18"/>
                <w:szCs w:val="18"/>
                <w:color w:val="auto"/>
              </w:rPr>
            </w:pPr>
          </w:p>
        </w:tc>
        <w:tc>
          <w:tcPr>
            <w:tcW w:w="1040" w:type="dxa"/>
            <w:vAlign w:val="bottom"/>
          </w:tcPr>
          <w:p>
            <w:pPr>
              <w:jc w:val="right"/>
              <w:ind w:right="39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23"/>
        </w:trPr>
        <w:tc>
          <w:tcPr>
            <w:tcW w:w="4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1,238</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3,674</w:t>
            </w:r>
          </w:p>
        </w:tc>
        <w:tc>
          <w:tcPr>
            <w:tcW w:w="10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ind w:right="473"/>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2,815</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9,744</w:t>
            </w:r>
          </w:p>
        </w:tc>
        <w:tc>
          <w:tcPr>
            <w:tcW w:w="0" w:type="dxa"/>
            <w:vAlign w:val="bottom"/>
          </w:tcPr>
          <w:p>
            <w:pPr>
              <w:spacing w:after="0"/>
              <w:rPr>
                <w:sz w:val="1"/>
                <w:szCs w:val="1"/>
                <w:color w:val="auto"/>
              </w:rPr>
            </w:pPr>
          </w:p>
        </w:tc>
      </w:tr>
      <w:tr>
        <w:trPr>
          <w:trHeight w:val="229"/>
        </w:trPr>
        <w:tc>
          <w:tcPr>
            <w:tcW w:w="4120" w:type="dxa"/>
            <w:vAlign w:val="bottom"/>
          </w:tcPr>
          <w:p>
            <w:pPr>
              <w:ind w:left="20"/>
              <w:spacing w:after="0"/>
              <w:rPr>
                <w:sz w:val="20"/>
                <w:szCs w:val="20"/>
                <w:color w:val="auto"/>
              </w:rPr>
            </w:pPr>
            <w:r>
              <w:rPr>
                <w:rFonts w:ascii="Arial" w:cs="Arial" w:eastAsia="Arial" w:hAnsi="Arial"/>
                <w:sz w:val="18"/>
                <w:szCs w:val="18"/>
                <w:color w:val="auto"/>
              </w:rPr>
              <w:t>Segment cost of sales</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(849)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(1,379)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(2,791)</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(1,766)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(6,785)</w:t>
            </w:r>
          </w:p>
        </w:tc>
        <w:tc>
          <w:tcPr>
            <w:tcW w:w="0" w:type="dxa"/>
            <w:vAlign w:val="bottom"/>
          </w:tcPr>
          <w:p>
            <w:pPr>
              <w:spacing w:after="0"/>
              <w:rPr>
                <w:sz w:val="1"/>
                <w:szCs w:val="1"/>
                <w:color w:val="auto"/>
              </w:rPr>
            </w:pPr>
          </w:p>
        </w:tc>
      </w:tr>
      <w:tr>
        <w:trPr>
          <w:trHeight w:val="181"/>
        </w:trPr>
        <w:tc>
          <w:tcPr>
            <w:tcW w:w="412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Segment selling, general and administrative</w:t>
            </w:r>
          </w:p>
        </w:tc>
        <w:tc>
          <w:tcPr>
            <w:tcW w:w="14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(1,791)</w:t>
            </w:r>
          </w:p>
        </w:tc>
        <w:tc>
          <w:tcPr>
            <w:tcW w:w="0" w:type="dxa"/>
            <w:vAlign w:val="bottom"/>
          </w:tcPr>
          <w:p>
            <w:pPr>
              <w:spacing w:after="0"/>
              <w:rPr>
                <w:sz w:val="1"/>
                <w:szCs w:val="1"/>
                <w:color w:val="auto"/>
              </w:rPr>
            </w:pPr>
          </w:p>
        </w:tc>
      </w:tr>
      <w:tr>
        <w:trPr>
          <w:trHeight w:val="237"/>
        </w:trPr>
        <w:tc>
          <w:tcPr>
            <w:tcW w:w="4120" w:type="dxa"/>
            <w:vAlign w:val="bottom"/>
            <w:shd w:val="clear" w:color="auto" w:fill="CCEEFF"/>
          </w:tcPr>
          <w:p>
            <w:pPr>
              <w:ind w:left="20"/>
              <w:spacing w:after="0" w:line="237" w:lineRule="exact"/>
              <w:rPr>
                <w:sz w:val="20"/>
                <w:szCs w:val="20"/>
                <w:color w:val="auto"/>
              </w:rPr>
            </w:pPr>
            <w:r>
              <w:rPr>
                <w:rFonts w:ascii="Arial" w:cs="Arial" w:eastAsia="Arial" w:hAnsi="Arial"/>
                <w:sz w:val="18"/>
                <w:szCs w:val="18"/>
                <w:color w:val="auto"/>
              </w:rPr>
              <w:t xml:space="preserve">expenses </w:t>
            </w:r>
            <w:r>
              <w:rPr>
                <w:rFonts w:ascii="Arial" w:cs="Arial" w:eastAsia="Arial" w:hAnsi="Arial"/>
                <w:sz w:val="23"/>
                <w:szCs w:val="23"/>
                <w:color w:val="auto"/>
                <w:vertAlign w:val="superscript"/>
              </w:rPr>
              <w:t>(1)</w:t>
            </w:r>
          </w:p>
        </w:tc>
        <w:tc>
          <w:tcPr>
            <w:tcW w:w="14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120" w:type="dxa"/>
            <w:vAlign w:val="bottom"/>
          </w:tcPr>
          <w:p>
            <w:pPr>
              <w:ind w:left="20"/>
              <w:spacing w:after="0"/>
              <w:rPr>
                <w:sz w:val="20"/>
                <w:szCs w:val="20"/>
                <w:color w:val="auto"/>
              </w:rPr>
            </w:pPr>
            <w:r>
              <w:rPr>
                <w:rFonts w:ascii="Arial" w:cs="Arial" w:eastAsia="Arial" w:hAnsi="Arial"/>
                <w:sz w:val="18"/>
                <w:szCs w:val="18"/>
                <w:color w:val="auto"/>
              </w:rPr>
              <w:t>Segment operating income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19"/>
                <w:szCs w:val="19"/>
                <w:color w:val="auto"/>
              </w:rPr>
            </w:pPr>
          </w:p>
        </w:tc>
        <w:tc>
          <w:tcPr>
            <w:tcW w:w="680" w:type="dxa"/>
            <w:vAlign w:val="bottom"/>
          </w:tcPr>
          <w:p>
            <w:pPr>
              <w:jc w:val="right"/>
              <w:ind w:right="473"/>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547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1,168</w:t>
            </w: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Mark-to-market losses from derivatives</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29"/>
        </w:trPr>
        <w:tc>
          <w:tcPr>
            <w:tcW w:w="4120" w:type="dxa"/>
            <w:vAlign w:val="bottom"/>
          </w:tcPr>
          <w:p>
            <w:pPr>
              <w:ind w:left="20"/>
              <w:spacing w:after="0"/>
              <w:rPr>
                <w:sz w:val="20"/>
                <w:szCs w:val="20"/>
                <w:color w:val="auto"/>
              </w:rPr>
            </w:pPr>
            <w:r>
              <w:rPr>
                <w:rFonts w:ascii="Arial" w:cs="Arial" w:eastAsia="Arial" w:hAnsi="Arial"/>
                <w:sz w:val="18"/>
                <w:szCs w:val="18"/>
                <w:color w:val="auto"/>
              </w:rPr>
              <w:t>General corporate expenses</w:t>
            </w: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29"/>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intangible assets</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3"/>
        </w:trPr>
        <w:tc>
          <w:tcPr>
            <w:tcW w:w="4120" w:type="dxa"/>
            <w:vAlign w:val="bottom"/>
          </w:tcPr>
          <w:p>
            <w:pPr>
              <w:ind w:left="140"/>
              <w:spacing w:after="0"/>
              <w:rPr>
                <w:sz w:val="20"/>
                <w:szCs w:val="20"/>
                <w:color w:val="auto"/>
              </w:rPr>
            </w:pPr>
            <w:r>
              <w:rPr>
                <w:rFonts w:ascii="Arial" w:cs="Arial" w:eastAsia="Arial" w:hAnsi="Arial"/>
                <w:sz w:val="18"/>
                <w:szCs w:val="18"/>
                <w:color w:val="auto"/>
              </w:rPr>
              <w:t>Operating income</w:t>
            </w: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744</w:t>
            </w:r>
          </w:p>
        </w:tc>
        <w:tc>
          <w:tcPr>
            <w:tcW w:w="0" w:type="dxa"/>
            <w:vAlign w:val="bottom"/>
          </w:tcPr>
          <w:p>
            <w:pPr>
              <w:spacing w:after="0"/>
              <w:rPr>
                <w:sz w:val="1"/>
                <w:szCs w:val="1"/>
                <w:color w:val="auto"/>
              </w:rPr>
            </w:pPr>
          </w:p>
        </w:tc>
      </w:tr>
      <w:tr>
        <w:trPr>
          <w:trHeight w:val="21"/>
        </w:trPr>
        <w:tc>
          <w:tcPr>
            <w:tcW w:w="4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80" w:type="dxa"/>
            <w:vAlign w:val="bottom"/>
            <w:gridSpan w:val="6"/>
            <w:vMerge w:val="restart"/>
          </w:tcPr>
          <w:p>
            <w:pPr>
              <w:jc w:val="center"/>
              <w:ind w:left="275"/>
              <w:spacing w:after="0"/>
              <w:rPr>
                <w:sz w:val="20"/>
                <w:szCs w:val="20"/>
                <w:color w:val="auto"/>
              </w:rPr>
            </w:pPr>
            <w:r>
              <w:rPr>
                <w:rFonts w:ascii="Arial" w:cs="Arial" w:eastAsia="Arial" w:hAnsi="Arial"/>
                <w:sz w:val="14"/>
                <w:szCs w:val="14"/>
                <w:b w:val="1"/>
                <w:bCs w:val="1"/>
                <w:color w:val="auto"/>
              </w:rPr>
              <w:t>Three Months Ended September 30, 2024</w:t>
            </w: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6"/>
        </w:trPr>
        <w:tc>
          <w:tcPr>
            <w:tcW w:w="4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6"/>
            <w:vMerge w:val="continue"/>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4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 millions)</w:t>
            </w: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spacing w:after="0"/>
              <w:rPr>
                <w:sz w:val="20"/>
                <w:szCs w:val="20"/>
                <w:color w:val="auto"/>
              </w:rPr>
            </w:pPr>
            <w:r>
              <w:rPr>
                <w:rFonts w:ascii="Arial" w:cs="Arial" w:eastAsia="Arial" w:hAnsi="Arial"/>
                <w:sz w:val="16"/>
                <w:szCs w:val="16"/>
                <w:b w:val="1"/>
                <w:bCs w:val="1"/>
                <w:color w:val="auto"/>
              </w:rPr>
              <w:t>Latin America</w:t>
            </w:r>
          </w:p>
        </w:tc>
        <w:tc>
          <w:tcPr>
            <w:tcW w:w="280" w:type="dxa"/>
            <w:vAlign w:val="bottom"/>
          </w:tcPr>
          <w:p>
            <w:pPr>
              <w:spacing w:after="0"/>
              <w:rPr>
                <w:sz w:val="18"/>
                <w:szCs w:val="18"/>
                <w:color w:val="auto"/>
              </w:rPr>
            </w:pPr>
          </w:p>
        </w:tc>
        <w:tc>
          <w:tcPr>
            <w:tcW w:w="1160" w:type="dxa"/>
            <w:vAlign w:val="bottom"/>
            <w:gridSpan w:val="2"/>
          </w:tcPr>
          <w:p>
            <w:pPr>
              <w:ind w:left="160"/>
              <w:spacing w:after="0"/>
              <w:rPr>
                <w:sz w:val="20"/>
                <w:szCs w:val="20"/>
                <w:color w:val="auto"/>
              </w:rPr>
            </w:pPr>
            <w:r>
              <w:rPr>
                <w:rFonts w:ascii="Arial" w:cs="Arial" w:eastAsia="Arial" w:hAnsi="Arial"/>
                <w:sz w:val="16"/>
                <w:szCs w:val="16"/>
                <w:b w:val="1"/>
                <w:bCs w:val="1"/>
                <w:color w:val="auto"/>
              </w:rPr>
              <w:t>AMEA</w:t>
            </w:r>
          </w:p>
        </w:tc>
        <w:tc>
          <w:tcPr>
            <w:tcW w:w="180" w:type="dxa"/>
            <w:vAlign w:val="bottom"/>
          </w:tcPr>
          <w:p>
            <w:pPr>
              <w:spacing w:after="0"/>
              <w:rPr>
                <w:sz w:val="18"/>
                <w:szCs w:val="18"/>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7"/>
              </w:rPr>
              <w:t>Europe</w:t>
            </w:r>
          </w:p>
        </w:tc>
        <w:tc>
          <w:tcPr>
            <w:tcW w:w="1420" w:type="dxa"/>
            <w:vAlign w:val="bottom"/>
            <w:gridSpan w:val="3"/>
          </w:tcPr>
          <w:p>
            <w:pPr>
              <w:ind w:left="100"/>
              <w:spacing w:after="0"/>
              <w:rPr>
                <w:sz w:val="20"/>
                <w:szCs w:val="20"/>
                <w:color w:val="auto"/>
              </w:rPr>
            </w:pPr>
            <w:r>
              <w:rPr>
                <w:rFonts w:ascii="Arial" w:cs="Arial" w:eastAsia="Arial" w:hAnsi="Arial"/>
                <w:sz w:val="16"/>
                <w:szCs w:val="16"/>
                <w:b w:val="1"/>
                <w:bCs w:val="1"/>
                <w:color w:val="auto"/>
              </w:rPr>
              <w:t>North America</w:t>
            </w:r>
          </w:p>
        </w:tc>
        <w:tc>
          <w:tcPr>
            <w:tcW w:w="300" w:type="dxa"/>
            <w:vAlign w:val="bottom"/>
          </w:tcPr>
          <w:p>
            <w:pPr>
              <w:spacing w:after="0"/>
              <w:rPr>
                <w:sz w:val="18"/>
                <w:szCs w:val="18"/>
                <w:color w:val="auto"/>
              </w:rPr>
            </w:pPr>
          </w:p>
        </w:tc>
        <w:tc>
          <w:tcPr>
            <w:tcW w:w="1040" w:type="dxa"/>
            <w:vAlign w:val="bottom"/>
          </w:tcPr>
          <w:p>
            <w:pPr>
              <w:jc w:val="right"/>
              <w:ind w:right="39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23"/>
        </w:trPr>
        <w:tc>
          <w:tcPr>
            <w:tcW w:w="4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1,204</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3,323</w:t>
            </w:r>
          </w:p>
        </w:tc>
        <w:tc>
          <w:tcPr>
            <w:tcW w:w="10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ind w:right="473"/>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2,826</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9,204</w:t>
            </w:r>
          </w:p>
        </w:tc>
        <w:tc>
          <w:tcPr>
            <w:tcW w:w="0" w:type="dxa"/>
            <w:vAlign w:val="bottom"/>
          </w:tcPr>
          <w:p>
            <w:pPr>
              <w:spacing w:after="0"/>
              <w:rPr>
                <w:sz w:val="1"/>
                <w:szCs w:val="1"/>
                <w:color w:val="auto"/>
              </w:rPr>
            </w:pPr>
          </w:p>
        </w:tc>
      </w:tr>
      <w:tr>
        <w:trPr>
          <w:trHeight w:val="229"/>
        </w:trPr>
        <w:tc>
          <w:tcPr>
            <w:tcW w:w="4120" w:type="dxa"/>
            <w:vAlign w:val="bottom"/>
          </w:tcPr>
          <w:p>
            <w:pPr>
              <w:ind w:left="20"/>
              <w:spacing w:after="0"/>
              <w:rPr>
                <w:sz w:val="20"/>
                <w:szCs w:val="20"/>
                <w:color w:val="auto"/>
              </w:rPr>
            </w:pPr>
            <w:r>
              <w:rPr>
                <w:rFonts w:ascii="Arial" w:cs="Arial" w:eastAsia="Arial" w:hAnsi="Arial"/>
                <w:sz w:val="18"/>
                <w:szCs w:val="18"/>
                <w:color w:val="auto"/>
              </w:rPr>
              <w:t>Segment cost of sales</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(780)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(1,048)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(2,002)</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(1,663)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(5,493)</w:t>
            </w:r>
          </w:p>
        </w:tc>
        <w:tc>
          <w:tcPr>
            <w:tcW w:w="0" w:type="dxa"/>
            <w:vAlign w:val="bottom"/>
          </w:tcPr>
          <w:p>
            <w:pPr>
              <w:spacing w:after="0"/>
              <w:rPr>
                <w:sz w:val="1"/>
                <w:szCs w:val="1"/>
                <w:color w:val="auto"/>
              </w:rPr>
            </w:pPr>
          </w:p>
        </w:tc>
      </w:tr>
      <w:tr>
        <w:trPr>
          <w:trHeight w:val="176"/>
        </w:trPr>
        <w:tc>
          <w:tcPr>
            <w:tcW w:w="41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Segment selling, general and administrative</w:t>
            </w:r>
          </w:p>
        </w:tc>
        <w:tc>
          <w:tcPr>
            <w:tcW w:w="14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(716)</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(1,728)</w:t>
            </w:r>
          </w:p>
        </w:tc>
        <w:tc>
          <w:tcPr>
            <w:tcW w:w="0" w:type="dxa"/>
            <w:vAlign w:val="bottom"/>
          </w:tcPr>
          <w:p>
            <w:pPr>
              <w:spacing w:after="0"/>
              <w:rPr>
                <w:sz w:val="1"/>
                <w:szCs w:val="1"/>
                <w:color w:val="auto"/>
              </w:rPr>
            </w:pPr>
          </w:p>
        </w:tc>
      </w:tr>
      <w:tr>
        <w:trPr>
          <w:trHeight w:val="243"/>
        </w:trPr>
        <w:tc>
          <w:tcPr>
            <w:tcW w:w="4120" w:type="dxa"/>
            <w:vAlign w:val="bottom"/>
            <w:shd w:val="clear" w:color="auto" w:fill="CCEEFF"/>
          </w:tcPr>
          <w:p>
            <w:pPr>
              <w:ind w:left="20"/>
              <w:spacing w:after="0" w:line="243" w:lineRule="exact"/>
              <w:rPr>
                <w:sz w:val="20"/>
                <w:szCs w:val="20"/>
                <w:color w:val="auto"/>
              </w:rPr>
            </w:pPr>
            <w:r>
              <w:rPr>
                <w:rFonts w:ascii="Arial" w:cs="Arial" w:eastAsia="Arial" w:hAnsi="Arial"/>
                <w:sz w:val="18"/>
                <w:szCs w:val="18"/>
                <w:color w:val="auto"/>
              </w:rPr>
              <w:t xml:space="preserve">expenses </w:t>
            </w:r>
            <w:r>
              <w:rPr>
                <w:rFonts w:ascii="Arial" w:cs="Arial" w:eastAsia="Arial" w:hAnsi="Arial"/>
                <w:sz w:val="23"/>
                <w:szCs w:val="23"/>
                <w:color w:val="auto"/>
                <w:vertAlign w:val="superscript"/>
              </w:rPr>
              <w:t>(1)</w:t>
            </w:r>
          </w:p>
        </w:tc>
        <w:tc>
          <w:tcPr>
            <w:tcW w:w="1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120" w:type="dxa"/>
            <w:vAlign w:val="bottom"/>
          </w:tcPr>
          <w:p>
            <w:pPr>
              <w:ind w:left="20"/>
              <w:spacing w:after="0"/>
              <w:rPr>
                <w:sz w:val="20"/>
                <w:szCs w:val="20"/>
                <w:color w:val="auto"/>
              </w:rPr>
            </w:pPr>
            <w:r>
              <w:rPr>
                <w:rFonts w:ascii="Arial" w:cs="Arial" w:eastAsia="Arial" w:hAnsi="Arial"/>
                <w:sz w:val="18"/>
                <w:szCs w:val="18"/>
                <w:color w:val="auto"/>
              </w:rPr>
              <w:t>Segment operating income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335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605</w:t>
            </w:r>
          </w:p>
        </w:tc>
        <w:tc>
          <w:tcPr>
            <w:tcW w:w="100" w:type="dxa"/>
            <w:vAlign w:val="bottom"/>
          </w:tcPr>
          <w:p>
            <w:pPr>
              <w:spacing w:after="0"/>
              <w:rPr>
                <w:sz w:val="19"/>
                <w:szCs w:val="19"/>
                <w:color w:val="auto"/>
              </w:rPr>
            </w:pPr>
          </w:p>
        </w:tc>
        <w:tc>
          <w:tcPr>
            <w:tcW w:w="680" w:type="dxa"/>
            <w:vAlign w:val="bottom"/>
          </w:tcPr>
          <w:p>
            <w:pPr>
              <w:jc w:val="right"/>
              <w:ind w:right="473"/>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918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1,983</w:t>
            </w:r>
          </w:p>
        </w:tc>
        <w:tc>
          <w:tcPr>
            <w:tcW w:w="0" w:type="dxa"/>
            <w:vAlign w:val="bottom"/>
          </w:tcPr>
          <w:p>
            <w:pPr>
              <w:spacing w:after="0"/>
              <w:rPr>
                <w:sz w:val="1"/>
                <w:szCs w:val="1"/>
                <w:color w:val="auto"/>
              </w:rPr>
            </w:pPr>
          </w:p>
        </w:tc>
      </w:tr>
      <w:tr>
        <w:trPr>
          <w:trHeight w:val="229"/>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Mark-to-market losses from derivatives</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0" w:type="dxa"/>
            <w:vAlign w:val="bottom"/>
          </w:tcPr>
          <w:p>
            <w:pPr>
              <w:spacing w:after="0"/>
              <w:rPr>
                <w:sz w:val="1"/>
                <w:szCs w:val="1"/>
                <w:color w:val="auto"/>
              </w:rPr>
            </w:pPr>
          </w:p>
        </w:tc>
      </w:tr>
      <w:tr>
        <w:trPr>
          <w:trHeight w:val="229"/>
        </w:trPr>
        <w:tc>
          <w:tcPr>
            <w:tcW w:w="4120" w:type="dxa"/>
            <w:vAlign w:val="bottom"/>
          </w:tcPr>
          <w:p>
            <w:pPr>
              <w:ind w:left="20"/>
              <w:spacing w:after="0"/>
              <w:rPr>
                <w:sz w:val="20"/>
                <w:szCs w:val="20"/>
                <w:color w:val="auto"/>
              </w:rPr>
            </w:pPr>
            <w:r>
              <w:rPr>
                <w:rFonts w:ascii="Arial" w:cs="Arial" w:eastAsia="Arial" w:hAnsi="Arial"/>
                <w:sz w:val="18"/>
                <w:szCs w:val="18"/>
                <w:color w:val="auto"/>
              </w:rPr>
              <w:t>General corporate expenses</w:t>
            </w: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intangible assets</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9"/>
        </w:trPr>
        <w:tc>
          <w:tcPr>
            <w:tcW w:w="4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Acquisition-related costs</w:t>
            </w:r>
          </w:p>
        </w:tc>
        <w:tc>
          <w:tcPr>
            <w:tcW w:w="14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680" w:type="dxa"/>
            <w:vAlign w:val="bottom"/>
            <w:tcBorders>
              <w:bottom w:val="single" w:sz="8" w:color="CCEEFF"/>
            </w:tcBorders>
          </w:tcPr>
          <w:p>
            <w:pPr>
              <w:spacing w:after="0"/>
              <w:rPr>
                <w:sz w:val="19"/>
                <w:szCs w:val="19"/>
                <w:color w:val="auto"/>
              </w:rPr>
            </w:pPr>
          </w:p>
        </w:tc>
        <w:tc>
          <w:tcPr>
            <w:tcW w:w="6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8"/>
        </w:trPr>
        <w:tc>
          <w:tcPr>
            <w:tcW w:w="41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Operating income</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1,153</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280" w:type="dxa"/>
            <w:vAlign w:val="bottom"/>
            <w:tcBorders>
              <w:top w:val="single" w:sz="8" w:color="CCEEFF"/>
              <w:bottom w:val="single" w:sz="8" w:color="CCEEFF"/>
            </w:tcBorders>
            <w:gridSpan w:val="6"/>
            <w:vMerge w:val="restart"/>
          </w:tcPr>
          <w:p>
            <w:pPr>
              <w:jc w:val="center"/>
              <w:ind w:left="275"/>
              <w:spacing w:after="0"/>
              <w:rPr>
                <w:sz w:val="20"/>
                <w:szCs w:val="20"/>
                <w:color w:val="auto"/>
              </w:rPr>
            </w:pPr>
            <w:r>
              <w:rPr>
                <w:rFonts w:ascii="Arial" w:cs="Arial" w:eastAsia="Arial" w:hAnsi="Arial"/>
                <w:sz w:val="14"/>
                <w:szCs w:val="14"/>
                <w:b w:val="1"/>
                <w:bCs w:val="1"/>
                <w:color w:val="auto"/>
              </w:rPr>
              <w:t>Nine Months Ended September 30, 2025</w:t>
            </w:r>
          </w:p>
        </w:tc>
        <w:tc>
          <w:tcPr>
            <w:tcW w:w="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5"/>
        </w:trPr>
        <w:tc>
          <w:tcPr>
            <w:tcW w:w="4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6"/>
            <w:vMerge w:val="continue"/>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4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 millions)</w:t>
            </w: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spacing w:after="0"/>
              <w:rPr>
                <w:sz w:val="20"/>
                <w:szCs w:val="20"/>
                <w:color w:val="auto"/>
              </w:rPr>
            </w:pPr>
            <w:r>
              <w:rPr>
                <w:rFonts w:ascii="Arial" w:cs="Arial" w:eastAsia="Arial" w:hAnsi="Arial"/>
                <w:sz w:val="16"/>
                <w:szCs w:val="16"/>
                <w:b w:val="1"/>
                <w:bCs w:val="1"/>
                <w:color w:val="auto"/>
              </w:rPr>
              <w:t>Latin America</w:t>
            </w:r>
          </w:p>
        </w:tc>
        <w:tc>
          <w:tcPr>
            <w:tcW w:w="280" w:type="dxa"/>
            <w:vAlign w:val="bottom"/>
          </w:tcPr>
          <w:p>
            <w:pPr>
              <w:spacing w:after="0"/>
              <w:rPr>
                <w:sz w:val="18"/>
                <w:szCs w:val="18"/>
                <w:color w:val="auto"/>
              </w:rPr>
            </w:pPr>
          </w:p>
        </w:tc>
        <w:tc>
          <w:tcPr>
            <w:tcW w:w="1160" w:type="dxa"/>
            <w:vAlign w:val="bottom"/>
            <w:gridSpan w:val="2"/>
          </w:tcPr>
          <w:p>
            <w:pPr>
              <w:ind w:left="160"/>
              <w:spacing w:after="0"/>
              <w:rPr>
                <w:sz w:val="20"/>
                <w:szCs w:val="20"/>
                <w:color w:val="auto"/>
              </w:rPr>
            </w:pPr>
            <w:r>
              <w:rPr>
                <w:rFonts w:ascii="Arial" w:cs="Arial" w:eastAsia="Arial" w:hAnsi="Arial"/>
                <w:sz w:val="16"/>
                <w:szCs w:val="16"/>
                <w:b w:val="1"/>
                <w:bCs w:val="1"/>
                <w:color w:val="auto"/>
              </w:rPr>
              <w:t>AMEA</w:t>
            </w:r>
          </w:p>
        </w:tc>
        <w:tc>
          <w:tcPr>
            <w:tcW w:w="180" w:type="dxa"/>
            <w:vAlign w:val="bottom"/>
          </w:tcPr>
          <w:p>
            <w:pPr>
              <w:spacing w:after="0"/>
              <w:rPr>
                <w:sz w:val="18"/>
                <w:szCs w:val="18"/>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7"/>
              </w:rPr>
              <w:t>Europe</w:t>
            </w:r>
          </w:p>
        </w:tc>
        <w:tc>
          <w:tcPr>
            <w:tcW w:w="1420" w:type="dxa"/>
            <w:vAlign w:val="bottom"/>
            <w:gridSpan w:val="3"/>
          </w:tcPr>
          <w:p>
            <w:pPr>
              <w:ind w:left="100"/>
              <w:spacing w:after="0"/>
              <w:rPr>
                <w:sz w:val="20"/>
                <w:szCs w:val="20"/>
                <w:color w:val="auto"/>
              </w:rPr>
            </w:pPr>
            <w:r>
              <w:rPr>
                <w:rFonts w:ascii="Arial" w:cs="Arial" w:eastAsia="Arial" w:hAnsi="Arial"/>
                <w:sz w:val="16"/>
                <w:szCs w:val="16"/>
                <w:b w:val="1"/>
                <w:bCs w:val="1"/>
                <w:color w:val="auto"/>
              </w:rPr>
              <w:t>North America</w:t>
            </w:r>
          </w:p>
        </w:tc>
        <w:tc>
          <w:tcPr>
            <w:tcW w:w="300" w:type="dxa"/>
            <w:vAlign w:val="bottom"/>
          </w:tcPr>
          <w:p>
            <w:pPr>
              <w:spacing w:after="0"/>
              <w:rPr>
                <w:sz w:val="18"/>
                <w:szCs w:val="18"/>
                <w:color w:val="auto"/>
              </w:rPr>
            </w:pPr>
          </w:p>
        </w:tc>
        <w:tc>
          <w:tcPr>
            <w:tcW w:w="1040" w:type="dxa"/>
            <w:vAlign w:val="bottom"/>
          </w:tcPr>
          <w:p>
            <w:pPr>
              <w:jc w:val="right"/>
              <w:ind w:right="39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23"/>
        </w:trPr>
        <w:tc>
          <w:tcPr>
            <w:tcW w:w="4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3,635</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5,854</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10,636</w:t>
            </w:r>
          </w:p>
        </w:tc>
        <w:tc>
          <w:tcPr>
            <w:tcW w:w="10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ind w:right="473"/>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7,916</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28,041</w:t>
            </w:r>
          </w:p>
        </w:tc>
        <w:tc>
          <w:tcPr>
            <w:tcW w:w="0" w:type="dxa"/>
            <w:vAlign w:val="bottom"/>
          </w:tcPr>
          <w:p>
            <w:pPr>
              <w:spacing w:after="0"/>
              <w:rPr>
                <w:sz w:val="1"/>
                <w:szCs w:val="1"/>
                <w:color w:val="auto"/>
              </w:rPr>
            </w:pPr>
          </w:p>
        </w:tc>
      </w:tr>
      <w:tr>
        <w:trPr>
          <w:trHeight w:val="230"/>
        </w:trPr>
        <w:tc>
          <w:tcPr>
            <w:tcW w:w="4120" w:type="dxa"/>
            <w:vAlign w:val="bottom"/>
          </w:tcPr>
          <w:p>
            <w:pPr>
              <w:ind w:left="20"/>
              <w:spacing w:after="0"/>
              <w:rPr>
                <w:sz w:val="20"/>
                <w:szCs w:val="20"/>
                <w:color w:val="auto"/>
              </w:rPr>
            </w:pPr>
            <w:r>
              <w:rPr>
                <w:rFonts w:ascii="Arial" w:cs="Arial" w:eastAsia="Arial" w:hAnsi="Arial"/>
                <w:sz w:val="18"/>
                <w:szCs w:val="18"/>
                <w:color w:val="auto"/>
              </w:rPr>
              <w:t>Segment cost of sales</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(2,471)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(3,838)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(7,675)</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(4,964)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(18,948)</w:t>
            </w:r>
          </w:p>
        </w:tc>
        <w:tc>
          <w:tcPr>
            <w:tcW w:w="0" w:type="dxa"/>
            <w:vAlign w:val="bottom"/>
          </w:tcPr>
          <w:p>
            <w:pPr>
              <w:spacing w:after="0"/>
              <w:rPr>
                <w:sz w:val="1"/>
                <w:szCs w:val="1"/>
                <w:color w:val="auto"/>
              </w:rPr>
            </w:pPr>
          </w:p>
        </w:tc>
      </w:tr>
      <w:tr>
        <w:trPr>
          <w:trHeight w:val="181"/>
        </w:trPr>
        <w:tc>
          <w:tcPr>
            <w:tcW w:w="412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Segment selling, general and administrative</w:t>
            </w:r>
          </w:p>
        </w:tc>
        <w:tc>
          <w:tcPr>
            <w:tcW w:w="14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(745)</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(1,203)</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(1,710)</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(1,466)</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(5,124)</w:t>
            </w:r>
          </w:p>
        </w:tc>
        <w:tc>
          <w:tcPr>
            <w:tcW w:w="0" w:type="dxa"/>
            <w:vAlign w:val="bottom"/>
          </w:tcPr>
          <w:p>
            <w:pPr>
              <w:spacing w:after="0"/>
              <w:rPr>
                <w:sz w:val="1"/>
                <w:szCs w:val="1"/>
                <w:color w:val="auto"/>
              </w:rPr>
            </w:pPr>
          </w:p>
        </w:tc>
      </w:tr>
      <w:tr>
        <w:trPr>
          <w:trHeight w:val="237"/>
        </w:trPr>
        <w:tc>
          <w:tcPr>
            <w:tcW w:w="4120" w:type="dxa"/>
            <w:vAlign w:val="bottom"/>
            <w:shd w:val="clear" w:color="auto" w:fill="CCEEFF"/>
          </w:tcPr>
          <w:p>
            <w:pPr>
              <w:ind w:left="20"/>
              <w:spacing w:after="0" w:line="237" w:lineRule="exact"/>
              <w:rPr>
                <w:sz w:val="20"/>
                <w:szCs w:val="20"/>
                <w:color w:val="auto"/>
              </w:rPr>
            </w:pPr>
            <w:r>
              <w:rPr>
                <w:rFonts w:ascii="Arial" w:cs="Arial" w:eastAsia="Arial" w:hAnsi="Arial"/>
                <w:sz w:val="18"/>
                <w:szCs w:val="18"/>
                <w:color w:val="auto"/>
              </w:rPr>
              <w:t xml:space="preserve">expenses </w:t>
            </w:r>
            <w:r>
              <w:rPr>
                <w:rFonts w:ascii="Arial" w:cs="Arial" w:eastAsia="Arial" w:hAnsi="Arial"/>
                <w:sz w:val="23"/>
                <w:szCs w:val="23"/>
                <w:color w:val="auto"/>
                <w:vertAlign w:val="superscript"/>
              </w:rPr>
              <w:t>(1)</w:t>
            </w:r>
          </w:p>
        </w:tc>
        <w:tc>
          <w:tcPr>
            <w:tcW w:w="14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120" w:type="dxa"/>
            <w:vAlign w:val="bottom"/>
          </w:tcPr>
          <w:p>
            <w:pPr>
              <w:ind w:left="20"/>
              <w:spacing w:after="0"/>
              <w:rPr>
                <w:sz w:val="20"/>
                <w:szCs w:val="20"/>
                <w:color w:val="auto"/>
              </w:rPr>
            </w:pPr>
            <w:r>
              <w:rPr>
                <w:rFonts w:ascii="Arial" w:cs="Arial" w:eastAsia="Arial" w:hAnsi="Arial"/>
                <w:sz w:val="18"/>
                <w:szCs w:val="18"/>
                <w:color w:val="auto"/>
              </w:rPr>
              <w:t>Segment operating income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419</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813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1,251</w:t>
            </w:r>
          </w:p>
        </w:tc>
        <w:tc>
          <w:tcPr>
            <w:tcW w:w="100" w:type="dxa"/>
            <w:vAlign w:val="bottom"/>
          </w:tcPr>
          <w:p>
            <w:pPr>
              <w:spacing w:after="0"/>
              <w:rPr>
                <w:sz w:val="19"/>
                <w:szCs w:val="19"/>
                <w:color w:val="auto"/>
              </w:rPr>
            </w:pPr>
          </w:p>
        </w:tc>
        <w:tc>
          <w:tcPr>
            <w:tcW w:w="680" w:type="dxa"/>
            <w:vAlign w:val="bottom"/>
          </w:tcPr>
          <w:p>
            <w:pPr>
              <w:jc w:val="right"/>
              <w:ind w:right="473"/>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1,486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3,969</w:t>
            </w: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Mark-to-market losses from derivatives</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w:t>
            </w:r>
          </w:p>
        </w:tc>
        <w:tc>
          <w:tcPr>
            <w:tcW w:w="0" w:type="dxa"/>
            <w:vAlign w:val="bottom"/>
          </w:tcPr>
          <w:p>
            <w:pPr>
              <w:spacing w:after="0"/>
              <w:rPr>
                <w:sz w:val="1"/>
                <w:szCs w:val="1"/>
                <w:color w:val="auto"/>
              </w:rPr>
            </w:pPr>
          </w:p>
        </w:tc>
      </w:tr>
      <w:tr>
        <w:trPr>
          <w:trHeight w:val="230"/>
        </w:trPr>
        <w:tc>
          <w:tcPr>
            <w:tcW w:w="4120" w:type="dxa"/>
            <w:vAlign w:val="bottom"/>
          </w:tcPr>
          <w:p>
            <w:pPr>
              <w:ind w:left="20"/>
              <w:spacing w:after="0"/>
              <w:rPr>
                <w:sz w:val="20"/>
                <w:szCs w:val="20"/>
                <w:color w:val="auto"/>
              </w:rPr>
            </w:pPr>
            <w:r>
              <w:rPr>
                <w:rFonts w:ascii="Arial" w:cs="Arial" w:eastAsia="Arial" w:hAnsi="Arial"/>
                <w:sz w:val="18"/>
                <w:szCs w:val="18"/>
                <w:color w:val="auto"/>
              </w:rPr>
              <w:t>General corporate expenses</w:t>
            </w: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intangible assets</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23"/>
        </w:trPr>
        <w:tc>
          <w:tcPr>
            <w:tcW w:w="4120" w:type="dxa"/>
            <w:vAlign w:val="bottom"/>
          </w:tcPr>
          <w:p>
            <w:pPr>
              <w:ind w:left="140"/>
              <w:spacing w:after="0"/>
              <w:rPr>
                <w:sz w:val="20"/>
                <w:szCs w:val="20"/>
                <w:color w:val="auto"/>
              </w:rPr>
            </w:pPr>
            <w:r>
              <w:rPr>
                <w:rFonts w:ascii="Arial" w:cs="Arial" w:eastAsia="Arial" w:hAnsi="Arial"/>
                <w:sz w:val="18"/>
                <w:szCs w:val="18"/>
                <w:color w:val="auto"/>
              </w:rPr>
              <w:t>Operating income</w:t>
            </w: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2,596</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6845935</wp:posOffset>
            </wp:positionH>
            <wp:positionV relativeFrom="paragraph">
              <wp:posOffset>394335</wp:posOffset>
            </wp:positionV>
            <wp:extent cx="282575" cy="1885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287655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4" w:right="37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260" w:type="dxa"/>
            <w:vAlign w:val="bottom"/>
            <w:tcBorders>
              <w:bottom w:val="single" w:sz="8" w:color="auto"/>
            </w:tcBorders>
            <w:gridSpan w:val="6"/>
          </w:tcPr>
          <w:p>
            <w:pPr>
              <w:jc w:val="center"/>
              <w:ind w:left="295"/>
              <w:spacing w:after="0"/>
              <w:rPr>
                <w:sz w:val="20"/>
                <w:szCs w:val="20"/>
                <w:color w:val="auto"/>
              </w:rPr>
            </w:pPr>
            <w:r>
              <w:rPr>
                <w:rFonts w:ascii="Arial" w:cs="Arial" w:eastAsia="Arial" w:hAnsi="Arial"/>
                <w:sz w:val="14"/>
                <w:szCs w:val="14"/>
                <w:b w:val="1"/>
                <w:bCs w:val="1"/>
                <w:color w:val="auto"/>
              </w:rPr>
              <w:t>Nine Months Ended September 30, 2024</w:t>
            </w:r>
          </w:p>
        </w:tc>
        <w:tc>
          <w:tcPr>
            <w:tcW w:w="6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 millions)</w:t>
            </w: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spacing w:after="0"/>
              <w:rPr>
                <w:sz w:val="20"/>
                <w:szCs w:val="20"/>
                <w:color w:val="auto"/>
              </w:rPr>
            </w:pPr>
            <w:r>
              <w:rPr>
                <w:rFonts w:ascii="Arial" w:cs="Arial" w:eastAsia="Arial" w:hAnsi="Arial"/>
                <w:sz w:val="16"/>
                <w:szCs w:val="16"/>
                <w:b w:val="1"/>
                <w:bCs w:val="1"/>
                <w:color w:val="auto"/>
              </w:rPr>
              <w:t>Latin America</w:t>
            </w:r>
          </w:p>
        </w:tc>
        <w:tc>
          <w:tcPr>
            <w:tcW w:w="280" w:type="dxa"/>
            <w:vAlign w:val="bottom"/>
          </w:tcPr>
          <w:p>
            <w:pPr>
              <w:spacing w:after="0"/>
              <w:rPr>
                <w:sz w:val="18"/>
                <w:szCs w:val="18"/>
                <w:color w:val="auto"/>
              </w:rPr>
            </w:pPr>
          </w:p>
        </w:tc>
        <w:tc>
          <w:tcPr>
            <w:tcW w:w="1160" w:type="dxa"/>
            <w:vAlign w:val="bottom"/>
            <w:gridSpan w:val="2"/>
          </w:tcPr>
          <w:p>
            <w:pPr>
              <w:ind w:left="160"/>
              <w:spacing w:after="0"/>
              <w:rPr>
                <w:sz w:val="20"/>
                <w:szCs w:val="20"/>
                <w:color w:val="auto"/>
              </w:rPr>
            </w:pPr>
            <w:r>
              <w:rPr>
                <w:rFonts w:ascii="Arial" w:cs="Arial" w:eastAsia="Arial" w:hAnsi="Arial"/>
                <w:sz w:val="16"/>
                <w:szCs w:val="16"/>
                <w:b w:val="1"/>
                <w:bCs w:val="1"/>
                <w:color w:val="auto"/>
              </w:rPr>
              <w:t>AMEA</w:t>
            </w:r>
          </w:p>
        </w:tc>
        <w:tc>
          <w:tcPr>
            <w:tcW w:w="180" w:type="dxa"/>
            <w:vAlign w:val="bottom"/>
          </w:tcPr>
          <w:p>
            <w:pPr>
              <w:spacing w:after="0"/>
              <w:rPr>
                <w:sz w:val="18"/>
                <w:szCs w:val="18"/>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7"/>
              </w:rPr>
              <w:t>Europe</w:t>
            </w:r>
          </w:p>
        </w:tc>
        <w:tc>
          <w:tcPr>
            <w:tcW w:w="1420" w:type="dxa"/>
            <w:vAlign w:val="bottom"/>
            <w:gridSpan w:val="3"/>
          </w:tcPr>
          <w:p>
            <w:pPr>
              <w:ind w:left="100"/>
              <w:spacing w:after="0"/>
              <w:rPr>
                <w:sz w:val="20"/>
                <w:szCs w:val="20"/>
                <w:color w:val="auto"/>
              </w:rPr>
            </w:pPr>
            <w:r>
              <w:rPr>
                <w:rFonts w:ascii="Arial" w:cs="Arial" w:eastAsia="Arial" w:hAnsi="Arial"/>
                <w:sz w:val="16"/>
                <w:szCs w:val="16"/>
                <w:b w:val="1"/>
                <w:bCs w:val="1"/>
                <w:color w:val="auto"/>
              </w:rPr>
              <w:t>North America</w:t>
            </w:r>
          </w:p>
        </w:tc>
        <w:tc>
          <w:tcPr>
            <w:tcW w:w="300" w:type="dxa"/>
            <w:vAlign w:val="bottom"/>
          </w:tcPr>
          <w:p>
            <w:pPr>
              <w:spacing w:after="0"/>
              <w:rPr>
                <w:sz w:val="18"/>
                <w:szCs w:val="18"/>
                <w:color w:val="auto"/>
              </w:rPr>
            </w:pPr>
          </w:p>
        </w:tc>
        <w:tc>
          <w:tcPr>
            <w:tcW w:w="1040" w:type="dxa"/>
            <w:vAlign w:val="bottom"/>
          </w:tcPr>
          <w:p>
            <w:pPr>
              <w:jc w:val="right"/>
              <w:ind w:right="39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23"/>
        </w:trPr>
        <w:tc>
          <w:tcPr>
            <w:tcW w:w="4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3,755</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center"/>
              <w:ind w:left="355"/>
              <w:spacing w:after="0"/>
              <w:rPr>
                <w:sz w:val="20"/>
                <w:szCs w:val="20"/>
                <w:color w:val="auto"/>
              </w:rPr>
            </w:pPr>
            <w:r>
              <w:rPr>
                <w:rFonts w:ascii="Arial" w:cs="Arial" w:eastAsia="Arial" w:hAnsi="Arial"/>
                <w:sz w:val="18"/>
                <w:szCs w:val="18"/>
                <w:color w:val="auto"/>
              </w:rPr>
              <w:t>5,388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center"/>
              <w:ind w:left="475"/>
              <w:spacing w:after="0"/>
              <w:rPr>
                <w:sz w:val="20"/>
                <w:szCs w:val="20"/>
                <w:color w:val="auto"/>
              </w:rPr>
            </w:pPr>
            <w:r>
              <w:rPr>
                <w:rFonts w:ascii="Arial" w:cs="Arial" w:eastAsia="Arial" w:hAnsi="Arial"/>
                <w:sz w:val="18"/>
                <w:szCs w:val="18"/>
                <w:color w:val="auto"/>
                <w:w w:val="97"/>
              </w:rPr>
              <w:t>9,565</w:t>
            </w:r>
          </w:p>
        </w:tc>
        <w:tc>
          <w:tcPr>
            <w:tcW w:w="10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ind w:right="453"/>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8,129</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26,837</w:t>
            </w:r>
          </w:p>
        </w:tc>
        <w:tc>
          <w:tcPr>
            <w:tcW w:w="0" w:type="dxa"/>
            <w:vAlign w:val="bottom"/>
          </w:tcPr>
          <w:p>
            <w:pPr>
              <w:spacing w:after="0"/>
              <w:rPr>
                <w:sz w:val="1"/>
                <w:szCs w:val="1"/>
                <w:color w:val="auto"/>
              </w:rPr>
            </w:pPr>
          </w:p>
        </w:tc>
      </w:tr>
      <w:tr>
        <w:trPr>
          <w:trHeight w:val="230"/>
        </w:trPr>
        <w:tc>
          <w:tcPr>
            <w:tcW w:w="4120" w:type="dxa"/>
            <w:vAlign w:val="bottom"/>
          </w:tcPr>
          <w:p>
            <w:pPr>
              <w:ind w:left="20"/>
              <w:spacing w:after="0"/>
              <w:rPr>
                <w:sz w:val="20"/>
                <w:szCs w:val="20"/>
                <w:color w:val="auto"/>
              </w:rPr>
            </w:pPr>
            <w:r>
              <w:rPr>
                <w:rFonts w:ascii="Arial" w:cs="Arial" w:eastAsia="Arial" w:hAnsi="Arial"/>
                <w:sz w:val="18"/>
                <w:szCs w:val="18"/>
                <w:color w:val="auto"/>
              </w:rPr>
              <w:t>Segment cost of sales</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(2,446)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center"/>
              <w:ind w:left="335"/>
              <w:spacing w:after="0"/>
              <w:rPr>
                <w:sz w:val="20"/>
                <w:szCs w:val="20"/>
                <w:color w:val="auto"/>
              </w:rPr>
            </w:pPr>
            <w:r>
              <w:rPr>
                <w:rFonts w:ascii="Arial" w:cs="Arial" w:eastAsia="Arial" w:hAnsi="Arial"/>
                <w:sz w:val="18"/>
                <w:szCs w:val="18"/>
                <w:color w:val="auto"/>
                <w:w w:val="98"/>
              </w:rPr>
              <w:t>(3,099)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center"/>
              <w:ind w:left="455"/>
              <w:spacing w:after="0"/>
              <w:rPr>
                <w:sz w:val="20"/>
                <w:szCs w:val="20"/>
                <w:color w:val="auto"/>
              </w:rPr>
            </w:pPr>
            <w:r>
              <w:rPr>
                <w:rFonts w:ascii="Arial" w:cs="Arial" w:eastAsia="Arial" w:hAnsi="Arial"/>
                <w:sz w:val="18"/>
                <w:szCs w:val="18"/>
                <w:color w:val="auto"/>
              </w:rPr>
              <w:t>(5,868)</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98"/>
              </w:rPr>
              <w:t>(4,722)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(16,135)</w:t>
            </w:r>
          </w:p>
        </w:tc>
        <w:tc>
          <w:tcPr>
            <w:tcW w:w="0" w:type="dxa"/>
            <w:vAlign w:val="bottom"/>
          </w:tcPr>
          <w:p>
            <w:pPr>
              <w:spacing w:after="0"/>
              <w:rPr>
                <w:sz w:val="1"/>
                <w:szCs w:val="1"/>
                <w:color w:val="auto"/>
              </w:rPr>
            </w:pPr>
          </w:p>
        </w:tc>
      </w:tr>
      <w:tr>
        <w:trPr>
          <w:trHeight w:val="175"/>
        </w:trPr>
        <w:tc>
          <w:tcPr>
            <w:tcW w:w="41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Segment selling, general and administrative</w:t>
            </w:r>
          </w:p>
        </w:tc>
        <w:tc>
          <w:tcPr>
            <w:tcW w:w="14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(883)</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center"/>
              <w:ind w:left="335"/>
              <w:spacing w:after="0"/>
              <w:rPr>
                <w:sz w:val="20"/>
                <w:szCs w:val="20"/>
                <w:color w:val="auto"/>
              </w:rPr>
            </w:pPr>
            <w:r>
              <w:rPr>
                <w:rFonts w:ascii="Arial" w:cs="Arial" w:eastAsia="Arial" w:hAnsi="Arial"/>
                <w:sz w:val="18"/>
                <w:szCs w:val="18"/>
                <w:color w:val="auto"/>
                <w:w w:val="98"/>
              </w:rPr>
              <w:t>(1,253)</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center"/>
              <w:ind w:left="455"/>
              <w:spacing w:after="0"/>
              <w:rPr>
                <w:sz w:val="20"/>
                <w:szCs w:val="20"/>
                <w:color w:val="auto"/>
              </w:rPr>
            </w:pPr>
            <w:r>
              <w:rPr>
                <w:rFonts w:ascii="Arial" w:cs="Arial" w:eastAsia="Arial" w:hAnsi="Arial"/>
                <w:sz w:val="18"/>
                <w:szCs w:val="18"/>
                <w:color w:val="auto"/>
              </w:rPr>
              <w:t>(1,951)</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8"/>
              </w:rPr>
              <w:t>(1,395)</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(5,482)</w:t>
            </w:r>
          </w:p>
        </w:tc>
        <w:tc>
          <w:tcPr>
            <w:tcW w:w="0" w:type="dxa"/>
            <w:vAlign w:val="bottom"/>
          </w:tcPr>
          <w:p>
            <w:pPr>
              <w:spacing w:after="0"/>
              <w:rPr>
                <w:sz w:val="1"/>
                <w:szCs w:val="1"/>
                <w:color w:val="auto"/>
              </w:rPr>
            </w:pPr>
          </w:p>
        </w:tc>
      </w:tr>
      <w:tr>
        <w:trPr>
          <w:trHeight w:val="243"/>
        </w:trPr>
        <w:tc>
          <w:tcPr>
            <w:tcW w:w="4120" w:type="dxa"/>
            <w:vAlign w:val="bottom"/>
            <w:shd w:val="clear" w:color="auto" w:fill="CCEEFF"/>
          </w:tcPr>
          <w:p>
            <w:pPr>
              <w:ind w:left="20"/>
              <w:spacing w:after="0" w:line="243" w:lineRule="exact"/>
              <w:rPr>
                <w:sz w:val="20"/>
                <w:szCs w:val="20"/>
                <w:color w:val="auto"/>
              </w:rPr>
            </w:pPr>
            <w:r>
              <w:rPr>
                <w:rFonts w:ascii="Arial" w:cs="Arial" w:eastAsia="Arial" w:hAnsi="Arial"/>
                <w:sz w:val="18"/>
                <w:szCs w:val="18"/>
                <w:color w:val="auto"/>
              </w:rPr>
              <w:t xml:space="preserve">expenses </w:t>
            </w:r>
            <w:r>
              <w:rPr>
                <w:rFonts w:ascii="Arial" w:cs="Arial" w:eastAsia="Arial" w:hAnsi="Arial"/>
                <w:sz w:val="23"/>
                <w:szCs w:val="23"/>
                <w:color w:val="auto"/>
                <w:vertAlign w:val="superscript"/>
              </w:rPr>
              <w:t>(1)</w:t>
            </w:r>
          </w:p>
        </w:tc>
        <w:tc>
          <w:tcPr>
            <w:tcW w:w="1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120" w:type="dxa"/>
            <w:vAlign w:val="bottom"/>
          </w:tcPr>
          <w:p>
            <w:pPr>
              <w:ind w:left="20"/>
              <w:spacing w:after="0"/>
              <w:rPr>
                <w:sz w:val="20"/>
                <w:szCs w:val="20"/>
                <w:color w:val="auto"/>
              </w:rPr>
            </w:pPr>
            <w:r>
              <w:rPr>
                <w:rFonts w:ascii="Arial" w:cs="Arial" w:eastAsia="Arial" w:hAnsi="Arial"/>
                <w:sz w:val="18"/>
                <w:szCs w:val="18"/>
                <w:color w:val="auto"/>
              </w:rPr>
              <w:t>Segment operating income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426</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center"/>
              <w:ind w:left="355"/>
              <w:spacing w:after="0"/>
              <w:rPr>
                <w:sz w:val="20"/>
                <w:szCs w:val="20"/>
                <w:color w:val="auto"/>
              </w:rPr>
            </w:pPr>
            <w:r>
              <w:rPr>
                <w:rFonts w:ascii="Arial" w:cs="Arial" w:eastAsia="Arial" w:hAnsi="Arial"/>
                <w:sz w:val="18"/>
                <w:szCs w:val="18"/>
                <w:color w:val="auto"/>
              </w:rPr>
              <w:t>1,036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center"/>
              <w:ind w:left="475"/>
              <w:spacing w:after="0"/>
              <w:rPr>
                <w:sz w:val="20"/>
                <w:szCs w:val="20"/>
                <w:color w:val="auto"/>
              </w:rPr>
            </w:pPr>
            <w:r>
              <w:rPr>
                <w:rFonts w:ascii="Arial" w:cs="Arial" w:eastAsia="Arial" w:hAnsi="Arial"/>
                <w:sz w:val="18"/>
                <w:szCs w:val="18"/>
                <w:color w:val="auto"/>
                <w:w w:val="97"/>
              </w:rPr>
              <w:t>1,746</w:t>
            </w:r>
          </w:p>
        </w:tc>
        <w:tc>
          <w:tcPr>
            <w:tcW w:w="100" w:type="dxa"/>
            <w:vAlign w:val="bottom"/>
          </w:tcPr>
          <w:p>
            <w:pPr>
              <w:spacing w:after="0"/>
              <w:rPr>
                <w:sz w:val="19"/>
                <w:szCs w:val="19"/>
                <w:color w:val="auto"/>
              </w:rPr>
            </w:pPr>
          </w:p>
        </w:tc>
        <w:tc>
          <w:tcPr>
            <w:tcW w:w="660" w:type="dxa"/>
            <w:vAlign w:val="bottom"/>
          </w:tcPr>
          <w:p>
            <w:pPr>
              <w:jc w:val="right"/>
              <w:ind w:right="453"/>
              <w:spacing w:after="0"/>
              <w:rPr>
                <w:sz w:val="20"/>
                <w:szCs w:val="20"/>
                <w:color w:val="auto"/>
              </w:rPr>
            </w:pPr>
            <w:r>
              <w:rPr>
                <w:rFonts w:ascii="Arial" w:cs="Arial" w:eastAsia="Arial" w:hAnsi="Arial"/>
                <w:sz w:val="18"/>
                <w:szCs w:val="18"/>
                <w:color w:val="auto"/>
                <w:w w:val="99"/>
              </w:rPr>
              <w:t>$</w:t>
            </w:r>
          </w:p>
        </w:tc>
        <w:tc>
          <w:tcPr>
            <w:tcW w:w="660" w:type="dxa"/>
            <w:vAlign w:val="bottom"/>
          </w:tcPr>
          <w:p>
            <w:pPr>
              <w:jc w:val="center"/>
              <w:spacing w:after="0"/>
              <w:rPr>
                <w:sz w:val="20"/>
                <w:szCs w:val="20"/>
                <w:color w:val="auto"/>
              </w:rPr>
            </w:pPr>
            <w:r>
              <w:rPr>
                <w:rFonts w:ascii="Arial" w:cs="Arial" w:eastAsia="Arial" w:hAnsi="Arial"/>
                <w:sz w:val="18"/>
                <w:szCs w:val="18"/>
                <w:color w:val="auto"/>
              </w:rPr>
              <w:t>2,012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5,220</w:t>
            </w: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Mark-to-market losses from derivatives</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29"/>
        </w:trPr>
        <w:tc>
          <w:tcPr>
            <w:tcW w:w="4120" w:type="dxa"/>
            <w:vAlign w:val="bottom"/>
          </w:tcPr>
          <w:p>
            <w:pPr>
              <w:ind w:left="20"/>
              <w:spacing w:after="0"/>
              <w:rPr>
                <w:sz w:val="20"/>
                <w:szCs w:val="20"/>
                <w:color w:val="auto"/>
              </w:rPr>
            </w:pPr>
            <w:r>
              <w:rPr>
                <w:rFonts w:ascii="Arial" w:cs="Arial" w:eastAsia="Arial" w:hAnsi="Arial"/>
                <w:sz w:val="18"/>
                <w:szCs w:val="18"/>
                <w:color w:val="auto"/>
              </w:rPr>
              <w:t>General corporate expenses</w:t>
            </w: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29"/>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intangible assets</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30"/>
        </w:trPr>
        <w:tc>
          <w:tcPr>
            <w:tcW w:w="4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Acquisition-related costs</w:t>
            </w:r>
          </w:p>
        </w:tc>
        <w:tc>
          <w:tcPr>
            <w:tcW w:w="14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660" w:type="dxa"/>
            <w:vAlign w:val="bottom"/>
            <w:tcBorders>
              <w:bottom w:val="single" w:sz="8" w:color="CCEEFF"/>
            </w:tcBorders>
          </w:tcPr>
          <w:p>
            <w:pPr>
              <w:spacing w:after="0"/>
              <w:rPr>
                <w:sz w:val="19"/>
                <w:szCs w:val="19"/>
                <w:color w:val="auto"/>
              </w:rPr>
            </w:pPr>
          </w:p>
        </w:tc>
        <w:tc>
          <w:tcPr>
            <w:tcW w:w="6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8"/>
        </w:trPr>
        <w:tc>
          <w:tcPr>
            <w:tcW w:w="41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Operating income</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4,734</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spacing w:after="0"/>
        <w:rPr>
          <w:sz w:val="20"/>
          <w:szCs w:val="20"/>
          <w:color w:val="auto"/>
        </w:rPr>
      </w:pPr>
      <w:r>
        <w:rPr>
          <w:rFonts w:ascii="Arial" w:cs="Arial" w:eastAsia="Arial" w:hAnsi="Arial"/>
          <w:sz w:val="14"/>
          <w:szCs w:val="14"/>
          <w:color w:val="auto"/>
        </w:rPr>
        <w:t>(1) SG&amp;A for all reportable segments includes: Advertising &amp; consumer expenses and overhead expenses.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Total depreciation expense and capital expenditures by segment, reflecting our current segment structure for all periods presented, were:</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20" w:type="dxa"/>
            <w:vAlign w:val="bottom"/>
          </w:tcPr>
          <w:p>
            <w:pPr>
              <w:spacing w:after="0"/>
              <w:rPr>
                <w:sz w:val="14"/>
                <w:szCs w:val="14"/>
                <w:color w:val="auto"/>
              </w:rPr>
            </w:pPr>
          </w:p>
        </w:tc>
        <w:tc>
          <w:tcPr>
            <w:tcW w:w="2500" w:type="dxa"/>
            <w:vAlign w:val="bottom"/>
            <w:gridSpan w:val="4"/>
          </w:tcPr>
          <w:p>
            <w:pPr>
              <w:jc w:val="right"/>
              <w:ind w:right="216"/>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00" w:type="dxa"/>
            <w:vAlign w:val="bottom"/>
            <w:gridSpan w:val="4"/>
          </w:tcPr>
          <w:p>
            <w:pPr>
              <w:jc w:val="right"/>
              <w:ind w:right="256"/>
              <w:spacing w:after="0"/>
              <w:rPr>
                <w:sz w:val="20"/>
                <w:szCs w:val="20"/>
                <w:color w:val="auto"/>
              </w:rPr>
            </w:pPr>
            <w:r>
              <w:rPr>
                <w:rFonts w:ascii="Arial" w:cs="Arial" w:eastAsia="Arial" w:hAnsi="Arial"/>
                <w:sz w:val="14"/>
                <w:szCs w:val="14"/>
                <w:b w:val="1"/>
                <w:bCs w:val="1"/>
                <w:color w:val="auto"/>
              </w:rPr>
              <w:t>Nine Months Ended</w:t>
            </w:r>
          </w:p>
        </w:tc>
        <w:tc>
          <w:tcPr>
            <w:tcW w:w="460" w:type="dxa"/>
            <w:vAlign w:val="bottom"/>
          </w:tcPr>
          <w:p>
            <w:pPr>
              <w:spacing w:after="0"/>
              <w:rPr>
                <w:sz w:val="14"/>
                <w:szCs w:val="14"/>
                <w:color w:val="auto"/>
              </w:rPr>
            </w:pPr>
          </w:p>
        </w:tc>
      </w:tr>
      <w:tr>
        <w:trPr>
          <w:trHeight w:val="185"/>
        </w:trPr>
        <w:tc>
          <w:tcPr>
            <w:tcW w:w="522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ind w:right="436"/>
              <w:spacing w:after="0"/>
              <w:rPr>
                <w:sz w:val="20"/>
                <w:szCs w:val="20"/>
                <w:color w:val="auto"/>
              </w:rPr>
            </w:pPr>
            <w:r>
              <w:rPr>
                <w:rFonts w:ascii="Arial" w:cs="Arial" w:eastAsia="Arial" w:hAnsi="Arial"/>
                <w:sz w:val="14"/>
                <w:szCs w:val="14"/>
                <w:b w:val="1"/>
                <w:bCs w:val="1"/>
                <w:color w:val="auto"/>
              </w:rPr>
              <w:t>September 30,</w:t>
            </w: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ind w:right="436"/>
              <w:spacing w:after="0"/>
              <w:rPr>
                <w:sz w:val="20"/>
                <w:szCs w:val="20"/>
                <w:color w:val="auto"/>
              </w:rPr>
            </w:pPr>
            <w:r>
              <w:rPr>
                <w:rFonts w:ascii="Arial" w:cs="Arial" w:eastAsia="Arial" w:hAnsi="Arial"/>
                <w:sz w:val="14"/>
                <w:szCs w:val="14"/>
                <w:b w:val="1"/>
                <w:bCs w:val="1"/>
                <w:color w:val="auto"/>
              </w:rPr>
              <w:t>September 30,</w:t>
            </w:r>
          </w:p>
        </w:tc>
        <w:tc>
          <w:tcPr>
            <w:tcW w:w="460" w:type="dxa"/>
            <w:vAlign w:val="bottom"/>
            <w:tcBorders>
              <w:bottom w:val="single" w:sz="8" w:color="auto"/>
            </w:tcBorders>
          </w:tcPr>
          <w:p>
            <w:pPr>
              <w:spacing w:after="0"/>
              <w:rPr>
                <w:sz w:val="16"/>
                <w:szCs w:val="16"/>
                <w:color w:val="auto"/>
              </w:rPr>
            </w:pPr>
          </w:p>
        </w:tc>
      </w:tr>
      <w:tr>
        <w:trPr>
          <w:trHeight w:val="209"/>
        </w:trPr>
        <w:tc>
          <w:tcPr>
            <w:tcW w:w="522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4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5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2024</w:t>
            </w:r>
          </w:p>
        </w:tc>
        <w:tc>
          <w:tcPr>
            <w:tcW w:w="460" w:type="dxa"/>
            <w:vAlign w:val="bottom"/>
            <w:tcBorders>
              <w:bottom w:val="single" w:sz="8" w:color="auto"/>
            </w:tcBorders>
          </w:tcPr>
          <w:p>
            <w:pPr>
              <w:spacing w:after="0"/>
              <w:rPr>
                <w:sz w:val="18"/>
                <w:szCs w:val="18"/>
                <w:color w:val="auto"/>
              </w:rPr>
            </w:pPr>
          </w:p>
        </w:tc>
      </w:tr>
      <w:tr>
        <w:trPr>
          <w:trHeight w:val="209"/>
        </w:trPr>
        <w:tc>
          <w:tcPr>
            <w:tcW w:w="5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500" w:type="dxa"/>
            <w:vAlign w:val="bottom"/>
            <w:gridSpan w:val="3"/>
          </w:tcPr>
          <w:p>
            <w:pPr>
              <w:jc w:val="right"/>
              <w:ind w:right="499"/>
              <w:spacing w:after="0"/>
              <w:rPr>
                <w:sz w:val="20"/>
                <w:szCs w:val="20"/>
                <w:color w:val="auto"/>
              </w:rPr>
            </w:pPr>
            <w:r>
              <w:rPr>
                <w:rFonts w:ascii="Arial" w:cs="Arial" w:eastAsia="Arial" w:hAnsi="Arial"/>
                <w:sz w:val="14"/>
                <w:szCs w:val="14"/>
                <w:b w:val="1"/>
                <w:bCs w:val="1"/>
                <w:color w:val="auto"/>
              </w:rPr>
              <w:t>(in millions)</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31"/>
        </w:trPr>
        <w:tc>
          <w:tcPr>
            <w:tcW w:w="5220" w:type="dxa"/>
            <w:vAlign w:val="bottom"/>
            <w:shd w:val="clear" w:color="auto" w:fill="CCEEFF"/>
          </w:tcPr>
          <w:p>
            <w:pPr>
              <w:ind w:left="20"/>
              <w:spacing w:after="0" w:line="231" w:lineRule="exact"/>
              <w:rPr>
                <w:sz w:val="20"/>
                <w:szCs w:val="20"/>
                <w:color w:val="auto"/>
              </w:rPr>
            </w:pPr>
            <w:r>
              <w:rPr>
                <w:rFonts w:ascii="Arial" w:cs="Arial" w:eastAsia="Arial" w:hAnsi="Arial"/>
                <w:sz w:val="18"/>
                <w:szCs w:val="18"/>
                <w:color w:val="auto"/>
              </w:rPr>
              <w:t xml:space="preserve">Depreciation expense </w:t>
            </w:r>
            <w:r>
              <w:rPr>
                <w:rFonts w:ascii="Arial" w:cs="Arial" w:eastAsia="Arial" w:hAnsi="Arial"/>
                <w:sz w:val="23"/>
                <w:szCs w:val="23"/>
                <w:color w:val="auto"/>
                <w:vertAlign w:val="superscript"/>
              </w:rPr>
              <w:t>(2)</w:t>
            </w:r>
            <w:r>
              <w:rPr>
                <w:rFonts w:ascii="Arial" w:cs="Arial" w:eastAsia="Arial" w:hAnsi="Arial"/>
                <w:sz w:val="18"/>
                <w:szCs w:val="18"/>
                <w:color w:val="auto"/>
              </w:rPr>
              <w:t>:</w:t>
            </w:r>
          </w:p>
        </w:tc>
        <w:tc>
          <w:tcPr>
            <w:tcW w:w="9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r>
      <w:tr>
        <w:trPr>
          <w:trHeight w:val="229"/>
        </w:trPr>
        <w:tc>
          <w:tcPr>
            <w:tcW w:w="5220" w:type="dxa"/>
            <w:vAlign w:val="bottom"/>
          </w:tcPr>
          <w:p>
            <w:pPr>
              <w:ind w:left="140"/>
              <w:spacing w:after="0"/>
              <w:rPr>
                <w:sz w:val="20"/>
                <w:szCs w:val="20"/>
                <w:color w:val="auto"/>
              </w:rPr>
            </w:pPr>
            <w:r>
              <w:rPr>
                <w:rFonts w:ascii="Arial" w:cs="Arial" w:eastAsia="Arial" w:hAnsi="Arial"/>
                <w:sz w:val="18"/>
                <w:szCs w:val="18"/>
                <w:color w:val="auto"/>
              </w:rPr>
              <w:t>Latin America</w:t>
            </w:r>
          </w:p>
        </w:tc>
        <w:tc>
          <w:tcPr>
            <w:tcW w:w="940" w:type="dxa"/>
            <w:vAlign w:val="bottom"/>
          </w:tcPr>
          <w:p>
            <w:pPr>
              <w:jc w:val="right"/>
              <w:ind w:right="739"/>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19"/>
                <w:szCs w:val="19"/>
                <w:color w:val="auto"/>
              </w:rPr>
            </w:pPr>
          </w:p>
        </w:tc>
        <w:tc>
          <w:tcPr>
            <w:tcW w:w="960" w:type="dxa"/>
            <w:vAlign w:val="bottom"/>
          </w:tcPr>
          <w:p>
            <w:pPr>
              <w:jc w:val="right"/>
              <w:ind w:right="756"/>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9"/>
                <w:szCs w:val="19"/>
                <w:color w:val="auto"/>
              </w:rPr>
            </w:pPr>
          </w:p>
        </w:tc>
        <w:tc>
          <w:tcPr>
            <w:tcW w:w="940" w:type="dxa"/>
            <w:vAlign w:val="bottom"/>
          </w:tcPr>
          <w:p>
            <w:pPr>
              <w:jc w:val="right"/>
              <w:ind w:right="739"/>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107</w:t>
            </w:r>
          </w:p>
        </w:tc>
        <w:tc>
          <w:tcPr>
            <w:tcW w:w="80" w:type="dxa"/>
            <w:vAlign w:val="bottom"/>
          </w:tcPr>
          <w:p>
            <w:pPr>
              <w:spacing w:after="0"/>
              <w:rPr>
                <w:sz w:val="19"/>
                <w:szCs w:val="19"/>
                <w:color w:val="auto"/>
              </w:rPr>
            </w:pPr>
          </w:p>
        </w:tc>
        <w:tc>
          <w:tcPr>
            <w:tcW w:w="980" w:type="dxa"/>
            <w:vAlign w:val="bottom"/>
          </w:tcPr>
          <w:p>
            <w:pPr>
              <w:jc w:val="right"/>
              <w:ind w:right="776"/>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29"/>
        </w:trPr>
        <w:tc>
          <w:tcPr>
            <w:tcW w:w="5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AMEA</w:t>
            </w: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r>
      <w:tr>
        <w:trPr>
          <w:trHeight w:val="230"/>
        </w:trPr>
        <w:tc>
          <w:tcPr>
            <w:tcW w:w="5220" w:type="dxa"/>
            <w:vAlign w:val="bottom"/>
          </w:tcPr>
          <w:p>
            <w:pPr>
              <w:ind w:left="140"/>
              <w:spacing w:after="0"/>
              <w:rPr>
                <w:sz w:val="20"/>
                <w:szCs w:val="20"/>
                <w:color w:val="auto"/>
              </w:rPr>
            </w:pPr>
            <w:r>
              <w:rPr>
                <w:rFonts w:ascii="Arial" w:cs="Arial" w:eastAsia="Arial" w:hAnsi="Arial"/>
                <w:sz w:val="18"/>
                <w:szCs w:val="18"/>
                <w:color w:val="auto"/>
              </w:rPr>
              <w:t>Europe</w:t>
            </w:r>
          </w:p>
        </w:tc>
        <w:tc>
          <w:tcPr>
            <w:tcW w:w="9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231</w:t>
            </w: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207</w:t>
            </w:r>
          </w:p>
        </w:tc>
      </w:tr>
      <w:tr>
        <w:trPr>
          <w:trHeight w:val="229"/>
        </w:trPr>
        <w:tc>
          <w:tcPr>
            <w:tcW w:w="5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North America</w:t>
            </w: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r>
      <w:tr>
        <w:trPr>
          <w:trHeight w:val="230"/>
        </w:trPr>
        <w:tc>
          <w:tcPr>
            <w:tcW w:w="52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Corporate</w:t>
            </w:r>
          </w:p>
        </w:tc>
        <w:tc>
          <w:tcPr>
            <w:tcW w:w="9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8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r>
      <w:tr>
        <w:trPr>
          <w:trHeight w:val="248"/>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depreciation expense</w:t>
            </w:r>
          </w:p>
        </w:tc>
        <w:tc>
          <w:tcPr>
            <w:tcW w:w="940" w:type="dxa"/>
            <w:vAlign w:val="bottom"/>
            <w:tcBorders>
              <w:bottom w:val="single" w:sz="8" w:color="auto"/>
            </w:tcBorders>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ind w:firstLine="8"/>
        <w:spacing w:after="0" w:line="305" w:lineRule="auto"/>
        <w:tabs>
          <w:tab w:leader="none" w:pos="216" w:val="left"/>
        </w:tabs>
        <w:numPr>
          <w:ilvl w:val="0"/>
          <w:numId w:val="13"/>
        </w:numPr>
        <w:rPr>
          <w:rFonts w:ascii="Arial" w:cs="Arial" w:eastAsia="Arial" w:hAnsi="Arial"/>
          <w:sz w:val="14"/>
          <w:szCs w:val="14"/>
          <w:color w:val="auto"/>
        </w:rPr>
      </w:pPr>
      <w:r>
        <w:rPr>
          <w:rFonts w:ascii="Arial" w:cs="Arial" w:eastAsia="Arial" w:hAnsi="Arial"/>
          <w:sz w:val="14"/>
          <w:szCs w:val="14"/>
          <w:color w:val="auto"/>
        </w:rPr>
        <w:t>Includes depreciation expense related to owned property, plant and equipment. Does not include amortization of intangible assets or leased assets. Refer to the consolidated statements of cash flows for total depreciation and amortization expenses.</w:t>
      </w:r>
    </w:p>
    <w:p>
      <w:pPr>
        <w:spacing w:after="0" w:line="200" w:lineRule="exact"/>
        <w:rPr>
          <w:sz w:val="20"/>
          <w:szCs w:val="20"/>
          <w:color w:val="auto"/>
        </w:rPr>
      </w:pPr>
    </w:p>
    <w:p>
      <w:pPr>
        <w:spacing w:after="0" w:line="268" w:lineRule="exact"/>
        <w:rPr>
          <w:sz w:val="20"/>
          <w:szCs w:val="20"/>
          <w:color w:val="auto"/>
        </w:rPr>
      </w:pPr>
    </w:p>
    <w:p>
      <w:pPr>
        <w:jc w:val="center"/>
        <w:ind w:left="7360"/>
        <w:spacing w:after="0"/>
        <w:rPr>
          <w:sz w:val="20"/>
          <w:szCs w:val="20"/>
          <w:color w:val="auto"/>
        </w:rPr>
      </w:pPr>
      <w:r>
        <w:rPr>
          <w:rFonts w:ascii="Arial" w:cs="Arial" w:eastAsia="Arial" w:hAnsi="Arial"/>
          <w:sz w:val="14"/>
          <w:szCs w:val="14"/>
          <w:b w:val="1"/>
          <w:bCs w:val="1"/>
          <w:color w:val="auto"/>
        </w:rPr>
        <w:t>Nine Months Ended</w:t>
      </w:r>
    </w:p>
    <w:p>
      <w:pPr>
        <w:spacing w:after="0" w:line="2" w:lineRule="exact"/>
        <w:rPr>
          <w:sz w:val="20"/>
          <w:szCs w:val="20"/>
          <w:color w:val="auto"/>
        </w:rPr>
      </w:pPr>
    </w:p>
    <w:p>
      <w:pPr>
        <w:jc w:val="center"/>
        <w:ind w:left="736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4685665</wp:posOffset>
            </wp:positionH>
            <wp:positionV relativeFrom="paragraph">
              <wp:posOffset>6350</wp:posOffset>
            </wp:positionV>
            <wp:extent cx="245173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451735" cy="8890"/>
                    </a:xfrm>
                    <a:prstGeom prst="rect">
                      <a:avLst/>
                    </a:prstGeom>
                    <a:noFill/>
                  </pic:spPr>
                </pic:pic>
              </a:graphicData>
            </a:graphic>
          </wp:anchor>
        </w:drawing>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380" w:type="dxa"/>
            <w:vAlign w:val="bottom"/>
          </w:tcPr>
          <w:p>
            <w:pPr>
              <w:spacing w:after="0"/>
              <w:rPr>
                <w:sz w:val="17"/>
                <w:szCs w:val="17"/>
                <w:color w:val="auto"/>
              </w:rPr>
            </w:pPr>
          </w:p>
        </w:tc>
        <w:tc>
          <w:tcPr>
            <w:tcW w:w="126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2025</w:t>
            </w:r>
          </w:p>
        </w:tc>
        <w:tc>
          <w:tcPr>
            <w:tcW w:w="6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693"/>
              <w:spacing w:after="0"/>
              <w:rPr>
                <w:sz w:val="20"/>
                <w:szCs w:val="20"/>
                <w:color w:val="auto"/>
              </w:rPr>
            </w:pPr>
            <w:r>
              <w:rPr>
                <w:rFonts w:ascii="Arial" w:cs="Arial" w:eastAsia="Arial" w:hAnsi="Arial"/>
                <w:sz w:val="14"/>
                <w:szCs w:val="14"/>
                <w:b w:val="1"/>
                <w:bCs w:val="1"/>
                <w:color w:val="auto"/>
              </w:rPr>
              <w:t>2024</w:t>
            </w:r>
          </w:p>
        </w:tc>
      </w:tr>
      <w:tr>
        <w:trPr>
          <w:trHeight w:val="210"/>
        </w:trPr>
        <w:tc>
          <w:tcPr>
            <w:tcW w:w="7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80" w:type="dxa"/>
            <w:vAlign w:val="bottom"/>
            <w:gridSpan w:val="3"/>
          </w:tcPr>
          <w:p>
            <w:pPr>
              <w:jc w:val="right"/>
              <w:ind w:right="110"/>
              <w:spacing w:after="0"/>
              <w:rPr>
                <w:sz w:val="20"/>
                <w:szCs w:val="20"/>
                <w:color w:val="auto"/>
              </w:rPr>
            </w:pPr>
            <w:r>
              <w:rPr>
                <w:rFonts w:ascii="Arial" w:cs="Arial" w:eastAsia="Arial" w:hAnsi="Arial"/>
                <w:sz w:val="14"/>
                <w:szCs w:val="14"/>
                <w:b w:val="1"/>
                <w:bCs w:val="1"/>
                <w:color w:val="auto"/>
              </w:rPr>
              <w:t>(in millions)</w:t>
            </w:r>
          </w:p>
        </w:tc>
        <w:tc>
          <w:tcPr>
            <w:tcW w:w="1320" w:type="dxa"/>
            <w:vAlign w:val="bottom"/>
          </w:tcPr>
          <w:p>
            <w:pPr>
              <w:spacing w:after="0"/>
              <w:rPr>
                <w:sz w:val="18"/>
                <w:szCs w:val="18"/>
                <w:color w:val="auto"/>
              </w:rPr>
            </w:pPr>
          </w:p>
        </w:tc>
      </w:tr>
      <w:tr>
        <w:trPr>
          <w:trHeight w:val="230"/>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 expenditures:</w:t>
            </w:r>
          </w:p>
        </w:tc>
        <w:tc>
          <w:tcPr>
            <w:tcW w:w="12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r>
      <w:tr>
        <w:trPr>
          <w:trHeight w:val="229"/>
        </w:trPr>
        <w:tc>
          <w:tcPr>
            <w:tcW w:w="7380" w:type="dxa"/>
            <w:vAlign w:val="bottom"/>
          </w:tcPr>
          <w:p>
            <w:pPr>
              <w:ind w:left="140"/>
              <w:spacing w:after="0"/>
              <w:rPr>
                <w:sz w:val="20"/>
                <w:szCs w:val="20"/>
                <w:color w:val="auto"/>
              </w:rPr>
            </w:pPr>
            <w:r>
              <w:rPr>
                <w:rFonts w:ascii="Arial" w:cs="Arial" w:eastAsia="Arial" w:hAnsi="Arial"/>
                <w:sz w:val="18"/>
                <w:szCs w:val="18"/>
                <w:color w:val="auto"/>
              </w:rPr>
              <w:t>Latin America</w:t>
            </w:r>
          </w:p>
        </w:tc>
        <w:tc>
          <w:tcPr>
            <w:tcW w:w="1260" w:type="dxa"/>
            <w:vAlign w:val="bottom"/>
          </w:tcPr>
          <w:p>
            <w:pPr>
              <w:jc w:val="right"/>
              <w:ind w:right="1056"/>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19"/>
                <w:szCs w:val="19"/>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(138)</w:t>
            </w:r>
          </w:p>
        </w:tc>
      </w:tr>
      <w:tr>
        <w:trPr>
          <w:trHeight w:val="230"/>
        </w:trPr>
        <w:tc>
          <w:tcPr>
            <w:tcW w:w="7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AMEA</w:t>
            </w:r>
          </w:p>
        </w:tc>
        <w:tc>
          <w:tcPr>
            <w:tcW w:w="12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r>
      <w:tr>
        <w:trPr>
          <w:trHeight w:val="230"/>
        </w:trPr>
        <w:tc>
          <w:tcPr>
            <w:tcW w:w="7380" w:type="dxa"/>
            <w:vAlign w:val="bottom"/>
          </w:tcPr>
          <w:p>
            <w:pPr>
              <w:ind w:left="140"/>
              <w:spacing w:after="0"/>
              <w:rPr>
                <w:sz w:val="20"/>
                <w:szCs w:val="20"/>
                <w:color w:val="auto"/>
              </w:rPr>
            </w:pPr>
            <w:r>
              <w:rPr>
                <w:rFonts w:ascii="Arial" w:cs="Arial" w:eastAsia="Arial" w:hAnsi="Arial"/>
                <w:sz w:val="18"/>
                <w:szCs w:val="18"/>
                <w:color w:val="auto"/>
              </w:rPr>
              <w:t>Europe</w:t>
            </w:r>
          </w:p>
        </w:tc>
        <w:tc>
          <w:tcPr>
            <w:tcW w:w="12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(354)</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(400)</w:t>
            </w:r>
          </w:p>
        </w:tc>
      </w:tr>
      <w:tr>
        <w:trPr>
          <w:trHeight w:val="230"/>
        </w:trPr>
        <w:tc>
          <w:tcPr>
            <w:tcW w:w="7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North America</w:t>
            </w:r>
          </w:p>
        </w:tc>
        <w:tc>
          <w:tcPr>
            <w:tcW w:w="12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r>
      <w:tr>
        <w:trPr>
          <w:trHeight w:val="229"/>
        </w:trPr>
        <w:tc>
          <w:tcPr>
            <w:tcW w:w="73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Corporate</w:t>
            </w:r>
          </w:p>
        </w:tc>
        <w:tc>
          <w:tcPr>
            <w:tcW w:w="12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r>
      <w:tr>
        <w:trPr>
          <w:trHeight w:val="248"/>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capital expenditures</w:t>
            </w:r>
          </w:p>
        </w:tc>
        <w:tc>
          <w:tcPr>
            <w:tcW w:w="1260" w:type="dxa"/>
            <w:vAlign w:val="bottom"/>
            <w:tcBorders>
              <w:bottom w:val="single" w:sz="8" w:color="auto"/>
            </w:tcBorders>
            <w:shd w:val="clear" w:color="auto" w:fill="CCEEFF"/>
          </w:tcPr>
          <w:p>
            <w:pPr>
              <w:jc w:val="right"/>
              <w:ind w:right="1056"/>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(881)</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(982)</w:t>
            </w: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6845935</wp:posOffset>
            </wp:positionH>
            <wp:positionV relativeFrom="paragraph">
              <wp:posOffset>1165860</wp:posOffset>
            </wp:positionV>
            <wp:extent cx="282575" cy="1885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287655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Disaggregation of Net Revenue</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Net revenues by product category, reflecting our current segment structure for all periods presented, were:</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6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4300" w:type="dxa"/>
            <w:vAlign w:val="bottom"/>
            <w:tcBorders>
              <w:bottom w:val="single" w:sz="8" w:color="auto"/>
            </w:tcBorders>
            <w:gridSpan w:val="8"/>
          </w:tcPr>
          <w:p>
            <w:pPr>
              <w:jc w:val="center"/>
              <w:ind w:right="400"/>
              <w:spacing w:after="0"/>
              <w:rPr>
                <w:sz w:val="20"/>
                <w:szCs w:val="20"/>
                <w:color w:val="auto"/>
              </w:rPr>
            </w:pPr>
            <w:r>
              <w:rPr>
                <w:rFonts w:ascii="Arial" w:cs="Arial" w:eastAsia="Arial" w:hAnsi="Arial"/>
                <w:sz w:val="14"/>
                <w:szCs w:val="14"/>
                <w:b w:val="1"/>
                <w:bCs w:val="1"/>
                <w:color w:val="auto"/>
              </w:rPr>
              <w:t>For the Three Months Ended September 30, 2025</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3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gridSpan w:val="2"/>
          </w:tcPr>
          <w:p>
            <w:pPr>
              <w:jc w:val="center"/>
              <w:ind w:right="380"/>
              <w:spacing w:after="0" w:line="147" w:lineRule="exact"/>
              <w:rPr>
                <w:sz w:val="20"/>
                <w:szCs w:val="20"/>
                <w:color w:val="auto"/>
              </w:rPr>
            </w:pPr>
            <w:r>
              <w:rPr>
                <w:rFonts w:ascii="Arial" w:cs="Arial" w:eastAsia="Arial" w:hAnsi="Arial"/>
                <w:sz w:val="14"/>
                <w:szCs w:val="14"/>
                <w:b w:val="1"/>
                <w:bCs w:val="1"/>
                <w:color w:val="auto"/>
              </w:rPr>
              <w:t>Latin</w:t>
            </w:r>
          </w:p>
        </w:tc>
        <w:tc>
          <w:tcPr>
            <w:tcW w:w="320" w:type="dxa"/>
            <w:vAlign w:val="bottom"/>
          </w:tcPr>
          <w:p>
            <w:pPr>
              <w:spacing w:after="0"/>
              <w:rPr>
                <w:sz w:val="12"/>
                <w:szCs w:val="12"/>
                <w:color w:val="auto"/>
              </w:rPr>
            </w:pPr>
          </w:p>
        </w:tc>
        <w:tc>
          <w:tcPr>
            <w:tcW w:w="12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AMEA</w:t>
            </w:r>
          </w:p>
        </w:tc>
        <w:tc>
          <w:tcPr>
            <w:tcW w:w="220" w:type="dxa"/>
            <w:vAlign w:val="bottom"/>
          </w:tcPr>
          <w:p>
            <w:pPr>
              <w:spacing w:after="0"/>
              <w:rPr>
                <w:sz w:val="12"/>
                <w:szCs w:val="12"/>
                <w:color w:val="auto"/>
              </w:rPr>
            </w:pPr>
          </w:p>
        </w:tc>
        <w:tc>
          <w:tcPr>
            <w:tcW w:w="13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9"/>
              </w:rPr>
              <w:t>Europe</w:t>
            </w:r>
          </w:p>
        </w:tc>
        <w:tc>
          <w:tcPr>
            <w:tcW w:w="280" w:type="dxa"/>
            <w:vAlign w:val="bottom"/>
          </w:tcPr>
          <w:p>
            <w:pPr>
              <w:spacing w:after="0"/>
              <w:rPr>
                <w:sz w:val="12"/>
                <w:szCs w:val="12"/>
                <w:color w:val="auto"/>
              </w:rPr>
            </w:pPr>
          </w:p>
        </w:tc>
        <w:tc>
          <w:tcPr>
            <w:tcW w:w="1260" w:type="dxa"/>
            <w:vAlign w:val="bottom"/>
            <w:gridSpan w:val="2"/>
          </w:tcPr>
          <w:p>
            <w:pPr>
              <w:jc w:val="center"/>
              <w:ind w:right="380"/>
              <w:spacing w:after="0" w:line="147" w:lineRule="exact"/>
              <w:rPr>
                <w:sz w:val="20"/>
                <w:szCs w:val="20"/>
                <w:color w:val="auto"/>
              </w:rPr>
            </w:pPr>
            <w:r>
              <w:rPr>
                <w:rFonts w:ascii="Arial" w:cs="Arial" w:eastAsia="Arial" w:hAnsi="Arial"/>
                <w:sz w:val="14"/>
                <w:szCs w:val="14"/>
                <w:b w:val="1"/>
                <w:bCs w:val="1"/>
                <w:color w:val="auto"/>
              </w:rPr>
              <w:t>North</w:t>
            </w:r>
          </w:p>
        </w:tc>
        <w:tc>
          <w:tcPr>
            <w:tcW w:w="340" w:type="dxa"/>
            <w:vAlign w:val="bottom"/>
          </w:tcPr>
          <w:p>
            <w:pPr>
              <w:spacing w:after="0"/>
              <w:rPr>
                <w:sz w:val="12"/>
                <w:szCs w:val="12"/>
                <w:color w:val="auto"/>
              </w:rPr>
            </w:pPr>
          </w:p>
        </w:tc>
        <w:tc>
          <w:tcPr>
            <w:tcW w:w="1100" w:type="dxa"/>
            <w:vAlign w:val="bottom"/>
            <w:vMerge w:val="restart"/>
          </w:tcPr>
          <w:p>
            <w:pPr>
              <w:jc w:val="right"/>
              <w:ind w:right="47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36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rPr>
              <w:t>America</w:t>
            </w:r>
          </w:p>
        </w:tc>
        <w:tc>
          <w:tcPr>
            <w:tcW w:w="3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rPr>
              <w:t>America</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Biscuits &amp; Baked Snacks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1,308</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2,445</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4,799</w:t>
            </w:r>
          </w:p>
        </w:tc>
        <w:tc>
          <w:tcPr>
            <w:tcW w:w="0" w:type="dxa"/>
            <w:vAlign w:val="bottom"/>
          </w:tcPr>
          <w:p>
            <w:pPr>
              <w:spacing w:after="0"/>
              <w:rPr>
                <w:sz w:val="1"/>
                <w:szCs w:val="1"/>
                <w:color w:val="auto"/>
              </w:rPr>
            </w:pPr>
          </w:p>
        </w:tc>
      </w:tr>
      <w:tr>
        <w:trPr>
          <w:trHeight w:val="230"/>
        </w:trPr>
        <w:tc>
          <w:tcPr>
            <w:tcW w:w="3640" w:type="dxa"/>
            <w:vAlign w:val="bottom"/>
          </w:tcPr>
          <w:p>
            <w:pPr>
              <w:ind w:left="20"/>
              <w:spacing w:after="0"/>
              <w:rPr>
                <w:sz w:val="20"/>
                <w:szCs w:val="20"/>
                <w:color w:val="auto"/>
              </w:rPr>
            </w:pPr>
            <w:r>
              <w:rPr>
                <w:rFonts w:ascii="Arial" w:cs="Arial" w:eastAsia="Arial" w:hAnsi="Arial"/>
                <w:sz w:val="18"/>
                <w:szCs w:val="18"/>
                <w:color w:val="auto"/>
              </w:rPr>
              <w:t>Chocolate</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807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1,806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3,076</w:t>
            </w:r>
          </w:p>
        </w:tc>
        <w:tc>
          <w:tcPr>
            <w:tcW w:w="0" w:type="dxa"/>
            <w:vAlign w:val="bottom"/>
          </w:tcPr>
          <w:p>
            <w:pPr>
              <w:spacing w:after="0"/>
              <w:rPr>
                <w:sz w:val="1"/>
                <w:szCs w:val="1"/>
                <w:color w:val="auto"/>
              </w:rPr>
            </w:pPr>
          </w:p>
        </w:tc>
      </w:tr>
      <w:tr>
        <w:trPr>
          <w:trHeight w:val="229"/>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Gum &amp; Candy</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1,051</w:t>
            </w:r>
          </w:p>
        </w:tc>
        <w:tc>
          <w:tcPr>
            <w:tcW w:w="0" w:type="dxa"/>
            <w:vAlign w:val="bottom"/>
          </w:tcPr>
          <w:p>
            <w:pPr>
              <w:spacing w:after="0"/>
              <w:rPr>
                <w:sz w:val="1"/>
                <w:szCs w:val="1"/>
                <w:color w:val="auto"/>
              </w:rPr>
            </w:pPr>
          </w:p>
        </w:tc>
      </w:tr>
      <w:tr>
        <w:trPr>
          <w:trHeight w:val="229"/>
        </w:trPr>
        <w:tc>
          <w:tcPr>
            <w:tcW w:w="3640" w:type="dxa"/>
            <w:vAlign w:val="bottom"/>
          </w:tcPr>
          <w:p>
            <w:pPr>
              <w:ind w:left="20"/>
              <w:spacing w:after="0"/>
              <w:rPr>
                <w:sz w:val="20"/>
                <w:szCs w:val="20"/>
                <w:color w:val="auto"/>
              </w:rPr>
            </w:pPr>
            <w:r>
              <w:rPr>
                <w:rFonts w:ascii="Arial" w:cs="Arial" w:eastAsia="Arial" w:hAnsi="Arial"/>
                <w:sz w:val="18"/>
                <w:szCs w:val="18"/>
                <w:color w:val="auto"/>
              </w:rPr>
              <w:t>Beverages</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30"/>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Cheese &amp; Grocery</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223"/>
        </w:trPr>
        <w:tc>
          <w:tcPr>
            <w:tcW w:w="3640" w:type="dxa"/>
            <w:vAlign w:val="bottom"/>
          </w:tcPr>
          <w:p>
            <w:pPr>
              <w:ind w:left="140"/>
              <w:spacing w:after="0"/>
              <w:rPr>
                <w:sz w:val="20"/>
                <w:szCs w:val="20"/>
                <w:color w:val="auto"/>
              </w:rPr>
            </w:pPr>
            <w:r>
              <w:rPr>
                <w:rFonts w:ascii="Arial" w:cs="Arial" w:eastAsia="Arial" w:hAnsi="Arial"/>
                <w:sz w:val="18"/>
                <w:szCs w:val="18"/>
                <w:color w:val="auto"/>
              </w:rPr>
              <w:t>Total net revenues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1,238</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3,674</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2,815</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9,744</w:t>
            </w:r>
          </w:p>
        </w:tc>
        <w:tc>
          <w:tcPr>
            <w:tcW w:w="0" w:type="dxa"/>
            <w:vAlign w:val="bottom"/>
          </w:tcPr>
          <w:p>
            <w:pPr>
              <w:spacing w:after="0"/>
              <w:rPr>
                <w:sz w:val="1"/>
                <w:szCs w:val="1"/>
                <w:color w:val="auto"/>
              </w:rPr>
            </w:pPr>
          </w:p>
        </w:tc>
      </w:tr>
      <w:tr>
        <w:trPr>
          <w:trHeight w:val="21"/>
        </w:trPr>
        <w:tc>
          <w:tcPr>
            <w:tcW w:w="3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8"/>
        </w:trPr>
        <w:tc>
          <w:tcPr>
            <w:tcW w:w="36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300" w:type="dxa"/>
            <w:vAlign w:val="bottom"/>
            <w:tcBorders>
              <w:bottom w:val="single" w:sz="8" w:color="auto"/>
            </w:tcBorders>
            <w:gridSpan w:val="8"/>
          </w:tcPr>
          <w:p>
            <w:pPr>
              <w:jc w:val="center"/>
              <w:ind w:right="400"/>
              <w:spacing w:after="0"/>
              <w:rPr>
                <w:sz w:val="20"/>
                <w:szCs w:val="20"/>
                <w:color w:val="auto"/>
              </w:rPr>
            </w:pPr>
            <w:r>
              <w:rPr>
                <w:rFonts w:ascii="Arial" w:cs="Arial" w:eastAsia="Arial" w:hAnsi="Arial"/>
                <w:sz w:val="14"/>
                <w:szCs w:val="14"/>
                <w:b w:val="1"/>
                <w:bCs w:val="1"/>
                <w:color w:val="auto"/>
              </w:rPr>
              <w:t>For the Three Months Ended September 30, 2024</w:t>
            </w: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3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gridSpan w:val="2"/>
          </w:tcPr>
          <w:p>
            <w:pPr>
              <w:jc w:val="center"/>
              <w:ind w:right="380"/>
              <w:spacing w:after="0" w:line="147" w:lineRule="exact"/>
              <w:rPr>
                <w:sz w:val="20"/>
                <w:szCs w:val="20"/>
                <w:color w:val="auto"/>
              </w:rPr>
            </w:pPr>
            <w:r>
              <w:rPr>
                <w:rFonts w:ascii="Arial" w:cs="Arial" w:eastAsia="Arial" w:hAnsi="Arial"/>
                <w:sz w:val="14"/>
                <w:szCs w:val="14"/>
                <w:b w:val="1"/>
                <w:bCs w:val="1"/>
                <w:color w:val="auto"/>
              </w:rPr>
              <w:t>Latin</w:t>
            </w:r>
          </w:p>
        </w:tc>
        <w:tc>
          <w:tcPr>
            <w:tcW w:w="320" w:type="dxa"/>
            <w:vAlign w:val="bottom"/>
          </w:tcPr>
          <w:p>
            <w:pPr>
              <w:spacing w:after="0"/>
              <w:rPr>
                <w:sz w:val="12"/>
                <w:szCs w:val="12"/>
                <w:color w:val="auto"/>
              </w:rPr>
            </w:pPr>
          </w:p>
        </w:tc>
        <w:tc>
          <w:tcPr>
            <w:tcW w:w="12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AMEA</w:t>
            </w:r>
          </w:p>
        </w:tc>
        <w:tc>
          <w:tcPr>
            <w:tcW w:w="220" w:type="dxa"/>
            <w:vAlign w:val="bottom"/>
          </w:tcPr>
          <w:p>
            <w:pPr>
              <w:spacing w:after="0"/>
              <w:rPr>
                <w:sz w:val="12"/>
                <w:szCs w:val="12"/>
                <w:color w:val="auto"/>
              </w:rPr>
            </w:pPr>
          </w:p>
        </w:tc>
        <w:tc>
          <w:tcPr>
            <w:tcW w:w="13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9"/>
              </w:rPr>
              <w:t>Europe</w:t>
            </w:r>
          </w:p>
        </w:tc>
        <w:tc>
          <w:tcPr>
            <w:tcW w:w="280" w:type="dxa"/>
            <w:vAlign w:val="bottom"/>
          </w:tcPr>
          <w:p>
            <w:pPr>
              <w:spacing w:after="0"/>
              <w:rPr>
                <w:sz w:val="12"/>
                <w:szCs w:val="12"/>
                <w:color w:val="auto"/>
              </w:rPr>
            </w:pPr>
          </w:p>
        </w:tc>
        <w:tc>
          <w:tcPr>
            <w:tcW w:w="1260" w:type="dxa"/>
            <w:vAlign w:val="bottom"/>
            <w:gridSpan w:val="2"/>
          </w:tcPr>
          <w:p>
            <w:pPr>
              <w:jc w:val="center"/>
              <w:ind w:right="380"/>
              <w:spacing w:after="0" w:line="147" w:lineRule="exact"/>
              <w:rPr>
                <w:sz w:val="20"/>
                <w:szCs w:val="20"/>
                <w:color w:val="auto"/>
              </w:rPr>
            </w:pPr>
            <w:r>
              <w:rPr>
                <w:rFonts w:ascii="Arial" w:cs="Arial" w:eastAsia="Arial" w:hAnsi="Arial"/>
                <w:sz w:val="14"/>
                <w:szCs w:val="14"/>
                <w:b w:val="1"/>
                <w:bCs w:val="1"/>
                <w:color w:val="auto"/>
              </w:rPr>
              <w:t>North</w:t>
            </w:r>
          </w:p>
        </w:tc>
        <w:tc>
          <w:tcPr>
            <w:tcW w:w="340" w:type="dxa"/>
            <w:vAlign w:val="bottom"/>
          </w:tcPr>
          <w:p>
            <w:pPr>
              <w:spacing w:after="0"/>
              <w:rPr>
                <w:sz w:val="12"/>
                <w:szCs w:val="12"/>
                <w:color w:val="auto"/>
              </w:rPr>
            </w:pPr>
          </w:p>
        </w:tc>
        <w:tc>
          <w:tcPr>
            <w:tcW w:w="1100" w:type="dxa"/>
            <w:vAlign w:val="bottom"/>
            <w:vMerge w:val="restart"/>
          </w:tcPr>
          <w:p>
            <w:pPr>
              <w:jc w:val="right"/>
              <w:ind w:right="47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36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rPr>
              <w:t>America</w:t>
            </w:r>
          </w:p>
        </w:tc>
        <w:tc>
          <w:tcPr>
            <w:tcW w:w="3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rPr>
              <w:t>America</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Biscuits &amp; Baked Snacks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1,162</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2,470</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4,605</w:t>
            </w:r>
          </w:p>
        </w:tc>
        <w:tc>
          <w:tcPr>
            <w:tcW w:w="0" w:type="dxa"/>
            <w:vAlign w:val="bottom"/>
          </w:tcPr>
          <w:p>
            <w:pPr>
              <w:spacing w:after="0"/>
              <w:rPr>
                <w:sz w:val="1"/>
                <w:szCs w:val="1"/>
                <w:color w:val="auto"/>
              </w:rPr>
            </w:pPr>
          </w:p>
        </w:tc>
      </w:tr>
      <w:tr>
        <w:trPr>
          <w:trHeight w:val="230"/>
        </w:trPr>
        <w:tc>
          <w:tcPr>
            <w:tcW w:w="3640" w:type="dxa"/>
            <w:vAlign w:val="bottom"/>
          </w:tcPr>
          <w:p>
            <w:pPr>
              <w:ind w:left="20"/>
              <w:spacing w:after="0"/>
              <w:rPr>
                <w:sz w:val="20"/>
                <w:szCs w:val="20"/>
                <w:color w:val="auto"/>
              </w:rPr>
            </w:pPr>
            <w:r>
              <w:rPr>
                <w:rFonts w:ascii="Arial" w:cs="Arial" w:eastAsia="Arial" w:hAnsi="Arial"/>
                <w:sz w:val="18"/>
                <w:szCs w:val="18"/>
                <w:color w:val="auto"/>
              </w:rPr>
              <w:t>Chocolate</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752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1,640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2,783</w:t>
            </w:r>
          </w:p>
        </w:tc>
        <w:tc>
          <w:tcPr>
            <w:tcW w:w="0" w:type="dxa"/>
            <w:vAlign w:val="bottom"/>
          </w:tcPr>
          <w:p>
            <w:pPr>
              <w:spacing w:after="0"/>
              <w:rPr>
                <w:sz w:val="1"/>
                <w:szCs w:val="1"/>
                <w:color w:val="auto"/>
              </w:rPr>
            </w:pPr>
          </w:p>
        </w:tc>
      </w:tr>
      <w:tr>
        <w:trPr>
          <w:trHeight w:val="229"/>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Gum &amp; Candy</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1,023</w:t>
            </w:r>
          </w:p>
        </w:tc>
        <w:tc>
          <w:tcPr>
            <w:tcW w:w="0" w:type="dxa"/>
            <w:vAlign w:val="bottom"/>
          </w:tcPr>
          <w:p>
            <w:pPr>
              <w:spacing w:after="0"/>
              <w:rPr>
                <w:sz w:val="1"/>
                <w:szCs w:val="1"/>
                <w:color w:val="auto"/>
              </w:rPr>
            </w:pPr>
          </w:p>
        </w:tc>
      </w:tr>
      <w:tr>
        <w:trPr>
          <w:trHeight w:val="230"/>
        </w:trPr>
        <w:tc>
          <w:tcPr>
            <w:tcW w:w="3640" w:type="dxa"/>
            <w:vAlign w:val="bottom"/>
          </w:tcPr>
          <w:p>
            <w:pPr>
              <w:ind w:left="20"/>
              <w:spacing w:after="0"/>
              <w:rPr>
                <w:sz w:val="20"/>
                <w:szCs w:val="20"/>
                <w:color w:val="auto"/>
              </w:rPr>
            </w:pPr>
            <w:r>
              <w:rPr>
                <w:rFonts w:ascii="Arial" w:cs="Arial" w:eastAsia="Arial" w:hAnsi="Arial"/>
                <w:sz w:val="18"/>
                <w:szCs w:val="18"/>
                <w:color w:val="auto"/>
              </w:rPr>
              <w:t>Beverages</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29"/>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Cheese &amp; Grocery</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0" w:type="dxa"/>
            <w:vAlign w:val="bottom"/>
          </w:tcPr>
          <w:p>
            <w:pPr>
              <w:spacing w:after="0"/>
              <w:rPr>
                <w:sz w:val="1"/>
                <w:szCs w:val="1"/>
                <w:color w:val="auto"/>
              </w:rPr>
            </w:pPr>
          </w:p>
        </w:tc>
      </w:tr>
      <w:tr>
        <w:trPr>
          <w:trHeight w:val="223"/>
        </w:trPr>
        <w:tc>
          <w:tcPr>
            <w:tcW w:w="3640" w:type="dxa"/>
            <w:vAlign w:val="bottom"/>
          </w:tcPr>
          <w:p>
            <w:pPr>
              <w:ind w:left="120"/>
              <w:spacing w:after="0"/>
              <w:rPr>
                <w:sz w:val="20"/>
                <w:szCs w:val="20"/>
                <w:color w:val="auto"/>
              </w:rPr>
            </w:pPr>
            <w:r>
              <w:rPr>
                <w:rFonts w:ascii="Arial" w:cs="Arial" w:eastAsia="Arial" w:hAnsi="Arial"/>
                <w:sz w:val="18"/>
                <w:szCs w:val="18"/>
                <w:color w:val="auto"/>
              </w:rPr>
              <w:t>Total net revenues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1,204</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1,851</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3,323</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2,826</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9,204</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8"/>
        </w:trPr>
        <w:tc>
          <w:tcPr>
            <w:tcW w:w="36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300" w:type="dxa"/>
            <w:vAlign w:val="bottom"/>
            <w:tcBorders>
              <w:bottom w:val="single" w:sz="8" w:color="auto"/>
            </w:tcBorders>
            <w:gridSpan w:val="8"/>
          </w:tcPr>
          <w:p>
            <w:pPr>
              <w:jc w:val="center"/>
              <w:ind w:right="400"/>
              <w:spacing w:after="0"/>
              <w:rPr>
                <w:sz w:val="20"/>
                <w:szCs w:val="20"/>
                <w:color w:val="auto"/>
              </w:rPr>
            </w:pPr>
            <w:r>
              <w:rPr>
                <w:rFonts w:ascii="Arial" w:cs="Arial" w:eastAsia="Arial" w:hAnsi="Arial"/>
                <w:sz w:val="14"/>
                <w:szCs w:val="14"/>
                <w:b w:val="1"/>
                <w:bCs w:val="1"/>
                <w:color w:val="auto"/>
              </w:rPr>
              <w:t>For the Nine Months Ended September 30, 2025</w:t>
            </w: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3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gridSpan w:val="2"/>
          </w:tcPr>
          <w:p>
            <w:pPr>
              <w:jc w:val="center"/>
              <w:ind w:right="380"/>
              <w:spacing w:after="0" w:line="147" w:lineRule="exact"/>
              <w:rPr>
                <w:sz w:val="20"/>
                <w:szCs w:val="20"/>
                <w:color w:val="auto"/>
              </w:rPr>
            </w:pPr>
            <w:r>
              <w:rPr>
                <w:rFonts w:ascii="Arial" w:cs="Arial" w:eastAsia="Arial" w:hAnsi="Arial"/>
                <w:sz w:val="14"/>
                <w:szCs w:val="14"/>
                <w:b w:val="1"/>
                <w:bCs w:val="1"/>
                <w:color w:val="auto"/>
              </w:rPr>
              <w:t>Latin</w:t>
            </w:r>
          </w:p>
        </w:tc>
        <w:tc>
          <w:tcPr>
            <w:tcW w:w="320" w:type="dxa"/>
            <w:vAlign w:val="bottom"/>
          </w:tcPr>
          <w:p>
            <w:pPr>
              <w:spacing w:after="0"/>
              <w:rPr>
                <w:sz w:val="12"/>
                <w:szCs w:val="12"/>
                <w:color w:val="auto"/>
              </w:rPr>
            </w:pPr>
          </w:p>
        </w:tc>
        <w:tc>
          <w:tcPr>
            <w:tcW w:w="12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AMEA</w:t>
            </w:r>
          </w:p>
        </w:tc>
        <w:tc>
          <w:tcPr>
            <w:tcW w:w="220" w:type="dxa"/>
            <w:vAlign w:val="bottom"/>
          </w:tcPr>
          <w:p>
            <w:pPr>
              <w:spacing w:after="0"/>
              <w:rPr>
                <w:sz w:val="12"/>
                <w:szCs w:val="12"/>
                <w:color w:val="auto"/>
              </w:rPr>
            </w:pPr>
          </w:p>
        </w:tc>
        <w:tc>
          <w:tcPr>
            <w:tcW w:w="13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9"/>
              </w:rPr>
              <w:t>Europe</w:t>
            </w:r>
          </w:p>
        </w:tc>
        <w:tc>
          <w:tcPr>
            <w:tcW w:w="280" w:type="dxa"/>
            <w:vAlign w:val="bottom"/>
          </w:tcPr>
          <w:p>
            <w:pPr>
              <w:spacing w:after="0"/>
              <w:rPr>
                <w:sz w:val="12"/>
                <w:szCs w:val="12"/>
                <w:color w:val="auto"/>
              </w:rPr>
            </w:pPr>
          </w:p>
        </w:tc>
        <w:tc>
          <w:tcPr>
            <w:tcW w:w="1260" w:type="dxa"/>
            <w:vAlign w:val="bottom"/>
            <w:gridSpan w:val="2"/>
          </w:tcPr>
          <w:p>
            <w:pPr>
              <w:jc w:val="center"/>
              <w:ind w:right="380"/>
              <w:spacing w:after="0" w:line="147" w:lineRule="exact"/>
              <w:rPr>
                <w:sz w:val="20"/>
                <w:szCs w:val="20"/>
                <w:color w:val="auto"/>
              </w:rPr>
            </w:pPr>
            <w:r>
              <w:rPr>
                <w:rFonts w:ascii="Arial" w:cs="Arial" w:eastAsia="Arial" w:hAnsi="Arial"/>
                <w:sz w:val="14"/>
                <w:szCs w:val="14"/>
                <w:b w:val="1"/>
                <w:bCs w:val="1"/>
                <w:color w:val="auto"/>
              </w:rPr>
              <w:t>North</w:t>
            </w:r>
          </w:p>
        </w:tc>
        <w:tc>
          <w:tcPr>
            <w:tcW w:w="340" w:type="dxa"/>
            <w:vAlign w:val="bottom"/>
          </w:tcPr>
          <w:p>
            <w:pPr>
              <w:spacing w:after="0"/>
              <w:rPr>
                <w:sz w:val="12"/>
                <w:szCs w:val="12"/>
                <w:color w:val="auto"/>
              </w:rPr>
            </w:pPr>
          </w:p>
        </w:tc>
        <w:tc>
          <w:tcPr>
            <w:tcW w:w="1100" w:type="dxa"/>
            <w:vAlign w:val="bottom"/>
            <w:vMerge w:val="restart"/>
          </w:tcPr>
          <w:p>
            <w:pPr>
              <w:jc w:val="right"/>
              <w:ind w:right="47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36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rPr>
              <w:t>America</w:t>
            </w:r>
          </w:p>
        </w:tc>
        <w:tc>
          <w:tcPr>
            <w:tcW w:w="3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rPr>
              <w:t>America</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Biscuits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2,182</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3,685</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6,970</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13,705</w:t>
            </w:r>
          </w:p>
        </w:tc>
        <w:tc>
          <w:tcPr>
            <w:tcW w:w="0" w:type="dxa"/>
            <w:vAlign w:val="bottom"/>
          </w:tcPr>
          <w:p>
            <w:pPr>
              <w:spacing w:after="0"/>
              <w:rPr>
                <w:sz w:val="1"/>
                <w:szCs w:val="1"/>
                <w:color w:val="auto"/>
              </w:rPr>
            </w:pPr>
          </w:p>
        </w:tc>
      </w:tr>
      <w:tr>
        <w:trPr>
          <w:trHeight w:val="230"/>
        </w:trPr>
        <w:tc>
          <w:tcPr>
            <w:tcW w:w="3640" w:type="dxa"/>
            <w:vAlign w:val="bottom"/>
          </w:tcPr>
          <w:p>
            <w:pPr>
              <w:ind w:left="20"/>
              <w:spacing w:after="0"/>
              <w:rPr>
                <w:sz w:val="20"/>
                <w:szCs w:val="20"/>
                <w:color w:val="auto"/>
              </w:rPr>
            </w:pPr>
            <w:r>
              <w:rPr>
                <w:rFonts w:ascii="Arial" w:cs="Arial" w:eastAsia="Arial" w:hAnsi="Arial"/>
                <w:sz w:val="18"/>
                <w:szCs w:val="18"/>
                <w:color w:val="auto"/>
              </w:rPr>
              <w:t>Chocolate</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1,066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2,237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5,335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8,919</w:t>
            </w:r>
          </w:p>
        </w:tc>
        <w:tc>
          <w:tcPr>
            <w:tcW w:w="0" w:type="dxa"/>
            <w:vAlign w:val="bottom"/>
          </w:tcPr>
          <w:p>
            <w:pPr>
              <w:spacing w:after="0"/>
              <w:rPr>
                <w:sz w:val="1"/>
                <w:szCs w:val="1"/>
                <w:color w:val="auto"/>
              </w:rPr>
            </w:pPr>
          </w:p>
        </w:tc>
      </w:tr>
      <w:tr>
        <w:trPr>
          <w:trHeight w:val="230"/>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Gum &amp; Candy</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2,971</w:t>
            </w:r>
          </w:p>
        </w:tc>
        <w:tc>
          <w:tcPr>
            <w:tcW w:w="0" w:type="dxa"/>
            <w:vAlign w:val="bottom"/>
          </w:tcPr>
          <w:p>
            <w:pPr>
              <w:spacing w:after="0"/>
              <w:rPr>
                <w:sz w:val="1"/>
                <w:szCs w:val="1"/>
                <w:color w:val="auto"/>
              </w:rPr>
            </w:pPr>
          </w:p>
        </w:tc>
      </w:tr>
      <w:tr>
        <w:trPr>
          <w:trHeight w:val="230"/>
        </w:trPr>
        <w:tc>
          <w:tcPr>
            <w:tcW w:w="3640" w:type="dxa"/>
            <w:vAlign w:val="bottom"/>
          </w:tcPr>
          <w:p>
            <w:pPr>
              <w:ind w:left="20"/>
              <w:spacing w:after="0"/>
              <w:rPr>
                <w:sz w:val="20"/>
                <w:szCs w:val="20"/>
                <w:color w:val="auto"/>
              </w:rPr>
            </w:pPr>
            <w:r>
              <w:rPr>
                <w:rFonts w:ascii="Arial" w:cs="Arial" w:eastAsia="Arial" w:hAnsi="Arial"/>
                <w:sz w:val="18"/>
                <w:szCs w:val="18"/>
                <w:color w:val="auto"/>
              </w:rPr>
              <w:t>Beverages</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741</w:t>
            </w:r>
          </w:p>
        </w:tc>
        <w:tc>
          <w:tcPr>
            <w:tcW w:w="0" w:type="dxa"/>
            <w:vAlign w:val="bottom"/>
          </w:tcPr>
          <w:p>
            <w:pPr>
              <w:spacing w:after="0"/>
              <w:rPr>
                <w:sz w:val="1"/>
                <w:szCs w:val="1"/>
                <w:color w:val="auto"/>
              </w:rPr>
            </w:pPr>
          </w:p>
        </w:tc>
      </w:tr>
      <w:tr>
        <w:trPr>
          <w:trHeight w:val="229"/>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Cheese &amp; Grocery</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1,705</w:t>
            </w:r>
          </w:p>
        </w:tc>
        <w:tc>
          <w:tcPr>
            <w:tcW w:w="0" w:type="dxa"/>
            <w:vAlign w:val="bottom"/>
          </w:tcPr>
          <w:p>
            <w:pPr>
              <w:spacing w:after="0"/>
              <w:rPr>
                <w:sz w:val="1"/>
                <w:szCs w:val="1"/>
                <w:color w:val="auto"/>
              </w:rPr>
            </w:pPr>
          </w:p>
        </w:tc>
      </w:tr>
      <w:tr>
        <w:trPr>
          <w:trHeight w:val="223"/>
        </w:trPr>
        <w:tc>
          <w:tcPr>
            <w:tcW w:w="3640" w:type="dxa"/>
            <w:vAlign w:val="bottom"/>
          </w:tcPr>
          <w:p>
            <w:pPr>
              <w:ind w:left="120"/>
              <w:spacing w:after="0"/>
              <w:rPr>
                <w:sz w:val="20"/>
                <w:szCs w:val="20"/>
                <w:color w:val="auto"/>
              </w:rPr>
            </w:pPr>
            <w:r>
              <w:rPr>
                <w:rFonts w:ascii="Arial" w:cs="Arial" w:eastAsia="Arial" w:hAnsi="Arial"/>
                <w:sz w:val="18"/>
                <w:szCs w:val="18"/>
                <w:color w:val="auto"/>
              </w:rPr>
              <w:t>Total net revenues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3,635</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5,854</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10,636</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7,916</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28,041</w:t>
            </w:r>
          </w:p>
        </w:tc>
        <w:tc>
          <w:tcPr>
            <w:tcW w:w="0" w:type="dxa"/>
            <w:vAlign w:val="bottom"/>
          </w:tcPr>
          <w:p>
            <w:pPr>
              <w:spacing w:after="0"/>
              <w:rPr>
                <w:sz w:val="1"/>
                <w:szCs w:val="1"/>
                <w:color w:val="auto"/>
              </w:rPr>
            </w:pPr>
          </w:p>
        </w:tc>
      </w:tr>
      <w:tr>
        <w:trPr>
          <w:trHeight w:val="21"/>
        </w:trPr>
        <w:tc>
          <w:tcPr>
            <w:tcW w:w="3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8"/>
        </w:trPr>
        <w:tc>
          <w:tcPr>
            <w:tcW w:w="36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300" w:type="dxa"/>
            <w:vAlign w:val="bottom"/>
            <w:tcBorders>
              <w:bottom w:val="single" w:sz="8" w:color="auto"/>
            </w:tcBorders>
            <w:gridSpan w:val="8"/>
          </w:tcPr>
          <w:p>
            <w:pPr>
              <w:jc w:val="center"/>
              <w:ind w:right="400"/>
              <w:spacing w:after="0"/>
              <w:rPr>
                <w:sz w:val="20"/>
                <w:szCs w:val="20"/>
                <w:color w:val="auto"/>
              </w:rPr>
            </w:pPr>
            <w:r>
              <w:rPr>
                <w:rFonts w:ascii="Arial" w:cs="Arial" w:eastAsia="Arial" w:hAnsi="Arial"/>
                <w:sz w:val="14"/>
                <w:szCs w:val="14"/>
                <w:b w:val="1"/>
                <w:bCs w:val="1"/>
                <w:color w:val="auto"/>
              </w:rPr>
              <w:t>For the Nine Months Ended September 30, 2024</w:t>
            </w: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3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gridSpan w:val="2"/>
          </w:tcPr>
          <w:p>
            <w:pPr>
              <w:jc w:val="center"/>
              <w:ind w:right="380"/>
              <w:spacing w:after="0" w:line="147" w:lineRule="exact"/>
              <w:rPr>
                <w:sz w:val="20"/>
                <w:szCs w:val="20"/>
                <w:color w:val="auto"/>
              </w:rPr>
            </w:pPr>
            <w:r>
              <w:rPr>
                <w:rFonts w:ascii="Arial" w:cs="Arial" w:eastAsia="Arial" w:hAnsi="Arial"/>
                <w:sz w:val="14"/>
                <w:szCs w:val="14"/>
                <w:b w:val="1"/>
                <w:bCs w:val="1"/>
                <w:color w:val="auto"/>
              </w:rPr>
              <w:t>Latin</w:t>
            </w:r>
          </w:p>
        </w:tc>
        <w:tc>
          <w:tcPr>
            <w:tcW w:w="320" w:type="dxa"/>
            <w:vAlign w:val="bottom"/>
          </w:tcPr>
          <w:p>
            <w:pPr>
              <w:spacing w:after="0"/>
              <w:rPr>
                <w:sz w:val="12"/>
                <w:szCs w:val="12"/>
                <w:color w:val="auto"/>
              </w:rPr>
            </w:pPr>
          </w:p>
        </w:tc>
        <w:tc>
          <w:tcPr>
            <w:tcW w:w="12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AMEA</w:t>
            </w:r>
          </w:p>
        </w:tc>
        <w:tc>
          <w:tcPr>
            <w:tcW w:w="220" w:type="dxa"/>
            <w:vAlign w:val="bottom"/>
          </w:tcPr>
          <w:p>
            <w:pPr>
              <w:spacing w:after="0"/>
              <w:rPr>
                <w:sz w:val="12"/>
                <w:szCs w:val="12"/>
                <w:color w:val="auto"/>
              </w:rPr>
            </w:pPr>
          </w:p>
        </w:tc>
        <w:tc>
          <w:tcPr>
            <w:tcW w:w="13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9"/>
              </w:rPr>
              <w:t>Europe</w:t>
            </w:r>
          </w:p>
        </w:tc>
        <w:tc>
          <w:tcPr>
            <w:tcW w:w="280" w:type="dxa"/>
            <w:vAlign w:val="bottom"/>
          </w:tcPr>
          <w:p>
            <w:pPr>
              <w:spacing w:after="0"/>
              <w:rPr>
                <w:sz w:val="12"/>
                <w:szCs w:val="12"/>
                <w:color w:val="auto"/>
              </w:rPr>
            </w:pPr>
          </w:p>
        </w:tc>
        <w:tc>
          <w:tcPr>
            <w:tcW w:w="1260" w:type="dxa"/>
            <w:vAlign w:val="bottom"/>
            <w:gridSpan w:val="2"/>
          </w:tcPr>
          <w:p>
            <w:pPr>
              <w:jc w:val="center"/>
              <w:ind w:right="380"/>
              <w:spacing w:after="0" w:line="147" w:lineRule="exact"/>
              <w:rPr>
                <w:sz w:val="20"/>
                <w:szCs w:val="20"/>
                <w:color w:val="auto"/>
              </w:rPr>
            </w:pPr>
            <w:r>
              <w:rPr>
                <w:rFonts w:ascii="Arial" w:cs="Arial" w:eastAsia="Arial" w:hAnsi="Arial"/>
                <w:sz w:val="14"/>
                <w:szCs w:val="14"/>
                <w:b w:val="1"/>
                <w:bCs w:val="1"/>
                <w:color w:val="auto"/>
              </w:rPr>
              <w:t>North</w:t>
            </w:r>
          </w:p>
        </w:tc>
        <w:tc>
          <w:tcPr>
            <w:tcW w:w="340" w:type="dxa"/>
            <w:vAlign w:val="bottom"/>
          </w:tcPr>
          <w:p>
            <w:pPr>
              <w:spacing w:after="0"/>
              <w:rPr>
                <w:sz w:val="12"/>
                <w:szCs w:val="12"/>
                <w:color w:val="auto"/>
              </w:rPr>
            </w:pPr>
          </w:p>
        </w:tc>
        <w:tc>
          <w:tcPr>
            <w:tcW w:w="1100" w:type="dxa"/>
            <w:vAlign w:val="bottom"/>
            <w:vMerge w:val="restart"/>
          </w:tcPr>
          <w:p>
            <w:pPr>
              <w:jc w:val="right"/>
              <w:ind w:right="47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36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rPr>
              <w:t>America</w:t>
            </w:r>
          </w:p>
        </w:tc>
        <w:tc>
          <w:tcPr>
            <w:tcW w:w="3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rPr>
              <w:t>America</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Biscuits &amp; Baked Snacks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1,865</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3,285</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7,203</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13,261</w:t>
            </w:r>
          </w:p>
        </w:tc>
        <w:tc>
          <w:tcPr>
            <w:tcW w:w="0" w:type="dxa"/>
            <w:vAlign w:val="bottom"/>
          </w:tcPr>
          <w:p>
            <w:pPr>
              <w:spacing w:after="0"/>
              <w:rPr>
                <w:sz w:val="1"/>
                <w:szCs w:val="1"/>
                <w:color w:val="auto"/>
              </w:rPr>
            </w:pPr>
          </w:p>
        </w:tc>
      </w:tr>
      <w:tr>
        <w:trPr>
          <w:trHeight w:val="229"/>
        </w:trPr>
        <w:tc>
          <w:tcPr>
            <w:tcW w:w="3640" w:type="dxa"/>
            <w:vAlign w:val="bottom"/>
          </w:tcPr>
          <w:p>
            <w:pPr>
              <w:ind w:left="20"/>
              <w:spacing w:after="0"/>
              <w:rPr>
                <w:sz w:val="20"/>
                <w:szCs w:val="20"/>
                <w:color w:val="auto"/>
              </w:rPr>
            </w:pPr>
            <w:r>
              <w:rPr>
                <w:rFonts w:ascii="Arial" w:cs="Arial" w:eastAsia="Arial" w:hAnsi="Arial"/>
                <w:sz w:val="18"/>
                <w:szCs w:val="18"/>
                <w:color w:val="auto"/>
              </w:rPr>
              <w:t>Chocolate</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985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2,102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4,703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8,030</w:t>
            </w:r>
          </w:p>
        </w:tc>
        <w:tc>
          <w:tcPr>
            <w:tcW w:w="0" w:type="dxa"/>
            <w:vAlign w:val="bottom"/>
          </w:tcPr>
          <w:p>
            <w:pPr>
              <w:spacing w:after="0"/>
              <w:rPr>
                <w:sz w:val="1"/>
                <w:szCs w:val="1"/>
                <w:color w:val="auto"/>
              </w:rPr>
            </w:pPr>
          </w:p>
        </w:tc>
      </w:tr>
      <w:tr>
        <w:trPr>
          <w:trHeight w:val="230"/>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Gum &amp; Candy</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3,036</w:t>
            </w:r>
          </w:p>
        </w:tc>
        <w:tc>
          <w:tcPr>
            <w:tcW w:w="0" w:type="dxa"/>
            <w:vAlign w:val="bottom"/>
          </w:tcPr>
          <w:p>
            <w:pPr>
              <w:spacing w:after="0"/>
              <w:rPr>
                <w:sz w:val="1"/>
                <w:szCs w:val="1"/>
                <w:color w:val="auto"/>
              </w:rPr>
            </w:pPr>
          </w:p>
        </w:tc>
      </w:tr>
      <w:tr>
        <w:trPr>
          <w:trHeight w:val="230"/>
        </w:trPr>
        <w:tc>
          <w:tcPr>
            <w:tcW w:w="3640" w:type="dxa"/>
            <w:vAlign w:val="bottom"/>
          </w:tcPr>
          <w:p>
            <w:pPr>
              <w:ind w:left="20"/>
              <w:spacing w:after="0"/>
              <w:rPr>
                <w:sz w:val="20"/>
                <w:szCs w:val="20"/>
                <w:color w:val="auto"/>
              </w:rPr>
            </w:pPr>
            <w:r>
              <w:rPr>
                <w:rFonts w:ascii="Arial" w:cs="Arial" w:eastAsia="Arial" w:hAnsi="Arial"/>
                <w:sz w:val="18"/>
                <w:szCs w:val="18"/>
                <w:color w:val="auto"/>
              </w:rPr>
              <w:t>Beverages</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856</w:t>
            </w:r>
          </w:p>
        </w:tc>
        <w:tc>
          <w:tcPr>
            <w:tcW w:w="0" w:type="dxa"/>
            <w:vAlign w:val="bottom"/>
          </w:tcPr>
          <w:p>
            <w:pPr>
              <w:spacing w:after="0"/>
              <w:rPr>
                <w:sz w:val="1"/>
                <w:szCs w:val="1"/>
                <w:color w:val="auto"/>
              </w:rPr>
            </w:pPr>
          </w:p>
        </w:tc>
      </w:tr>
      <w:tr>
        <w:trPr>
          <w:trHeight w:val="230"/>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Cheese &amp; Grocery</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1,654</w:t>
            </w:r>
          </w:p>
        </w:tc>
        <w:tc>
          <w:tcPr>
            <w:tcW w:w="0" w:type="dxa"/>
            <w:vAlign w:val="bottom"/>
          </w:tcPr>
          <w:p>
            <w:pPr>
              <w:spacing w:after="0"/>
              <w:rPr>
                <w:sz w:val="1"/>
                <w:szCs w:val="1"/>
                <w:color w:val="auto"/>
              </w:rPr>
            </w:pPr>
          </w:p>
        </w:tc>
      </w:tr>
      <w:tr>
        <w:trPr>
          <w:trHeight w:val="223"/>
        </w:trPr>
        <w:tc>
          <w:tcPr>
            <w:tcW w:w="3640" w:type="dxa"/>
            <w:vAlign w:val="bottom"/>
          </w:tcPr>
          <w:p>
            <w:pPr>
              <w:ind w:left="140"/>
              <w:spacing w:after="0"/>
              <w:rPr>
                <w:sz w:val="20"/>
                <w:szCs w:val="20"/>
                <w:color w:val="auto"/>
              </w:rPr>
            </w:pPr>
            <w:r>
              <w:rPr>
                <w:rFonts w:ascii="Arial" w:cs="Arial" w:eastAsia="Arial" w:hAnsi="Arial"/>
                <w:sz w:val="18"/>
                <w:szCs w:val="18"/>
                <w:color w:val="auto"/>
              </w:rPr>
              <w:t>Total net revenues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3,755</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5,388</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9,565</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8,129</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26,837</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6845935</wp:posOffset>
            </wp:positionH>
            <wp:positionV relativeFrom="paragraph">
              <wp:posOffset>394335</wp:posOffset>
            </wp:positionV>
            <wp:extent cx="282575" cy="18859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287655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Business and Strategy</w:t>
      </w:r>
    </w:p>
    <w:p>
      <w:pPr>
        <w:spacing w:after="0" w:line="25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Our core business is making and selling chocolate, biscuits and baked snacks, with additional businesses in adjacent, locally relevant categories including gum &amp; candy, cheese &amp; grocery and powdered beverages around the world.</w:t>
      </w:r>
    </w:p>
    <w:p>
      <w:pPr>
        <w:spacing w:after="0" w:line="1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aim to be the global leader in snacking. Our strategy is to drive long-term growth by focusing on four strategic priorities: accelerating consumer-centric growth, driving operational excellence, creating a winning growth culture and scaling sustainable snacking. We believe the successful implementation of our strategic priorities and leveraging of our attractive global footprint, strong core of iconic global and local brands, marketing, sales, distribution and cost excellence capabilities, and top talent with a growth mindset, will drive consistent top- and bottom-line growth, enabling us to continue to create long-term value for our shareholders.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 and Significant Items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Macroeconomic environment</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continue to observe significant market and geopolitical uncertainty, fluctuating consumer demand, inflationary pressures, supply constraints, trade and regulatory uncertainty and exchange rate volatility. As a result, we experienced significantly higher operating costs, including higher overall raw material, labor and energy costs that have continued to rise. In particular, while we expect cocoa costs to be lower in 2026 compared to the current year, we expect to continue to face elevated cocoa costs as compared to historical levels in the near-and medium-term. Refer to </w:t>
      </w:r>
      <w:r>
        <w:rPr>
          <w:rFonts w:ascii="Arial" w:cs="Arial" w:eastAsia="Arial" w:hAnsi="Arial"/>
          <w:sz w:val="18"/>
          <w:szCs w:val="18"/>
          <w:i w:val="1"/>
          <w:iCs w:val="1"/>
          <w:color w:val="auto"/>
        </w:rPr>
        <w:t>Commodity Trends</w:t>
      </w:r>
      <w:r>
        <w:rPr>
          <w:rFonts w:ascii="Arial" w:cs="Arial" w:eastAsia="Arial" w:hAnsi="Arial"/>
          <w:sz w:val="18"/>
          <w:szCs w:val="18"/>
          <w:color w:val="auto"/>
        </w:rPr>
        <w:t xml:space="preserve"> for additional information.</w:t>
      </w:r>
    </w:p>
    <w:p>
      <w:pPr>
        <w:spacing w:after="0" w:line="20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overall outlook for future snacks revenue growth remains strong; however, we anticipate ongoing volatility. While we have responded to elevated raw material costs with pricing increases for certain of our products, the elasticity impacts from those pricing increases has adversely impacted consumer demand, particularly in the United States and Europe. We will continue to proactively manage our business in response to the evolving global economic environment, related uncertainty and business risks while also prioritizing and supporting our employees and customers. We continue to take steps to mitigate impacts to our supply chain, operations, technology and assets.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 and Regulatory Uncertainty</w:t>
      </w:r>
    </w:p>
    <w:p>
      <w:pPr>
        <w:spacing w:after="0" w:line="25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many markets, including the United States, certain products or a portion of our products, including significant inputs, are imported from other jurisdictions. As the current geopolitical environment remains unpredictable, we continue to monitor and evaluate the impact of proposed and enacted tariffs, including proposed and enacted retaliatory tariffs or other trade restrictions. We are evaluating the potential impact of these developments as well as our ability to mitigate the impact, as they are expected to adversely impact our revenue and cost of goods sold. If the provisions of certain proposed tariffs for which implementation is currently delayed are ultimately implemented as originally proposed, or if additional tariff actions are implemented, we would expect those adverse impacts on our business operations and financial performance to be significant. For most products and materials imported to the United States from Mexico and Canada, we comply with the terms of the U.S.-Mexico-Canada Agreement and are therefore not subject to tariffs on most products and materials imported from those jurisdictions. However, the current trade environment continues to evolve rapidly and there can be no assurance that such products and materials will continue to be exempt. The implementation of additional protectionist trade measures, and any further retaliatory actions taken in response, could result in increased costs and pricing pressures, disrupt consumer spending patterns, and impact market stability and consumer confidence, any or all of which could adversely affect our operating results. For additional information, see the risk factors in our Annual Report on Form 10-K for the year ended December 31, 2024, including the risk entitled “</w:t>
      </w:r>
      <w:r>
        <w:rPr>
          <w:rFonts w:ascii="Arial" w:cs="Arial" w:eastAsia="Arial" w:hAnsi="Arial"/>
          <w:sz w:val="18"/>
          <w:szCs w:val="18"/>
          <w:i w:val="1"/>
          <w:iCs w:val="1"/>
          <w:color w:val="auto"/>
        </w:rPr>
        <w:t>We are subject to risks from changes to the</w:t>
      </w:r>
      <w:r>
        <w:rPr>
          <w:rFonts w:ascii="Arial" w:cs="Arial" w:eastAsia="Arial" w:hAnsi="Arial"/>
          <w:sz w:val="18"/>
          <w:szCs w:val="18"/>
          <w:color w:val="auto"/>
        </w:rPr>
        <w:t xml:space="preserve"> </w:t>
      </w:r>
      <w:r>
        <w:rPr>
          <w:rFonts w:ascii="Arial" w:cs="Arial" w:eastAsia="Arial" w:hAnsi="Arial"/>
          <w:sz w:val="18"/>
          <w:szCs w:val="18"/>
          <w:i w:val="1"/>
          <w:iCs w:val="1"/>
          <w:color w:val="auto"/>
        </w:rPr>
        <w:t>trade policies and tariff and import/export regulations by the U.S. and/or other foreign governments.</w:t>
      </w:r>
      <w:r>
        <w:rPr>
          <w:rFonts w:ascii="Arial" w:cs="Arial" w:eastAsia="Arial" w:hAnsi="Arial"/>
          <w:sz w:val="18"/>
          <w:szCs w:val="18"/>
          <w:color w:val="auto"/>
        </w:rPr>
        <w: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 in Ukraine</w:t>
      </w:r>
    </w:p>
    <w:p>
      <w:pPr>
        <w:spacing w:after="0" w:line="252"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In February 2022, following the Russian military invasion of Ukraine, we stopped production and closed our facilities in Ukraine; since then, we have taken steps to protect the safety of our employees and to restore operations at 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6845935</wp:posOffset>
            </wp:positionH>
            <wp:positionV relativeFrom="paragraph">
              <wp:posOffset>-1905</wp:posOffset>
            </wp:positionV>
            <wp:extent cx="282575" cy="18859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pacing w:after="0" w:line="13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287655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 xml:space="preserve">two manufacturing facilities, which were significantly damaged in March 2022. Refer to </w:t>
      </w:r>
      <w:r>
        <w:rPr>
          <w:rFonts w:ascii="Arial" w:cs="Arial" w:eastAsia="Arial" w:hAnsi="Arial"/>
          <w:sz w:val="18"/>
          <w:szCs w:val="18"/>
          <w:i w:val="1"/>
          <w:iCs w:val="1"/>
          <w:color w:val="auto"/>
        </w:rPr>
        <w:t>Items Affecting Comparability of Financial Results</w:t>
      </w:r>
      <w:r>
        <w:rPr>
          <w:rFonts w:ascii="Arial" w:cs="Arial" w:eastAsia="Arial" w:hAnsi="Arial"/>
          <w:sz w:val="18"/>
          <w:szCs w:val="18"/>
          <w:color w:val="auto"/>
        </w:rPr>
        <w:t xml:space="preserve"> for additional information.</w:t>
      </w:r>
    </w:p>
    <w:p>
      <w:pPr>
        <w:spacing w:after="0" w:line="18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have suspended new capital investments and our advertising spending in Russia, but as a food company with more than 2,500 employees in the country, we have not ceased operations because we believe that we play a role in the continuity of the food supply. We continue to evaluate the situation in Ukraine and Russia and our ability to control our operating activities and businesses on an ongoing basis and comply with applicable international sanctions. We continue to consolidate both our Ukrainian and Russian subsidiaries. During the third quarter of 2025, Ukraine generated 0.4% and Russia generated 3.7% of our consolidated net revenue and during the third quarter of 2024, Ukraine generated 0.4% and Russia generated 2.9% of our consolidated net revenue. The profitability of and the assets held by our Russian business continue to remain above historic levels. We cannot predict if the recent strength in our Russian business will continue in the future.</w:t>
      </w:r>
    </w:p>
    <w:p>
      <w:pPr>
        <w:spacing w:after="0" w:line="21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operations in Russia are subject to risks, including the temporary or permanent loss of assets due to expropriation or further curtailment of our ability to conduct business operations in Russia. In the event this were to occur, this could lead to the partial or full impairment of our Russian assets or deconsolidation of our Russian operations in future periods, or the termination of and loss of revenue from our business operations, based on actions taken by Russia, other parties or us. For additional information, see the risk factors in our Annual Report on Form 10-K for the year ended December 31, 2024, including the risk entitled “</w:t>
      </w:r>
      <w:r>
        <w:rPr>
          <w:rFonts w:ascii="Arial" w:cs="Arial" w:eastAsia="Arial" w:hAnsi="Arial"/>
          <w:sz w:val="18"/>
          <w:szCs w:val="18"/>
          <w:i w:val="1"/>
          <w:iCs w:val="1"/>
          <w:color w:val="auto"/>
        </w:rPr>
        <w:t>The war in Ukraine has impacted and could continue to impact</w:t>
      </w:r>
      <w:r>
        <w:rPr>
          <w:rFonts w:ascii="Arial" w:cs="Arial" w:eastAsia="Arial" w:hAnsi="Arial"/>
          <w:sz w:val="18"/>
          <w:szCs w:val="18"/>
          <w:color w:val="auto"/>
        </w:rPr>
        <w:t xml:space="preserve"> </w:t>
      </w:r>
      <w:r>
        <w:rPr>
          <w:rFonts w:ascii="Arial" w:cs="Arial" w:eastAsia="Arial" w:hAnsi="Arial"/>
          <w:sz w:val="18"/>
          <w:szCs w:val="18"/>
          <w:i w:val="1"/>
          <w:iCs w:val="1"/>
          <w:color w:val="auto"/>
        </w:rPr>
        <w:t>our business operations, financial performance and results of operations.</w:t>
      </w:r>
      <w:r>
        <w:rPr>
          <w:rFonts w:ascii="Arial" w:cs="Arial" w:eastAsia="Arial" w:hAnsi="Arial"/>
          <w:sz w:val="18"/>
          <w:szCs w:val="18"/>
          <w:color w:val="auto"/>
        </w:rPr>
        <w:t>”</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Developments in the Middle East</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October 2023, conflict developed in the Middle East between Hamas and Israel, and has expanded to other parts of the region. Throughout 2024 and thus far in 2025, we experienced limited adverse sales impacts related to this conflict in certain AMEA markets, but this did not have a material impact on our business, results of operations or financial condition. We continue to evaluate the impacts of these developments, including ongoing geopolitical discussions, on our business and we cannot predict if the conflict will have a significant impact in the future.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Extreme Price Growth in Argentina and Other Currency-Related Items</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During December 2023, the Argentinean peso significantly devalued. The peso's devaluation and potential resulting distortion on our non-GAAP Organic Net Revenue, Organic Net Revenue growth and other constant currency growth rate measures resulted in our decision to exclude the impact of pricing increases in excess of 26% year-over-year ("extreme pricing") in Argentina, from these measures beginning in the first quarter of 2024. The benchmark of 26% represents the minimum annual inflation rate for each year over a 3-year period which would result in a cumulative inflation rate in excess of 100%, the level at which an economy is considered hyperinflationary under U.S. GAAP. Throughout the following MD&amp;A discussion, we exclude the impact of extreme pricing in Argentina from the net pricing impact of Organic Net Revenue and Organic Net Revenue growth and its related impact on our other non-GAAP financial constant currency growth measures. Additionally within this MD&amp;A discussion, "currency-related items" reflect the impacts of extreme pricing and year-over-year currency translation rate changes. Refer to </w:t>
      </w:r>
      <w:r>
        <w:rPr>
          <w:rFonts w:ascii="Arial" w:cs="Arial" w:eastAsia="Arial" w:hAnsi="Arial"/>
          <w:sz w:val="18"/>
          <w:szCs w:val="18"/>
          <w:i w:val="1"/>
          <w:iCs w:val="1"/>
          <w:color w:val="auto"/>
        </w:rPr>
        <w:t>Non-GAAP financial measures</w:t>
      </w:r>
      <w:r>
        <w:rPr>
          <w:rFonts w:ascii="Arial" w:cs="Arial" w:eastAsia="Arial" w:hAnsi="Arial"/>
          <w:sz w:val="18"/>
          <w:szCs w:val="18"/>
          <w:color w:val="auto"/>
        </w:rPr>
        <w:t xml:space="preserve"> for additional information.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Currency-related items impacted our non-GAAP financial measures for the three months ended September 30, 2025 as follows:</w:t>
      </w:r>
    </w:p>
    <w:p>
      <w:pPr>
        <w:spacing w:after="0" w:line="24" w:lineRule="exact"/>
        <w:rPr>
          <w:sz w:val="20"/>
          <w:szCs w:val="20"/>
          <w:color w:val="auto"/>
        </w:rPr>
      </w:pPr>
    </w:p>
    <w:p>
      <w:pPr>
        <w:jc w:val="both"/>
        <w:ind w:left="660" w:hanging="328"/>
        <w:spacing w:after="0" w:line="251" w:lineRule="auto"/>
        <w:tabs>
          <w:tab w:leader="none" w:pos="648" w:val="left"/>
        </w:tabs>
        <w:numPr>
          <w:ilvl w:val="0"/>
          <w:numId w:val="14"/>
        </w:numPr>
        <w:rPr>
          <w:rFonts w:ascii="Arial" w:cs="Arial" w:eastAsia="Arial" w:hAnsi="Arial"/>
          <w:sz w:val="20"/>
          <w:szCs w:val="20"/>
          <w:b w:val="1"/>
          <w:bCs w:val="1"/>
          <w:i w:val="1"/>
          <w:iCs w:val="1"/>
          <w:color w:val="auto"/>
        </w:rPr>
      </w:pPr>
      <w:r>
        <w:rPr>
          <w:rFonts w:ascii="Arial" w:cs="Arial" w:eastAsia="Arial" w:hAnsi="Arial"/>
          <w:sz w:val="18"/>
          <w:szCs w:val="18"/>
          <w:color w:val="auto"/>
        </w:rPr>
        <w:t>Organic Net Revenue: In the third quarter of 2025, favorable currency-related items of $137 million (1.5 pp) were driven by favorable currency translation rate changes of $134 million (1.5 pp) and extreme pricing of $3 million (— pp). In Emerging Markets, favorable currency-related items of $14 million (0.4 pp) were driven by favorable currency translation rate changes of $11 million (0.3 pp) and extreme pricing of $3 million (0.1 pp). In Developed Markets, favorable currency-related items of $123 million (2.1 pp) were driven by favorable currency translation rate changes.</w:t>
      </w:r>
    </w:p>
    <w:p>
      <w:pPr>
        <w:spacing w:after="0" w:line="3" w:lineRule="exact"/>
        <w:rPr>
          <w:rFonts w:ascii="Arial" w:cs="Arial" w:eastAsia="Arial" w:hAnsi="Arial"/>
          <w:sz w:val="20"/>
          <w:szCs w:val="20"/>
          <w:b w:val="1"/>
          <w:bCs w:val="1"/>
          <w:i w:val="1"/>
          <w:iCs w:val="1"/>
          <w:color w:val="auto"/>
        </w:rPr>
      </w:pPr>
    </w:p>
    <w:p>
      <w:pPr>
        <w:ind w:left="660" w:hanging="328"/>
        <w:spacing w:after="0" w:line="250" w:lineRule="auto"/>
        <w:tabs>
          <w:tab w:leader="none" w:pos="655"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Adjusted Operating Income: In the third quarter of 2025, favorable currency-related items of $15 million were driven by favorable currency translation rate changes of $15 million, as extreme pricing had an immaterial impact.</w:t>
      </w:r>
    </w:p>
    <w:p>
      <w:pPr>
        <w:ind w:left="660" w:hanging="328"/>
        <w:spacing w:after="0" w:line="266" w:lineRule="auto"/>
        <w:tabs>
          <w:tab w:leader="none" w:pos="655"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Adjusted EPS: In the third quarter of 2025, favorable currency-related items of $0.01 were driven by favorable currency translation rate changes, as extreme pricing had an immaterial impact.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6845935</wp:posOffset>
            </wp:positionH>
            <wp:positionV relativeFrom="paragraph">
              <wp:posOffset>163830</wp:posOffset>
            </wp:positionV>
            <wp:extent cx="282575" cy="18859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pacing w:after="0" w:line="39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287655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Currency-related items impacted our non-GAAP financial measures for the nine months ended September 30, 2025 as follows:</w:t>
      </w:r>
    </w:p>
    <w:p>
      <w:pPr>
        <w:spacing w:after="0" w:line="24" w:lineRule="exact"/>
        <w:rPr>
          <w:sz w:val="20"/>
          <w:szCs w:val="20"/>
          <w:color w:val="auto"/>
        </w:rPr>
      </w:pPr>
    </w:p>
    <w:p>
      <w:pPr>
        <w:jc w:val="both"/>
        <w:ind w:left="660" w:hanging="328"/>
        <w:spacing w:after="0" w:line="251" w:lineRule="auto"/>
        <w:tabs>
          <w:tab w:leader="none" w:pos="648" w:val="left"/>
        </w:tabs>
        <w:numPr>
          <w:ilvl w:val="0"/>
          <w:numId w:val="15"/>
        </w:numPr>
        <w:rPr>
          <w:rFonts w:ascii="Arial" w:cs="Arial" w:eastAsia="Arial" w:hAnsi="Arial"/>
          <w:sz w:val="20"/>
          <w:szCs w:val="20"/>
          <w:b w:val="1"/>
          <w:bCs w:val="1"/>
          <w:i w:val="1"/>
          <w:iCs w:val="1"/>
          <w:color w:val="auto"/>
        </w:rPr>
      </w:pPr>
      <w:r>
        <w:rPr>
          <w:rFonts w:ascii="Arial" w:cs="Arial" w:eastAsia="Arial" w:hAnsi="Arial"/>
          <w:sz w:val="18"/>
          <w:szCs w:val="18"/>
          <w:color w:val="auto"/>
        </w:rPr>
        <w:t>Organic Net Revenue: In the first nine months of 2025, unfavorable currency-related items of $137 million (0.5 pp) were driven by unfavorable currency translation rate changes of $186 million (0.7 pp), partially offset by extreme pricing of $49 million (0.2 pp). In Emerging Markets, unfavorable currency-related items of $296 million (2.8 pp) were driven by unfavorable currency translation rate changes of $345 million (3.2 pp), partially offset by extreme pricing of 49 million (0.4 pp). In Developed Markets, favorable currency-related items of 159 million (1.0 pp) were driven by favorable currency translation rate changes.</w:t>
      </w:r>
    </w:p>
    <w:p>
      <w:pPr>
        <w:spacing w:after="0" w:line="3" w:lineRule="exact"/>
        <w:rPr>
          <w:rFonts w:ascii="Arial" w:cs="Arial" w:eastAsia="Arial" w:hAnsi="Arial"/>
          <w:sz w:val="20"/>
          <w:szCs w:val="20"/>
          <w:b w:val="1"/>
          <w:bCs w:val="1"/>
          <w:i w:val="1"/>
          <w:iCs w:val="1"/>
          <w:color w:val="auto"/>
        </w:rPr>
      </w:pPr>
    </w:p>
    <w:p>
      <w:pPr>
        <w:ind w:left="660" w:hanging="328"/>
        <w:spacing w:after="0" w:line="250" w:lineRule="auto"/>
        <w:tabs>
          <w:tab w:leader="none" w:pos="655"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Adjusted Operating Income: In the first nine months of 2025, favorable currency-related items of $18 million were driven by favorable currency translation rate changes of $10 million and the impact of extreme pricing of $8 million.</w:t>
      </w:r>
    </w:p>
    <w:p>
      <w:pPr>
        <w:ind w:left="660" w:hanging="328"/>
        <w:spacing w:after="0" w:line="266" w:lineRule="auto"/>
        <w:tabs>
          <w:tab w:leader="none" w:pos="655"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Adjusted EPS: In the first nine months of 2025, favorable currency-related items of $0.02 were driven by favorable currency translation rate changes of $0.01 and extreme pricing of $0.01.</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ERP System Implementation</w:t>
      </w:r>
    </w:p>
    <w:p>
      <w:pPr>
        <w:spacing w:after="0" w:line="25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In July 2024, our Board of Directors approved funding of $1.2 billion for a multi -year systems transformation program to upgrade our global ERP and supply chain systems (the “ERP System Implementation”). ERP System Implementation spending comprises both capital expenditures and operating expenses, of which a majority is expected to relate to operating expenses. The operating expenses associated with the ERP System Implementation represent incremental transformational costs above the normal ongoing level of spending on information technology to support operations. The ERP System Implementation program will be implemented by region in several phases with spending occurring over the next four years, with expected completion by year-end 2028. Refer to </w:t>
      </w:r>
      <w:r>
        <w:rPr>
          <w:rFonts w:ascii="Arial" w:cs="Arial" w:eastAsia="Arial" w:hAnsi="Arial"/>
          <w:sz w:val="18"/>
          <w:szCs w:val="18"/>
          <w:i w:val="1"/>
          <w:iCs w:val="1"/>
          <w:color w:val="auto"/>
        </w:rPr>
        <w:t>Non-GAAP financial measures</w:t>
      </w:r>
      <w:r>
        <w:rPr>
          <w:rFonts w:ascii="Arial" w:cs="Arial" w:eastAsia="Arial" w:hAnsi="Arial"/>
          <w:sz w:val="18"/>
          <w:szCs w:val="18"/>
          <w:color w:val="auto"/>
        </w:rPr>
        <w:t xml:space="preserve"> for additional information.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and Divestitures</w:t>
      </w:r>
    </w:p>
    <w:p>
      <w:pPr>
        <w:spacing w:after="0" w:line="25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During the fourth quarter of 2024, we completed the acquisition of Evirth (Shanghai) Industrial Co., Ltd, a leading manufacturer of cakes and pastries in China. Refer to Note 2, </w:t>
      </w:r>
      <w:r>
        <w:rPr>
          <w:rFonts w:ascii="Arial" w:cs="Arial" w:eastAsia="Arial" w:hAnsi="Arial"/>
          <w:sz w:val="18"/>
          <w:szCs w:val="18"/>
          <w:i w:val="1"/>
          <w:iCs w:val="1"/>
          <w:color w:val="auto"/>
        </w:rPr>
        <w:t>Acquisitions and Divestitures</w:t>
      </w:r>
      <w:r>
        <w:rPr>
          <w:rFonts w:ascii="Arial" w:cs="Arial" w:eastAsia="Arial" w:hAnsi="Arial"/>
          <w:sz w:val="18"/>
          <w:szCs w:val="18"/>
          <w:color w:val="auto"/>
        </w:rPr>
        <w:t>, for additional details.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Method Investment Transactions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JDE Peet’s Transactions (Euronext Amsterdam: “JDEP”)</w:t>
      </w:r>
    </w:p>
    <w:p>
      <w:pPr>
        <w:spacing w:after="0" w:line="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During the first quarter of 2024, we recorded an impairment charge of € 612 million ($665 million) related to our JDEP investment. During the fourth quarter of 2024, we sold our remaining 85.9 million shares to JAB Holding Company.</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On August 24, 2025, Keurig Dr Pepper Inc. (“KDP”) and JDEP entered into a definitive agreement under which KDP will acquire JDEP. As a result of that definitive agreement, we became entitled to a cash payment of €145 million ($169 million) from JAB that we received in the third quarter of 2025.</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additional information, refer to Note 6, </w:t>
      </w:r>
      <w:r>
        <w:rPr>
          <w:rFonts w:ascii="Arial" w:cs="Arial" w:eastAsia="Arial" w:hAnsi="Arial"/>
          <w:sz w:val="18"/>
          <w:szCs w:val="18"/>
          <w:i w:val="1"/>
          <w:iCs w:val="1"/>
          <w:color w:val="auto"/>
        </w:rPr>
        <w:t>Equity Method Investments.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Mondelēz Global and Canada Retirement Plan Settlements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Mondelēz Global LLC Retirement Plan Settlement</w:t>
      </w:r>
    </w:p>
    <w:p>
      <w:pPr>
        <w:spacing w:after="0" w:line="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During the third quarter of 2024, we entered into agreements with two third-party insurance companies to purchase buy-in annuity contracts to cover the liabilities associated with the Mondelēz Global LLC Retirement Plan (“MDLZ Global Plan”), the pension plan for U.S. salaried employees. The agreements provided us with the option to elect a buy-out conversion, at which time full responsibility of the MDLZ Global Plan obligations would transfer to the insurance companies. On June 12, 2025 we elected the buy-out conversion and recognized a non-cash pretax settlement loss of $282 million as a component of net periodic pension cost in the second quarter of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6845935</wp:posOffset>
            </wp:positionH>
            <wp:positionV relativeFrom="paragraph">
              <wp:posOffset>170815</wp:posOffset>
            </wp:positionV>
            <wp:extent cx="282575" cy="18859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287655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Mondelez Canada Inc. - Trusteed Hourly Retirement Plan and Retirement Plan Settlement</w:t>
      </w:r>
    </w:p>
    <w:p>
      <w:pPr>
        <w:spacing w:after="0" w:line="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third quarter of 2025, we entered into an agreement with a third-party insurance company to buy-out the retiree participants' obligations of the Mondelez Canada Inc. Trusteed Hourly Retirement Plan and Mondelez Canada Inc. Retirement Plan (collectively, "Canadian Pension Plans"). On September 11, 2025 the obligations were transferred to the insurance company and we recognized a non-cash pre-tax settlement loss of $54 million as a component of our net periodic pension cost in the third quarter of 2025.</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additional information, refer to Note 9, </w:t>
      </w:r>
      <w:r>
        <w:rPr>
          <w:rFonts w:ascii="Arial" w:cs="Arial" w:eastAsia="Arial" w:hAnsi="Arial"/>
          <w:sz w:val="18"/>
          <w:szCs w:val="18"/>
          <w:i w:val="1"/>
          <w:iCs w:val="1"/>
          <w:color w:val="auto"/>
        </w:rPr>
        <w:t>Benefit Plans.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Taxes</w:t>
      </w:r>
    </w:p>
    <w:p>
      <w:pPr>
        <w:spacing w:after="0" w:line="2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continue to monitor existing and potential future tax reform around the world. Numerous countries have enacted the Organization of Economic Cooperation and Development’s model rules on a global minimum tax, effective for 2024. The existing legislation does not have a material impact on our condensed consolidated financial statements. However, we continue to monitor all developments including how the June 28, 2025 G7 announcement that U.S.-parented companies be exempted from certain aspects of the global minimum tax regime will be incorporated into the model rules and local legislation around the world.</w:t>
      </w:r>
    </w:p>
    <w:p>
      <w:pPr>
        <w:spacing w:after="0" w:line="20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On July 4, 2025, the One Big Beautiful Bill Act ("OBBBA") was signed into U.S. law. The initial impact of the OBBBA legislation was not material to our third quarter earnings. Further, while we continue to monitor supplemental guidance released by the government, we do not expect any material impacts to our financial statements for the full year ending December 31, 2025.</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5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We use non-GAAP financial measures internally to make operating and strategic decisions, including the preparation of our annual operating plan, evaluation of business performance and as a factor in determining incentive compensation. We believe that non-GAAP financial measures, when used in connection with results reported in accordance with U.S. GAAP, provide additional information to facilitate comparisons of our historical operating results and to enable a more comprehensive understanding of trends in our underlying operating results. We also believe that presenting these measures allows investors to view our performance using the same measures that management and our Board of Directors use in evaluating our business performance and trends. However, non-GAAP financial measures should be considered in addition to, and not as substitutes for, financial information prepared in accordance with U.S. GAAP. In addition, our non-GAAP financial measures may not be the same as or comparable to similar non-GAAP measures presented by other companies. A limitation of these non-GAAP financial measures is they exclude items that have an impact on our U.S. GAAP reported results. The best way this limitation can be addressed is by evaluating our non-GAAP financial measures in combination with our U.S. GAAP reported results. We have provided the reconciliations between the GAAP and non-GAAP financial measures along with a discussion of our underlying GAAP results throughout our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xml:space="preserve"> in this Form 10-Q.</w:t>
      </w:r>
    </w:p>
    <w:p>
      <w:pPr>
        <w:spacing w:after="0" w:line="2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We also evaluate the operating performance of the company and its international subsidiaries on a constant currency basis. Our non-GAAP measures presented on a constant currency basis exclude the effects of currency translation rate changes and, beginning in the first quarter of 2024, extreme pricing increases in Argentina. For additional information, refer to </w:t>
      </w:r>
      <w:r>
        <w:rPr>
          <w:rFonts w:ascii="Arial" w:cs="Arial" w:eastAsia="Arial" w:hAnsi="Arial"/>
          <w:sz w:val="18"/>
          <w:szCs w:val="18"/>
          <w:i w:val="1"/>
          <w:iCs w:val="1"/>
          <w:color w:val="auto"/>
        </w:rPr>
        <w:t>Extreme Price Growth in Argentin</w:t>
      </w:r>
      <w:r>
        <w:rPr>
          <w:rFonts w:ascii="Arial" w:cs="Arial" w:eastAsia="Arial" w:hAnsi="Arial"/>
          <w:sz w:val="18"/>
          <w:szCs w:val="18"/>
          <w:color w:val="auto"/>
        </w:rPr>
        <w:t>a. We determine constant currency operating results by dividing or multiplying, as appropriate, the current-period local currency operating results by the currency exchange rates used to translate the financial statements in the comparable prior-year period to determine what the current-period U.S. dollar operating results would have been if the currency exchange rate had not changed from the comparable prior-year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6845935</wp:posOffset>
            </wp:positionH>
            <wp:positionV relativeFrom="paragraph">
              <wp:posOffset>333375</wp:posOffset>
            </wp:positionV>
            <wp:extent cx="282575" cy="18859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279400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Our primary non-GAAP financial measures and corresponding metrics, listed below, reflect how we evaluate our current and prior-year operating results. As new events or circumstances arise, these definitions could change. When our definitions change, we provide the updated definitions and present the related non-GAAP historical results on a comparable basis. When items no longer impact our current or future presentation of non-GAAP operating results, we remove these items from our non-GAAP definitions. For descriptions of the items excluded from our non-GAAP financial measures, refer to </w:t>
      </w:r>
      <w:r>
        <w:rPr>
          <w:rFonts w:ascii="Arial" w:cs="Arial" w:eastAsia="Arial" w:hAnsi="Arial"/>
          <w:sz w:val="18"/>
          <w:szCs w:val="18"/>
          <w:i w:val="1"/>
          <w:iCs w:val="1"/>
          <w:color w:val="auto"/>
        </w:rPr>
        <w:t>Items Affecting Comparability of Financial Results</w:t>
      </w:r>
      <w:r>
        <w:rPr>
          <w:rFonts w:ascii="Arial" w:cs="Arial" w:eastAsia="Arial" w:hAnsi="Arial"/>
          <w:sz w:val="18"/>
          <w:szCs w:val="18"/>
          <w:color w:val="auto"/>
        </w:rPr>
        <w:t>.</w:t>
      </w:r>
    </w:p>
    <w:p>
      <w:pPr>
        <w:spacing w:after="0" w:line="206" w:lineRule="exact"/>
        <w:rPr>
          <w:sz w:val="20"/>
          <w:szCs w:val="20"/>
          <w:color w:val="auto"/>
        </w:rPr>
      </w:pPr>
    </w:p>
    <w:p>
      <w:pPr>
        <w:jc w:val="both"/>
        <w:ind w:left="660" w:hanging="328"/>
        <w:spacing w:after="0" w:line="253"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“Organic Net Revenue” is defined as net revenues (the most comparable U.S. GAAP financial measure) excluding, when they occur, the impacts of acquisitions, divestitures, short-term distributor agreements related to the sale of a business and currency-related items. We believe that Organic Net Revenue reflects the underlying growth from the ongoing activities of our business and provides improved comparability of results. Organic Net Revenue growth is presented on a consolidated basis, for each of our segments and for our emerging markets and developed markets, and these underlying measures are also reconciled to the most comparable U.S. GAAP financial measures above.</w:t>
      </w:r>
    </w:p>
    <w:p>
      <w:pPr>
        <w:spacing w:after="0" w:line="4" w:lineRule="exact"/>
        <w:rPr>
          <w:rFonts w:ascii="Arial" w:cs="Arial" w:eastAsia="Arial" w:hAnsi="Arial"/>
          <w:sz w:val="18"/>
          <w:szCs w:val="18"/>
          <w:color w:val="auto"/>
        </w:rPr>
      </w:pPr>
    </w:p>
    <w:p>
      <w:pPr>
        <w:jc w:val="both"/>
        <w:ind w:left="980" w:hanging="324"/>
        <w:spacing w:after="0" w:line="250" w:lineRule="auto"/>
        <w:tabs>
          <w:tab w:leader="none" w:pos="975" w:val="left"/>
        </w:tabs>
        <w:numPr>
          <w:ilvl w:val="1"/>
          <w:numId w:val="16"/>
        </w:numPr>
        <w:rPr>
          <w:rFonts w:ascii="Arial" w:cs="Arial" w:eastAsia="Arial" w:hAnsi="Arial"/>
          <w:sz w:val="18"/>
          <w:szCs w:val="18"/>
          <w:color w:val="auto"/>
        </w:rPr>
      </w:pPr>
      <w:r>
        <w:rPr>
          <w:rFonts w:ascii="Arial" w:cs="Arial" w:eastAsia="Arial" w:hAnsi="Arial"/>
          <w:sz w:val="18"/>
          <w:szCs w:val="18"/>
          <w:color w:val="auto"/>
        </w:rPr>
        <w:t>Our emerging markets include our Latin America region in its entirety; the AMEA region, excluding Australia, New Zealand and Japan; and the following countries from the Europe region: Russia, Ukraine, Türkiye, Kazakhstan, Georgia, Poland, Czech Republic, Slovak Republic, Hungary, Bulgaria, Romania, the Baltics and the East Adriatic countries.</w:t>
      </w:r>
    </w:p>
    <w:p>
      <w:pPr>
        <w:spacing w:after="0" w:line="1" w:lineRule="exact"/>
        <w:rPr>
          <w:rFonts w:ascii="Arial" w:cs="Arial" w:eastAsia="Arial" w:hAnsi="Arial"/>
          <w:sz w:val="18"/>
          <w:szCs w:val="18"/>
          <w:color w:val="auto"/>
        </w:rPr>
      </w:pPr>
    </w:p>
    <w:p>
      <w:pPr>
        <w:ind w:left="980" w:right="20" w:hanging="324"/>
        <w:spacing w:after="0" w:line="266" w:lineRule="auto"/>
        <w:tabs>
          <w:tab w:leader="none" w:pos="975" w:val="left"/>
        </w:tabs>
        <w:numPr>
          <w:ilvl w:val="1"/>
          <w:numId w:val="16"/>
        </w:numPr>
        <w:rPr>
          <w:rFonts w:ascii="Arial" w:cs="Arial" w:eastAsia="Arial" w:hAnsi="Arial"/>
          <w:sz w:val="18"/>
          <w:szCs w:val="18"/>
          <w:color w:val="auto"/>
        </w:rPr>
      </w:pPr>
      <w:r>
        <w:rPr>
          <w:rFonts w:ascii="Arial" w:cs="Arial" w:eastAsia="Arial" w:hAnsi="Arial"/>
          <w:sz w:val="18"/>
          <w:szCs w:val="18"/>
          <w:color w:val="auto"/>
        </w:rPr>
        <w:t>Our developed markets include the entire North America region, the Europe region excluding the countries included in the emerging markets definition, and Australia, New Zealand and Japan from the AMEA region.</w:t>
      </w:r>
    </w:p>
    <w:p>
      <w:pPr>
        <w:spacing w:after="0" w:line="198" w:lineRule="exact"/>
        <w:rPr>
          <w:rFonts w:ascii="Arial" w:cs="Arial" w:eastAsia="Arial" w:hAnsi="Arial"/>
          <w:sz w:val="18"/>
          <w:szCs w:val="18"/>
          <w:color w:val="auto"/>
        </w:rPr>
      </w:pPr>
    </w:p>
    <w:p>
      <w:pPr>
        <w:jc w:val="both"/>
        <w:ind w:left="660" w:hanging="328"/>
        <w:spacing w:after="0" w:line="254"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“Adjusted Operating Income” is defined as operating income (the most comparable U.S. GAAP financial measure) excluding, when they occur, the impacts of the Simplify to Grow Program; gains or losses (including non-cash impairment charges) on goodwill and intangible assets; divestiture-related items; acquisition-related items; operating results from short-term distributor agreements related to the sale of a business; remeasurement of net monetary position of highly inflationary countries; mark-to-market impacts from commodity and foreign currency derivative contracts economically hedging forecasted transactions; impacts from resolution of indirect tax matters; incremental costs due to the war in Ukraine; impact from the European Commission legal matter; the impact from pension participation changes; and operating costs from the ERP System Implementation program. We also present Adjusted Operating Income margin, which is subject to the same adjustments as Adjusted Operating Income. We also evaluate growth in our Adjusted Operating Income on a constant currency basis. We believe these measures provide improved comparability of underlying operating results.</w:t>
      </w:r>
    </w:p>
    <w:p>
      <w:pPr>
        <w:spacing w:after="0" w:line="212" w:lineRule="exact"/>
        <w:rPr>
          <w:rFonts w:ascii="Arial" w:cs="Arial" w:eastAsia="Arial" w:hAnsi="Arial"/>
          <w:sz w:val="18"/>
          <w:szCs w:val="18"/>
          <w:color w:val="auto"/>
        </w:rPr>
      </w:pPr>
    </w:p>
    <w:p>
      <w:pPr>
        <w:jc w:val="both"/>
        <w:ind w:left="660" w:hanging="328"/>
        <w:spacing w:after="0" w:line="25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“Adjusted EPS” is defined as diluted EPS attributable to Mondelēz International (the most comparable U.S. GAAP financial measure) from continuing operations excluding, when they occur, the impacts of the items listed in the Adjusted Operating Income definition as well as gains or losses on debt extinguishment and related expenses; gains or losses on marketable securities transactions; initial impacts from enacted tax law changes; and gains or losses on equity method investment transactions. We also evaluate growth in our Adjusted EPS on a constant currency basis. We believe Adjusted EPS provides improved comparability of underlying operating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6845935</wp:posOffset>
            </wp:positionH>
            <wp:positionV relativeFrom="paragraph">
              <wp:posOffset>539115</wp:posOffset>
            </wp:positionV>
            <wp:extent cx="282575" cy="18859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287655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Affecting Comparability of Financial Results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The below table and subsequent commentary present income or (expense) items that affected the comparability of our results of operations and provides details of each item. Please refer to the notes to the condensed consolidated financial statements indicated below for additional information. These items are excluded from our non-GAAP earnings measures to better facilitate comparisons of our underlying operating performance across periods. Refer to the </w:t>
      </w:r>
      <w:r>
        <w:rPr>
          <w:rFonts w:ascii="Arial" w:cs="Arial" w:eastAsia="Arial" w:hAnsi="Arial"/>
          <w:sz w:val="18"/>
          <w:szCs w:val="18"/>
          <w:i w:val="1"/>
          <w:iCs w:val="1"/>
          <w:color w:val="auto"/>
        </w:rPr>
        <w:t>Consolidated Results of Operations – Net Earnings and Earnings per Share Attributable to</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Mondelēz International </w:t>
      </w:r>
      <w:r>
        <w:rPr>
          <w:rFonts w:ascii="Arial" w:cs="Arial" w:eastAsia="Arial" w:hAnsi="Arial"/>
          <w:sz w:val="18"/>
          <w:szCs w:val="18"/>
          <w:color w:val="auto"/>
        </w:rPr>
        <w:t>table for the after-tax per share impacts of these items and to the</w:t>
      </w:r>
      <w:r>
        <w:rPr>
          <w:rFonts w:ascii="Arial" w:cs="Arial" w:eastAsia="Arial" w:hAnsi="Arial"/>
          <w:sz w:val="18"/>
          <w:szCs w:val="18"/>
          <w:i w:val="1"/>
          <w:iCs w:val="1"/>
          <w:color w:val="auto"/>
        </w:rPr>
        <w:t xml:space="preserve"> Non-GAAP Financial Measures </w:t>
      </w:r>
      <w:r>
        <w:rPr>
          <w:rFonts w:ascii="Arial" w:cs="Arial" w:eastAsia="Arial" w:hAnsi="Arial"/>
          <w:sz w:val="18"/>
          <w:szCs w:val="18"/>
          <w:color w:val="auto"/>
        </w:rPr>
        <w:t>section for</w:t>
      </w:r>
      <w:r>
        <w:rPr>
          <w:rFonts w:ascii="Arial" w:cs="Arial" w:eastAsia="Arial" w:hAnsi="Arial"/>
          <w:sz w:val="18"/>
          <w:szCs w:val="18"/>
          <w:i w:val="1"/>
          <w:iCs w:val="1"/>
          <w:color w:val="auto"/>
        </w:rPr>
        <w:t xml:space="preserve"> </w:t>
      </w:r>
      <w:r>
        <w:rPr>
          <w:rFonts w:ascii="Arial" w:cs="Arial" w:eastAsia="Arial" w:hAnsi="Arial"/>
          <w:sz w:val="18"/>
          <w:szCs w:val="18"/>
          <w:color w:val="auto"/>
        </w:rPr>
        <w:t>definitions of our non-GAAP financial measures.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8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rPr>
              <w:t>For the Three Months Ended</w:t>
            </w:r>
          </w:p>
        </w:tc>
        <w:tc>
          <w:tcPr>
            <w:tcW w:w="220" w:type="dxa"/>
            <w:vAlign w:val="bottom"/>
          </w:tcPr>
          <w:p>
            <w:pPr>
              <w:spacing w:after="0"/>
              <w:rPr>
                <w:sz w:val="14"/>
                <w:szCs w:val="14"/>
                <w:color w:val="auto"/>
              </w:rPr>
            </w:pPr>
          </w:p>
        </w:tc>
        <w:tc>
          <w:tcPr>
            <w:tcW w:w="23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rPr>
              <w:t>For the Nine Months Ended</w:t>
            </w:r>
          </w:p>
        </w:tc>
        <w:tc>
          <w:tcPr>
            <w:tcW w:w="0" w:type="dxa"/>
            <w:vAlign w:val="bottom"/>
          </w:tcPr>
          <w:p>
            <w:pPr>
              <w:spacing w:after="0"/>
              <w:rPr>
                <w:sz w:val="1"/>
                <w:szCs w:val="1"/>
                <w:color w:val="auto"/>
              </w:rPr>
            </w:pPr>
          </w:p>
        </w:tc>
      </w:tr>
      <w:tr>
        <w:trPr>
          <w:trHeight w:val="185"/>
        </w:trPr>
        <w:tc>
          <w:tcPr>
            <w:tcW w:w="43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8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6"/>
                <w:szCs w:val="16"/>
                <w:color w:val="auto"/>
              </w:rPr>
            </w:pPr>
          </w:p>
        </w:tc>
        <w:tc>
          <w:tcPr>
            <w:tcW w:w="1540" w:type="dxa"/>
            <w:vAlign w:val="bottom"/>
            <w:gridSpan w:val="2"/>
          </w:tcPr>
          <w:p>
            <w:pPr>
              <w:jc w:val="center"/>
              <w:ind w:left="481"/>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300" w:type="dxa"/>
            <w:vAlign w:val="bottom"/>
          </w:tcPr>
          <w:p>
            <w:pPr>
              <w:spacing w:after="0"/>
              <w:rPr>
                <w:sz w:val="16"/>
                <w:szCs w:val="16"/>
                <w:color w:val="auto"/>
              </w:rPr>
            </w:pPr>
          </w:p>
        </w:tc>
        <w:tc>
          <w:tcPr>
            <w:tcW w:w="15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See Note</w:t>
            </w:r>
          </w:p>
        </w:tc>
        <w:tc>
          <w:tcPr>
            <w:tcW w:w="2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2025</w:t>
            </w:r>
          </w:p>
        </w:tc>
        <w:tc>
          <w:tcPr>
            <w:tcW w:w="1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2025</w:t>
            </w:r>
          </w:p>
        </w:tc>
        <w:tc>
          <w:tcPr>
            <w:tcW w:w="5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ind w:right="360"/>
              <w:spacing w:after="0"/>
              <w:rPr>
                <w:sz w:val="20"/>
                <w:szCs w:val="20"/>
                <w:color w:val="auto"/>
              </w:rPr>
            </w:pPr>
            <w:r>
              <w:rPr>
                <w:rFonts w:ascii="Arial" w:cs="Arial" w:eastAsia="Arial" w:hAnsi="Arial"/>
                <w:sz w:val="14"/>
                <w:szCs w:val="14"/>
                <w:b w:val="1"/>
                <w:bCs w:val="1"/>
                <w:color w:val="auto"/>
                <w:w w:val="96"/>
              </w:rPr>
              <w:t>2024</w:t>
            </w:r>
          </w:p>
        </w:tc>
        <w:tc>
          <w:tcPr>
            <w:tcW w:w="0" w:type="dxa"/>
            <w:vAlign w:val="bottom"/>
          </w:tcPr>
          <w:p>
            <w:pPr>
              <w:spacing w:after="0"/>
              <w:rPr>
                <w:sz w:val="1"/>
                <w:szCs w:val="1"/>
                <w:color w:val="auto"/>
              </w:rPr>
            </w:pPr>
          </w:p>
        </w:tc>
      </w:tr>
      <w:tr>
        <w:trPr>
          <w:trHeight w:val="196"/>
        </w:trPr>
        <w:tc>
          <w:tcPr>
            <w:tcW w:w="4300" w:type="dxa"/>
            <w:vAlign w:val="bottom"/>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2560" w:type="dxa"/>
            <w:vAlign w:val="bottom"/>
            <w:tcBorders>
              <w:top w:val="single" w:sz="8" w:color="auto"/>
            </w:tcBorders>
            <w:gridSpan w:val="4"/>
          </w:tcPr>
          <w:p>
            <w:pPr>
              <w:jc w:val="right"/>
              <w:ind w:right="221"/>
              <w:spacing w:after="0"/>
              <w:rPr>
                <w:sz w:val="20"/>
                <w:szCs w:val="20"/>
                <w:color w:val="auto"/>
              </w:rPr>
            </w:pPr>
            <w:r>
              <w:rPr>
                <w:rFonts w:ascii="Arial" w:cs="Arial" w:eastAsia="Arial" w:hAnsi="Arial"/>
                <w:sz w:val="14"/>
                <w:szCs w:val="14"/>
                <w:b w:val="1"/>
                <w:bCs w:val="1"/>
                <w:color w:val="auto"/>
              </w:rPr>
              <w:t>(in millions, except percentages)</w:t>
            </w:r>
          </w:p>
        </w:tc>
        <w:tc>
          <w:tcPr>
            <w:tcW w:w="5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3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Simplify to Grow Program</w:t>
            </w:r>
          </w:p>
        </w:tc>
        <w:tc>
          <w:tcPr>
            <w:tcW w:w="158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Note 13</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6</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12</w:t>
            </w:r>
          </w:p>
        </w:tc>
        <w:tc>
          <w:tcPr>
            <w:tcW w:w="50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216"/>
        </w:trPr>
        <w:tc>
          <w:tcPr>
            <w:tcW w:w="4300" w:type="dxa"/>
            <w:vAlign w:val="bottom"/>
          </w:tcPr>
          <w:p>
            <w:pPr>
              <w:ind w:left="20"/>
              <w:spacing w:after="0"/>
              <w:rPr>
                <w:sz w:val="20"/>
                <w:szCs w:val="20"/>
                <w:color w:val="auto"/>
              </w:rPr>
            </w:pPr>
            <w:r>
              <w:rPr>
                <w:rFonts w:ascii="Arial" w:cs="Arial" w:eastAsia="Arial" w:hAnsi="Arial"/>
                <w:sz w:val="16"/>
                <w:szCs w:val="16"/>
                <w:b w:val="1"/>
                <w:bCs w:val="1"/>
                <w:color w:val="auto"/>
              </w:rPr>
              <w:t>Intangible asset impairment charges</w:t>
            </w: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color w:val="auto"/>
              </w:rPr>
              <w:t>Note 5</w:t>
            </w:r>
          </w:p>
        </w:tc>
        <w:tc>
          <w:tcPr>
            <w:tcW w:w="260" w:type="dxa"/>
            <w:vAlign w:val="bottom"/>
          </w:tcPr>
          <w:p>
            <w:pPr>
              <w:spacing w:after="0"/>
              <w:rPr>
                <w:sz w:val="18"/>
                <w:szCs w:val="18"/>
                <w:color w:val="auto"/>
              </w:rPr>
            </w:pPr>
          </w:p>
        </w:tc>
        <w:tc>
          <w:tcPr>
            <w:tcW w:w="1100" w:type="dxa"/>
            <w:vAlign w:val="bottom"/>
          </w:tcPr>
          <w:p>
            <w:pPr>
              <w:jc w:val="right"/>
              <w:ind w:right="1"/>
              <w:spacing w:after="0"/>
              <w:rPr>
                <w:sz w:val="20"/>
                <w:szCs w:val="20"/>
                <w:color w:val="auto"/>
              </w:rPr>
            </w:pPr>
            <w:r>
              <w:rPr>
                <w:rFonts w:ascii="Arial" w:cs="Arial" w:eastAsia="Arial" w:hAnsi="Arial"/>
                <w:sz w:val="16"/>
                <w:szCs w:val="16"/>
                <w:color w:val="auto"/>
              </w:rPr>
              <w:t>(33)</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(33)</w:t>
            </w:r>
          </w:p>
        </w:tc>
        <w:tc>
          <w:tcPr>
            <w:tcW w:w="5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(153)</w:t>
            </w: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b w:val="1"/>
                <w:bCs w:val="1"/>
                <w:color w:val="auto"/>
              </w:rPr>
              <w:t xml:space="preserve">Mark-to-market losses from derivatives </w:t>
            </w:r>
            <w:r>
              <w:rPr>
                <w:rFonts w:ascii="Arial" w:cs="Arial" w:eastAsia="Arial" w:hAnsi="Arial"/>
                <w:sz w:val="21"/>
                <w:szCs w:val="21"/>
                <w:b w:val="1"/>
                <w:bCs w:val="1"/>
                <w:color w:val="auto"/>
                <w:vertAlign w:val="superscript"/>
              </w:rPr>
              <w:t>(1)</w:t>
            </w:r>
          </w:p>
        </w:tc>
        <w:tc>
          <w:tcPr>
            <w:tcW w:w="158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Note 8</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(345)</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(1,111)</w:t>
            </w:r>
          </w:p>
        </w:tc>
        <w:tc>
          <w:tcPr>
            <w:tcW w:w="5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w:t>
            </w:r>
          </w:p>
        </w:tc>
        <w:tc>
          <w:tcPr>
            <w:tcW w:w="0" w:type="dxa"/>
            <w:vAlign w:val="bottom"/>
          </w:tcPr>
          <w:p>
            <w:pPr>
              <w:spacing w:after="0"/>
              <w:rPr>
                <w:sz w:val="1"/>
                <w:szCs w:val="1"/>
                <w:color w:val="auto"/>
              </w:rPr>
            </w:pPr>
          </w:p>
        </w:tc>
      </w:tr>
      <w:tr>
        <w:trPr>
          <w:trHeight w:val="216"/>
        </w:trPr>
        <w:tc>
          <w:tcPr>
            <w:tcW w:w="4300" w:type="dxa"/>
            <w:vAlign w:val="bottom"/>
          </w:tcPr>
          <w:p>
            <w:pPr>
              <w:ind w:left="20"/>
              <w:spacing w:after="0"/>
              <w:rPr>
                <w:sz w:val="20"/>
                <w:szCs w:val="20"/>
                <w:color w:val="auto"/>
              </w:rPr>
            </w:pPr>
            <w:r>
              <w:rPr>
                <w:rFonts w:ascii="Arial" w:cs="Arial" w:eastAsia="Arial" w:hAnsi="Arial"/>
                <w:sz w:val="16"/>
                <w:szCs w:val="16"/>
                <w:b w:val="1"/>
                <w:bCs w:val="1"/>
                <w:color w:val="auto"/>
              </w:rPr>
              <w:t>Acquisition-related items</w:t>
            </w: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color w:val="auto"/>
              </w:rPr>
              <w:t>Note 2</w:t>
            </w:r>
          </w:p>
        </w:tc>
        <w:tc>
          <w:tcPr>
            <w:tcW w:w="260" w:type="dxa"/>
            <w:vAlign w:val="bottom"/>
          </w:tcPr>
          <w:p>
            <w:pPr>
              <w:spacing w:after="0"/>
              <w:rPr>
                <w:sz w:val="18"/>
                <w:szCs w:val="18"/>
                <w:color w:val="auto"/>
              </w:rPr>
            </w:pPr>
          </w:p>
        </w:tc>
        <w:tc>
          <w:tcPr>
            <w:tcW w:w="1100" w:type="dxa"/>
            <w:vAlign w:val="bottom"/>
          </w:tcPr>
          <w:p>
            <w:pPr>
              <w:jc w:val="right"/>
              <w:ind w:right="1"/>
              <w:spacing w:after="0"/>
              <w:rPr>
                <w:sz w:val="20"/>
                <w:szCs w:val="20"/>
                <w:color w:val="auto"/>
              </w:rPr>
            </w:pPr>
            <w:r>
              <w:rPr>
                <w:rFonts w:ascii="Arial" w:cs="Arial" w:eastAsia="Arial" w:hAnsi="Arial"/>
                <w:sz w:val="16"/>
                <w:szCs w:val="16"/>
                <w:color w:val="auto"/>
              </w:rPr>
              <w:t>(18)</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326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11</w:t>
            </w:r>
          </w:p>
        </w:tc>
        <w:tc>
          <w:tcPr>
            <w:tcW w:w="5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247</w:t>
            </w: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Divestiture-related items</w:t>
            </w:r>
          </w:p>
        </w:tc>
        <w:tc>
          <w:tcPr>
            <w:tcW w:w="158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Note 2</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7</w:t>
            </w:r>
          </w:p>
        </w:tc>
        <w:tc>
          <w:tcPr>
            <w:tcW w:w="5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62"/>
        </w:trPr>
        <w:tc>
          <w:tcPr>
            <w:tcW w:w="4300" w:type="dxa"/>
            <w:vAlign w:val="bottom"/>
          </w:tcPr>
          <w:p>
            <w:pPr>
              <w:ind w:left="20"/>
              <w:spacing w:after="0" w:line="162" w:lineRule="exact"/>
              <w:rPr>
                <w:sz w:val="20"/>
                <w:szCs w:val="20"/>
                <w:color w:val="auto"/>
              </w:rPr>
            </w:pPr>
            <w:r>
              <w:rPr>
                <w:rFonts w:ascii="Arial" w:cs="Arial" w:eastAsia="Arial" w:hAnsi="Arial"/>
                <w:sz w:val="16"/>
                <w:szCs w:val="16"/>
                <w:b w:val="1"/>
                <w:bCs w:val="1"/>
                <w:color w:val="auto"/>
              </w:rPr>
              <w:t>Operating results from short-term distributor</w:t>
            </w: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vMerge w:val="restart"/>
          </w:tcPr>
          <w:p>
            <w:pPr>
              <w:jc w:val="right"/>
              <w:ind w:right="41"/>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13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1040" w:type="dxa"/>
            <w:vAlign w:val="bottom"/>
            <w:vMerge w:val="restart"/>
          </w:tcPr>
          <w:p>
            <w:pPr>
              <w:jc w:val="right"/>
              <w:ind w:right="41"/>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6"/>
        </w:trPr>
        <w:tc>
          <w:tcPr>
            <w:tcW w:w="4300" w:type="dxa"/>
            <w:vAlign w:val="bottom"/>
          </w:tcPr>
          <w:p>
            <w:pPr>
              <w:ind w:left="20"/>
              <w:spacing w:after="0"/>
              <w:rPr>
                <w:sz w:val="20"/>
                <w:szCs w:val="20"/>
                <w:color w:val="auto"/>
              </w:rPr>
            </w:pPr>
            <w:r>
              <w:rPr>
                <w:rFonts w:ascii="Arial" w:cs="Arial" w:eastAsia="Arial" w:hAnsi="Arial"/>
                <w:sz w:val="16"/>
                <w:szCs w:val="16"/>
                <w:b w:val="1"/>
                <w:bCs w:val="1"/>
                <w:color w:val="auto"/>
              </w:rPr>
              <w:t>agreements</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Incremental costs due to war in Ukraine</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w:t>
            </w:r>
          </w:p>
        </w:tc>
        <w:tc>
          <w:tcPr>
            <w:tcW w:w="5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6"/>
        </w:trPr>
        <w:tc>
          <w:tcPr>
            <w:tcW w:w="4300" w:type="dxa"/>
            <w:vAlign w:val="bottom"/>
          </w:tcPr>
          <w:p>
            <w:pPr>
              <w:ind w:left="20"/>
              <w:spacing w:after="0"/>
              <w:rPr>
                <w:sz w:val="20"/>
                <w:szCs w:val="20"/>
                <w:color w:val="auto"/>
              </w:rPr>
            </w:pPr>
            <w:r>
              <w:rPr>
                <w:rFonts w:ascii="Arial" w:cs="Arial" w:eastAsia="Arial" w:hAnsi="Arial"/>
                <w:sz w:val="16"/>
                <w:szCs w:val="16"/>
                <w:b w:val="1"/>
                <w:bCs w:val="1"/>
                <w:color w:val="auto"/>
              </w:rPr>
              <w:t>European Commission legal matter</w:t>
            </w: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Note 10</w:t>
            </w:r>
          </w:p>
        </w:tc>
        <w:tc>
          <w:tcPr>
            <w:tcW w:w="260" w:type="dxa"/>
            <w:vAlign w:val="bottom"/>
          </w:tcPr>
          <w:p>
            <w:pPr>
              <w:spacing w:after="0"/>
              <w:rPr>
                <w:sz w:val="18"/>
                <w:szCs w:val="18"/>
                <w:color w:val="auto"/>
              </w:rPr>
            </w:pPr>
          </w:p>
        </w:tc>
        <w:tc>
          <w:tcPr>
            <w:tcW w:w="110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ERP System Implementation costs</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(41)</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(111)</w:t>
            </w:r>
          </w:p>
        </w:tc>
        <w:tc>
          <w:tcPr>
            <w:tcW w:w="5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16"/>
        </w:trPr>
        <w:tc>
          <w:tcPr>
            <w:tcW w:w="4300" w:type="dxa"/>
            <w:vAlign w:val="bottom"/>
          </w:tcPr>
          <w:p>
            <w:pPr>
              <w:ind w:left="20"/>
              <w:spacing w:after="0"/>
              <w:rPr>
                <w:sz w:val="20"/>
                <w:szCs w:val="20"/>
                <w:color w:val="auto"/>
              </w:rPr>
            </w:pPr>
            <w:r>
              <w:rPr>
                <w:rFonts w:ascii="Arial" w:cs="Arial" w:eastAsia="Arial" w:hAnsi="Arial"/>
                <w:sz w:val="16"/>
                <w:szCs w:val="16"/>
                <w:b w:val="1"/>
                <w:bCs w:val="1"/>
                <w:color w:val="auto"/>
              </w:rPr>
              <w:t>Remeasurement of net monetary position</w:t>
            </w: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color w:val="auto"/>
              </w:rPr>
              <w:t>Note 1</w:t>
            </w:r>
          </w:p>
        </w:tc>
        <w:tc>
          <w:tcPr>
            <w:tcW w:w="260" w:type="dxa"/>
            <w:vAlign w:val="bottom"/>
          </w:tcPr>
          <w:p>
            <w:pPr>
              <w:spacing w:after="0"/>
              <w:rPr>
                <w:sz w:val="18"/>
                <w:szCs w:val="18"/>
                <w:color w:val="auto"/>
              </w:rPr>
            </w:pPr>
          </w:p>
        </w:tc>
        <w:tc>
          <w:tcPr>
            <w:tcW w:w="1100" w:type="dxa"/>
            <w:vAlign w:val="bottom"/>
          </w:tcPr>
          <w:p>
            <w:pPr>
              <w:jc w:val="right"/>
              <w:ind w:right="1"/>
              <w:spacing w:after="0"/>
              <w:rPr>
                <w:sz w:val="20"/>
                <w:szCs w:val="20"/>
                <w:color w:val="auto"/>
              </w:rPr>
            </w:pPr>
            <w:r>
              <w:rPr>
                <w:rFonts w:ascii="Arial" w:cs="Arial" w:eastAsia="Arial" w:hAnsi="Arial"/>
                <w:sz w:val="16"/>
                <w:szCs w:val="16"/>
                <w:color w:val="auto"/>
              </w:rPr>
              <w:t>(9)</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(24)</w:t>
            </w:r>
          </w:p>
        </w:tc>
        <w:tc>
          <w:tcPr>
            <w:tcW w:w="5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Impact from pension participation changes</w:t>
            </w:r>
          </w:p>
        </w:tc>
        <w:tc>
          <w:tcPr>
            <w:tcW w:w="158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Note 9</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(56)</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(343)</w:t>
            </w:r>
          </w:p>
        </w:tc>
        <w:tc>
          <w:tcPr>
            <w:tcW w:w="5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6"/>
        </w:trPr>
        <w:tc>
          <w:tcPr>
            <w:tcW w:w="4300" w:type="dxa"/>
            <w:vAlign w:val="bottom"/>
          </w:tcPr>
          <w:p>
            <w:pPr>
              <w:ind w:left="20"/>
              <w:spacing w:after="0" w:line="216" w:lineRule="exact"/>
              <w:rPr>
                <w:sz w:val="20"/>
                <w:szCs w:val="20"/>
                <w:color w:val="auto"/>
              </w:rPr>
            </w:pPr>
            <w:r>
              <w:rPr>
                <w:rFonts w:ascii="Arial" w:cs="Arial" w:eastAsia="Arial" w:hAnsi="Arial"/>
                <w:sz w:val="16"/>
                <w:szCs w:val="16"/>
                <w:b w:val="1"/>
                <w:bCs w:val="1"/>
                <w:color w:val="auto"/>
              </w:rPr>
              <w:t xml:space="preserve">Impact from resolution of tax matters </w:t>
            </w:r>
            <w:r>
              <w:rPr>
                <w:rFonts w:ascii="Arial" w:cs="Arial" w:eastAsia="Arial" w:hAnsi="Arial"/>
                <w:sz w:val="21"/>
                <w:szCs w:val="21"/>
                <w:b w:val="1"/>
                <w:bCs w:val="1"/>
                <w:color w:val="auto"/>
                <w:vertAlign w:val="superscript"/>
              </w:rPr>
              <w:t>(1)</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ind w:right="41"/>
              <w:spacing w:after="0"/>
              <w:rPr>
                <w:sz w:val="20"/>
                <w:szCs w:val="20"/>
                <w:color w:val="auto"/>
              </w:rPr>
            </w:pPr>
            <w:r>
              <w:rPr>
                <w:rFonts w:ascii="Arial" w:cs="Arial" w:eastAsia="Arial" w:hAnsi="Arial"/>
                <w:sz w:val="16"/>
                <w:szCs w:val="16"/>
                <w:color w:val="auto"/>
              </w:rPr>
              <w:t>32</w:t>
            </w:r>
          </w:p>
        </w:tc>
        <w:tc>
          <w:tcPr>
            <w:tcW w:w="18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32</w:t>
            </w:r>
          </w:p>
        </w:tc>
        <w:tc>
          <w:tcPr>
            <w:tcW w:w="5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Initial impacts from enacted tax law changes</w:t>
            </w:r>
          </w:p>
        </w:tc>
        <w:tc>
          <w:tcPr>
            <w:tcW w:w="158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Note 14</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4</w:t>
            </w:r>
          </w:p>
        </w:tc>
        <w:tc>
          <w:tcPr>
            <w:tcW w:w="5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23"/>
        </w:trPr>
        <w:tc>
          <w:tcPr>
            <w:tcW w:w="4300" w:type="dxa"/>
            <w:vAlign w:val="bottom"/>
          </w:tcPr>
          <w:p>
            <w:pPr>
              <w:ind w:left="20"/>
              <w:spacing w:after="0"/>
              <w:rPr>
                <w:sz w:val="20"/>
                <w:szCs w:val="20"/>
                <w:color w:val="auto"/>
              </w:rPr>
            </w:pPr>
            <w:r>
              <w:rPr>
                <w:rFonts w:ascii="Arial" w:cs="Arial" w:eastAsia="Arial" w:hAnsi="Arial"/>
                <w:sz w:val="16"/>
                <w:szCs w:val="16"/>
                <w:b w:val="1"/>
                <w:bCs w:val="1"/>
                <w:color w:val="auto"/>
              </w:rPr>
              <w:t>Gain/(loss) on equity method investment transactions</w:t>
            </w: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color w:val="auto"/>
              </w:rPr>
              <w:t>Note 6</w:t>
            </w:r>
          </w:p>
        </w:tc>
        <w:tc>
          <w:tcPr>
            <w:tcW w:w="260" w:type="dxa"/>
            <w:vAlign w:val="bottom"/>
          </w:tcPr>
          <w:p>
            <w:pPr>
              <w:spacing w:after="0"/>
              <w:rPr>
                <w:sz w:val="19"/>
                <w:szCs w:val="19"/>
                <w:color w:val="auto"/>
              </w:rPr>
            </w:pPr>
          </w:p>
        </w:tc>
        <w:tc>
          <w:tcPr>
            <w:tcW w:w="1100" w:type="dxa"/>
            <w:vAlign w:val="bottom"/>
          </w:tcPr>
          <w:p>
            <w:pPr>
              <w:jc w:val="right"/>
              <w:ind w:right="41"/>
              <w:spacing w:after="0"/>
              <w:rPr>
                <w:sz w:val="20"/>
                <w:szCs w:val="20"/>
                <w:color w:val="auto"/>
              </w:rPr>
            </w:pPr>
            <w:r>
              <w:rPr>
                <w:rFonts w:ascii="Arial" w:cs="Arial" w:eastAsia="Arial" w:hAnsi="Arial"/>
                <w:sz w:val="16"/>
                <w:szCs w:val="16"/>
                <w:color w:val="auto"/>
              </w:rPr>
              <w:t>169</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169</w:t>
            </w:r>
          </w:p>
        </w:tc>
        <w:tc>
          <w:tcPr>
            <w:tcW w:w="5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(669)</w:t>
            </w:r>
          </w:p>
        </w:tc>
        <w:tc>
          <w:tcPr>
            <w:tcW w:w="0" w:type="dxa"/>
            <w:vAlign w:val="bottom"/>
          </w:tcPr>
          <w:p>
            <w:pPr>
              <w:spacing w:after="0"/>
              <w:rPr>
                <w:sz w:val="1"/>
                <w:szCs w:val="1"/>
                <w:color w:val="auto"/>
              </w:rPr>
            </w:pPr>
          </w:p>
        </w:tc>
      </w:tr>
    </w:tbl>
    <w:p>
      <w:pPr>
        <w:spacing w:after="0" w:line="241"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(1)</w:t>
        <w:tab/>
        <w:t>Includes impacts recorded in operating income and interest expense and other, net in the condensed consolidated statements of earnings.</w:t>
      </w:r>
    </w:p>
    <w:p>
      <w:pPr>
        <w:spacing w:after="0" w:line="249" w:lineRule="exact"/>
        <w:rPr>
          <w:sz w:val="20"/>
          <w:szCs w:val="20"/>
          <w:color w:val="auto"/>
        </w:rPr>
      </w:pPr>
    </w:p>
    <w:p>
      <w:pPr>
        <w:jc w:val="both"/>
        <w:spacing w:after="0" w:line="252" w:lineRule="auto"/>
        <w:rPr>
          <w:sz w:val="20"/>
          <w:szCs w:val="20"/>
          <w:color w:val="auto"/>
        </w:rPr>
      </w:pPr>
      <w:r>
        <w:rPr>
          <w:rFonts w:ascii="Arial" w:cs="Arial" w:eastAsia="Arial" w:hAnsi="Arial"/>
          <w:sz w:val="17"/>
          <w:szCs w:val="17"/>
          <w:b w:val="1"/>
          <w:bCs w:val="1"/>
          <w:color w:val="auto"/>
        </w:rPr>
        <w:t xml:space="preserve">Simplify to Grow Program </w:t>
      </w:r>
      <w:r>
        <w:rPr>
          <w:rFonts w:ascii="Arial" w:cs="Arial" w:eastAsia="Arial" w:hAnsi="Arial"/>
          <w:sz w:val="17"/>
          <w:szCs w:val="17"/>
          <w:color w:val="auto"/>
        </w:rPr>
        <w:t>– Reflects restructuring charges incurred under the company’s Simplify to Grow Program to reduce both its supply chain and</w:t>
      </w:r>
      <w:r>
        <w:rPr>
          <w:rFonts w:ascii="Arial" w:cs="Arial" w:eastAsia="Arial" w:hAnsi="Arial"/>
          <w:sz w:val="17"/>
          <w:szCs w:val="17"/>
          <w:b w:val="1"/>
          <w:bCs w:val="1"/>
          <w:color w:val="auto"/>
        </w:rPr>
        <w:t xml:space="preserve"> </w:t>
      </w:r>
      <w:r>
        <w:rPr>
          <w:rFonts w:ascii="Arial" w:cs="Arial" w:eastAsia="Arial" w:hAnsi="Arial"/>
          <w:sz w:val="17"/>
          <w:szCs w:val="17"/>
          <w:color w:val="auto"/>
        </w:rPr>
        <w:t>overhead costs. It comprises charges, such as severance, asset write-downs, and other costs of implementing that program, partially offset by gains on sales of assets disposed of in connection with the program. The company completed its Simplify to Grow Program in the fourth quarter of 2024. Following the completion of the program, any adjustments to the liability of previously recorded charges will be reflected within this item.</w:t>
      </w:r>
    </w:p>
    <w:p>
      <w:pPr>
        <w:spacing w:after="0" w:line="219" w:lineRule="exact"/>
        <w:rPr>
          <w:sz w:val="20"/>
          <w:szCs w:val="20"/>
          <w:color w:val="auto"/>
        </w:rPr>
      </w:pPr>
    </w:p>
    <w:p>
      <w:pPr>
        <w:jc w:val="both"/>
        <w:ind w:right="20"/>
        <w:spacing w:after="0" w:line="276" w:lineRule="auto"/>
        <w:rPr>
          <w:sz w:val="20"/>
          <w:szCs w:val="20"/>
          <w:color w:val="auto"/>
        </w:rPr>
      </w:pPr>
      <w:r>
        <w:rPr>
          <w:rFonts w:ascii="Arial" w:cs="Arial" w:eastAsia="Arial" w:hAnsi="Arial"/>
          <w:sz w:val="17"/>
          <w:szCs w:val="17"/>
          <w:b w:val="1"/>
          <w:bCs w:val="1"/>
          <w:color w:val="auto"/>
        </w:rPr>
        <w:t xml:space="preserve">Intangible asset impairment charges </w:t>
      </w:r>
      <w:r>
        <w:rPr>
          <w:rFonts w:ascii="Arial" w:cs="Arial" w:eastAsia="Arial" w:hAnsi="Arial"/>
          <w:sz w:val="17"/>
          <w:szCs w:val="17"/>
          <w:color w:val="auto"/>
        </w:rPr>
        <w:t>– Reflects non-cash impairments of certain of our brands in connection with our indefinite-life intangible asset</w:t>
      </w:r>
      <w:r>
        <w:rPr>
          <w:rFonts w:ascii="Arial" w:cs="Arial" w:eastAsia="Arial" w:hAnsi="Arial"/>
          <w:sz w:val="17"/>
          <w:szCs w:val="17"/>
          <w:b w:val="1"/>
          <w:bCs w:val="1"/>
          <w:color w:val="auto"/>
        </w:rPr>
        <w:t xml:space="preserve"> </w:t>
      </w:r>
      <w:r>
        <w:rPr>
          <w:rFonts w:ascii="Arial" w:cs="Arial" w:eastAsia="Arial" w:hAnsi="Arial"/>
          <w:sz w:val="17"/>
          <w:szCs w:val="17"/>
          <w:color w:val="auto"/>
        </w:rPr>
        <w:t>impairment testing.</w:t>
      </w:r>
    </w:p>
    <w:p>
      <w:pPr>
        <w:spacing w:after="0" w:line="198" w:lineRule="exact"/>
        <w:rPr>
          <w:sz w:val="20"/>
          <w:szCs w:val="20"/>
          <w:color w:val="auto"/>
        </w:rPr>
      </w:pPr>
    </w:p>
    <w:p>
      <w:pPr>
        <w:jc w:val="both"/>
        <w:spacing w:after="0" w:line="247" w:lineRule="auto"/>
        <w:rPr>
          <w:sz w:val="20"/>
          <w:szCs w:val="20"/>
          <w:color w:val="auto"/>
        </w:rPr>
      </w:pPr>
      <w:r>
        <w:rPr>
          <w:rFonts w:ascii="Arial" w:cs="Arial" w:eastAsia="Arial" w:hAnsi="Arial"/>
          <w:sz w:val="17"/>
          <w:szCs w:val="17"/>
          <w:b w:val="1"/>
          <w:bCs w:val="1"/>
          <w:color w:val="auto"/>
        </w:rPr>
        <w:t xml:space="preserve">Mark-to-market impacts from derivatives </w:t>
      </w:r>
      <w:r>
        <w:rPr>
          <w:rFonts w:ascii="Arial" w:cs="Arial" w:eastAsia="Arial" w:hAnsi="Arial"/>
          <w:sz w:val="17"/>
          <w:szCs w:val="17"/>
          <w:color w:val="auto"/>
        </w:rPr>
        <w:t>– We exclude unrealized gains and losses (mark-to-market impacts) from commodity and foreign currency</w:t>
      </w:r>
      <w:r>
        <w:rPr>
          <w:rFonts w:ascii="Arial" w:cs="Arial" w:eastAsia="Arial" w:hAnsi="Arial"/>
          <w:sz w:val="17"/>
          <w:szCs w:val="17"/>
          <w:b w:val="1"/>
          <w:bCs w:val="1"/>
          <w:color w:val="auto"/>
        </w:rPr>
        <w:t xml:space="preserve"> </w:t>
      </w:r>
      <w:r>
        <w:rPr>
          <w:rFonts w:ascii="Arial" w:cs="Arial" w:eastAsia="Arial" w:hAnsi="Arial"/>
          <w:sz w:val="17"/>
          <w:szCs w:val="17"/>
          <w:color w:val="auto"/>
        </w:rPr>
        <w:t>derivative contracts economically hedging forecasted transactions from our non-GAAP earnings measures. The mark-to-market impacts of those derivatives are excluded until the related gains or losses are realized. Since we purchase commodity and foreign currency derivative contracts to mitigate price volatility primarily for inventory requirements in future periods, we make this adjustment to remove the volatility of these future inventory purchases on current operating results to facilitate comparisons of our underlying operating performance across periods.</w:t>
      </w:r>
    </w:p>
    <w:p>
      <w:pPr>
        <w:spacing w:after="0" w:line="223" w:lineRule="exact"/>
        <w:rPr>
          <w:sz w:val="20"/>
          <w:szCs w:val="20"/>
          <w:color w:val="auto"/>
        </w:rPr>
      </w:pPr>
    </w:p>
    <w:p>
      <w:pPr>
        <w:jc w:val="both"/>
        <w:spacing w:after="0" w:line="247" w:lineRule="auto"/>
        <w:rPr>
          <w:sz w:val="20"/>
          <w:szCs w:val="20"/>
          <w:color w:val="auto"/>
        </w:rPr>
      </w:pPr>
      <w:r>
        <w:rPr>
          <w:rFonts w:ascii="Arial" w:cs="Arial" w:eastAsia="Arial" w:hAnsi="Arial"/>
          <w:sz w:val="17"/>
          <w:szCs w:val="17"/>
          <w:b w:val="1"/>
          <w:bCs w:val="1"/>
          <w:color w:val="auto"/>
        </w:rPr>
        <w:t xml:space="preserve">Acquisition-related items – </w:t>
      </w:r>
      <w:r>
        <w:rPr>
          <w:rFonts w:ascii="Arial" w:cs="Arial" w:eastAsia="Arial" w:hAnsi="Arial"/>
          <w:sz w:val="17"/>
          <w:szCs w:val="17"/>
          <w:color w:val="auto"/>
        </w:rPr>
        <w:t>Includes acquisition-related costs, acquisition integration costs, contingent consideration adjustments, inventory step-ups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and gains from acquisitions. Acquisition-related costs include third-party advisor, investment banking and legal fees. Acquisition integration costs include costs related to the integration of operations from acquisitions. Contingent consideration adjustments include any changes made to contingent compensation liabilities for earn-outs related to acquisitions that do not relate to recurring employee compensation expense. See Note 8, </w:t>
      </w:r>
      <w:r>
        <w:rPr>
          <w:rFonts w:ascii="Arial" w:cs="Arial" w:eastAsia="Arial" w:hAnsi="Arial"/>
          <w:sz w:val="17"/>
          <w:szCs w:val="17"/>
          <w:i w:val="1"/>
          <w:iCs w:val="1"/>
          <w:color w:val="auto"/>
        </w:rPr>
        <w:t>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Instruments - Fair Value of Contingent Consideration </w:t>
      </w:r>
      <w:r>
        <w:rPr>
          <w:rFonts w:ascii="Arial" w:cs="Arial" w:eastAsia="Arial" w:hAnsi="Arial"/>
          <w:sz w:val="17"/>
          <w:szCs w:val="17"/>
          <w:color w:val="auto"/>
        </w:rPr>
        <w:t>for additional information. Other acquisition-related items include incremental costs from inventory</w:t>
      </w:r>
      <w:r>
        <w:rPr>
          <w:rFonts w:ascii="Arial" w:cs="Arial" w:eastAsia="Arial" w:hAnsi="Arial"/>
          <w:sz w:val="17"/>
          <w:szCs w:val="17"/>
          <w:i w:val="1"/>
          <w:iCs w:val="1"/>
          <w:color w:val="auto"/>
        </w:rPr>
        <w:t xml:space="preserve"> </w:t>
      </w:r>
      <w:r>
        <w:rPr>
          <w:rFonts w:ascii="Arial" w:cs="Arial" w:eastAsia="Arial" w:hAnsi="Arial"/>
          <w:sz w:val="17"/>
          <w:szCs w:val="17"/>
          <w:color w:val="auto"/>
        </w:rPr>
        <w:t>step-ups associated with acquired companies related to the fair market valuation of the acquired inventory and acquisition gains from the remeasurement of an existing noncontrolling investment to fair value when the company acquires a controlling interest in the investee.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6845935</wp:posOffset>
            </wp:positionH>
            <wp:positionV relativeFrom="paragraph">
              <wp:posOffset>34290</wp:posOffset>
            </wp:positionV>
            <wp:extent cx="282575" cy="18859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pacing w:after="0" w:line="19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279400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321" w:lineRule="exact"/>
        <w:rPr>
          <w:sz w:val="20"/>
          <w:szCs w:val="20"/>
          <w:color w:val="auto"/>
        </w:rPr>
      </w:pPr>
    </w:p>
    <w:p>
      <w:pPr>
        <w:jc w:val="both"/>
        <w:spacing w:after="0" w:line="250" w:lineRule="auto"/>
        <w:rPr>
          <w:sz w:val="20"/>
          <w:szCs w:val="20"/>
          <w:color w:val="auto"/>
        </w:rPr>
      </w:pPr>
      <w:r>
        <w:rPr>
          <w:rFonts w:ascii="Arial" w:cs="Arial" w:eastAsia="Arial" w:hAnsi="Arial"/>
          <w:sz w:val="17"/>
          <w:szCs w:val="17"/>
          <w:b w:val="1"/>
          <w:bCs w:val="1"/>
          <w:color w:val="auto"/>
        </w:rPr>
        <w:t xml:space="preserve">Divestiture-related items </w:t>
      </w:r>
      <w:r>
        <w:rPr>
          <w:rFonts w:ascii="Arial" w:cs="Arial" w:eastAsia="Arial" w:hAnsi="Arial"/>
          <w:sz w:val="17"/>
          <w:szCs w:val="17"/>
          <w:color w:val="auto"/>
        </w:rPr>
        <w:t>– Includes operating results from divestitures, divestiture-related costs and gains/(losses) on divestitures. Divestitures may</w:t>
      </w:r>
      <w:r>
        <w:rPr>
          <w:rFonts w:ascii="Arial" w:cs="Arial" w:eastAsia="Arial" w:hAnsi="Arial"/>
          <w:sz w:val="17"/>
          <w:szCs w:val="17"/>
          <w:b w:val="1"/>
          <w:bCs w:val="1"/>
          <w:color w:val="auto"/>
        </w:rPr>
        <w:t xml:space="preserve"> </w:t>
      </w:r>
      <w:r>
        <w:rPr>
          <w:rFonts w:ascii="Arial" w:cs="Arial" w:eastAsia="Arial" w:hAnsi="Arial"/>
          <w:sz w:val="17"/>
          <w:szCs w:val="17"/>
          <w:color w:val="auto"/>
        </w:rPr>
        <w:t>include sales of businesses, exits of major product lines upon completion of a sale or licensing agreement, or sales of equity method investments. Divestiture-related costs include costs incurred in relation to the preparation and completion of divestiture transactions (including one-time costs such as severance related to the elimination of stranded costs) as well as costs incurred associated with publicly announced processes to sell businesses. For 2024, operating results from divestitures (which are not reflected in the table above) include the operating results from the company’s JDE Peet’s equity method investment earnings which was sold in the fourth quarter of 2024.</w:t>
      </w:r>
    </w:p>
    <w:p>
      <w:pPr>
        <w:spacing w:after="0" w:line="209" w:lineRule="exact"/>
        <w:rPr>
          <w:sz w:val="20"/>
          <w:szCs w:val="20"/>
          <w:color w:val="auto"/>
        </w:rPr>
      </w:pPr>
    </w:p>
    <w:p>
      <w:pPr>
        <w:jc w:val="both"/>
        <w:spacing w:after="0" w:line="262" w:lineRule="auto"/>
        <w:rPr>
          <w:sz w:val="20"/>
          <w:szCs w:val="20"/>
          <w:color w:val="auto"/>
        </w:rPr>
      </w:pPr>
      <w:r>
        <w:rPr>
          <w:rFonts w:ascii="Arial" w:cs="Arial" w:eastAsia="Arial" w:hAnsi="Arial"/>
          <w:sz w:val="17"/>
          <w:szCs w:val="17"/>
          <w:b w:val="1"/>
          <w:bCs w:val="1"/>
          <w:color w:val="auto"/>
        </w:rPr>
        <w:t xml:space="preserve">Operating results from short-term distributor agreements </w:t>
      </w:r>
      <w:r>
        <w:rPr>
          <w:rFonts w:ascii="Arial" w:cs="Arial" w:eastAsia="Arial" w:hAnsi="Arial"/>
          <w:sz w:val="17"/>
          <w:szCs w:val="17"/>
          <w:color w:val="auto"/>
        </w:rPr>
        <w:t>– Reflects the operating results from short-term distributor agreements that have been</w:t>
      </w:r>
      <w:r>
        <w:rPr>
          <w:rFonts w:ascii="Arial" w:cs="Arial" w:eastAsia="Arial" w:hAnsi="Arial"/>
          <w:sz w:val="17"/>
          <w:szCs w:val="17"/>
          <w:b w:val="1"/>
          <w:bCs w:val="1"/>
          <w:color w:val="auto"/>
        </w:rPr>
        <w:t xml:space="preserve"> </w:t>
      </w:r>
      <w:r>
        <w:rPr>
          <w:rFonts w:ascii="Arial" w:cs="Arial" w:eastAsia="Arial" w:hAnsi="Arial"/>
          <w:sz w:val="17"/>
          <w:szCs w:val="17"/>
          <w:color w:val="auto"/>
        </w:rPr>
        <w:t>executed in conjunction with the sale of a business. Our agreement with the buyer of the developed market gum business to distribute gum products in certain European markets ended in the first quarter of 2024.</w:t>
      </w:r>
    </w:p>
    <w:p>
      <w:pPr>
        <w:spacing w:after="0" w:line="197" w:lineRule="exact"/>
        <w:rPr>
          <w:sz w:val="20"/>
          <w:szCs w:val="20"/>
          <w:color w:val="auto"/>
        </w:rPr>
      </w:pPr>
    </w:p>
    <w:p>
      <w:pPr>
        <w:jc w:val="both"/>
        <w:spacing w:after="0" w:line="257" w:lineRule="auto"/>
        <w:rPr>
          <w:sz w:val="20"/>
          <w:szCs w:val="20"/>
          <w:color w:val="auto"/>
        </w:rPr>
      </w:pPr>
      <w:r>
        <w:rPr>
          <w:rFonts w:ascii="Arial" w:cs="Arial" w:eastAsia="Arial" w:hAnsi="Arial"/>
          <w:sz w:val="17"/>
          <w:szCs w:val="17"/>
          <w:b w:val="1"/>
          <w:bCs w:val="1"/>
          <w:color w:val="auto"/>
        </w:rPr>
        <w:t xml:space="preserve">Incremental costs due to war in Ukraine </w:t>
      </w:r>
      <w:r>
        <w:rPr>
          <w:rFonts w:ascii="Arial" w:cs="Arial" w:eastAsia="Arial" w:hAnsi="Arial"/>
          <w:sz w:val="17"/>
          <w:szCs w:val="17"/>
          <w:color w:val="auto"/>
        </w:rPr>
        <w:t>– In February 2022, Russia began a military invasion of Ukraine and we temporarily stopped our production</w:t>
      </w:r>
      <w:r>
        <w:rPr>
          <w:rFonts w:ascii="Arial" w:cs="Arial" w:eastAsia="Arial" w:hAnsi="Arial"/>
          <w:sz w:val="17"/>
          <w:szCs w:val="17"/>
          <w:b w:val="1"/>
          <w:bCs w:val="1"/>
          <w:color w:val="auto"/>
        </w:rPr>
        <w:t xml:space="preserve"> </w:t>
      </w:r>
      <w:r>
        <w:rPr>
          <w:rFonts w:ascii="Arial" w:cs="Arial" w:eastAsia="Arial" w:hAnsi="Arial"/>
          <w:sz w:val="17"/>
          <w:szCs w:val="17"/>
          <w:color w:val="auto"/>
        </w:rPr>
        <w:t>and closed our manufacturing facilities in Trostyanets and Vyshhorod due to damage incurred during the conflict. In the second quarter of 2024, we fully resumed production at both facilities after completing targeted repairs. Incremental costs incurred by the company related to the ongoing war in Ukraine primarily relate to asset write-downs, net of recoveries.</w:t>
      </w:r>
    </w:p>
    <w:p>
      <w:pPr>
        <w:spacing w:after="0" w:line="202" w:lineRule="exact"/>
        <w:rPr>
          <w:sz w:val="20"/>
          <w:szCs w:val="20"/>
          <w:color w:val="auto"/>
        </w:rPr>
      </w:pPr>
    </w:p>
    <w:p>
      <w:pPr>
        <w:jc w:val="both"/>
        <w:spacing w:after="0" w:line="251" w:lineRule="auto"/>
        <w:rPr>
          <w:sz w:val="20"/>
          <w:szCs w:val="20"/>
          <w:color w:val="auto"/>
        </w:rPr>
      </w:pPr>
      <w:r>
        <w:rPr>
          <w:rFonts w:ascii="Arial" w:cs="Arial" w:eastAsia="Arial" w:hAnsi="Arial"/>
          <w:sz w:val="17"/>
          <w:szCs w:val="17"/>
          <w:b w:val="1"/>
          <w:bCs w:val="1"/>
          <w:color w:val="auto"/>
        </w:rPr>
        <w:t xml:space="preserve">European commission legal matter – </w:t>
      </w:r>
      <w:r>
        <w:rPr>
          <w:rFonts w:ascii="Arial" w:cs="Arial" w:eastAsia="Arial" w:hAnsi="Arial"/>
          <w:sz w:val="17"/>
          <w:szCs w:val="17"/>
          <w:color w:val="auto"/>
        </w:rPr>
        <w:t>In November 2019, the European Commission informed us that it initiated an investigation into our alleged</w:t>
      </w:r>
      <w:r>
        <w:rPr>
          <w:rFonts w:ascii="Arial" w:cs="Arial" w:eastAsia="Arial" w:hAnsi="Arial"/>
          <w:sz w:val="17"/>
          <w:szCs w:val="17"/>
          <w:b w:val="1"/>
          <w:bCs w:val="1"/>
          <w:color w:val="auto"/>
        </w:rPr>
        <w:t xml:space="preserve"> </w:t>
      </w:r>
      <w:r>
        <w:rPr>
          <w:rFonts w:ascii="Arial" w:cs="Arial" w:eastAsia="Arial" w:hAnsi="Arial"/>
          <w:sz w:val="17"/>
          <w:szCs w:val="17"/>
          <w:color w:val="auto"/>
        </w:rPr>
        <w:t>infringement of European Union competition law through certain practices allegedly restricting cross-border trade within the European Economic Area. We reached a negotiated resolution to this matter in the second quarter of 2024. We adjusted our accrual accordingly and fulfilled our payment obligation in August 2024. Due to the unique nature of this matter, we believe it to be infrequent and unusual and therefore exclude it from our non-GAAP earnings measures to better facilitate comparisons of our underlying operating performance across periods.</w:t>
      </w:r>
    </w:p>
    <w:p>
      <w:pPr>
        <w:spacing w:after="0" w:line="220" w:lineRule="exact"/>
        <w:rPr>
          <w:sz w:val="20"/>
          <w:szCs w:val="20"/>
          <w:color w:val="auto"/>
        </w:rPr>
      </w:pPr>
    </w:p>
    <w:p>
      <w:pPr>
        <w:jc w:val="both"/>
        <w:spacing w:after="0" w:line="247" w:lineRule="auto"/>
        <w:rPr>
          <w:sz w:val="20"/>
          <w:szCs w:val="20"/>
          <w:color w:val="auto"/>
        </w:rPr>
      </w:pPr>
      <w:r>
        <w:rPr>
          <w:rFonts w:ascii="Arial" w:cs="Arial" w:eastAsia="Arial" w:hAnsi="Arial"/>
          <w:sz w:val="17"/>
          <w:szCs w:val="17"/>
          <w:b w:val="1"/>
          <w:bCs w:val="1"/>
          <w:color w:val="auto"/>
        </w:rPr>
        <w:t xml:space="preserve">ERP system implementation costs </w:t>
      </w:r>
      <w:r>
        <w:rPr>
          <w:rFonts w:ascii="Arial" w:cs="Arial" w:eastAsia="Arial" w:hAnsi="Arial"/>
          <w:sz w:val="17"/>
          <w:szCs w:val="17"/>
          <w:color w:val="auto"/>
        </w:rPr>
        <w:t>– In July 2024, our Board of Directors approved funding of $1.2 billion for a multi-year systems transformation</w:t>
      </w:r>
      <w:r>
        <w:rPr>
          <w:rFonts w:ascii="Arial" w:cs="Arial" w:eastAsia="Arial" w:hAnsi="Arial"/>
          <w:sz w:val="17"/>
          <w:szCs w:val="17"/>
          <w:b w:val="1"/>
          <w:bCs w:val="1"/>
          <w:color w:val="auto"/>
        </w:rPr>
        <w:t xml:space="preserve"> </w:t>
      </w:r>
      <w:r>
        <w:rPr>
          <w:rFonts w:ascii="Arial" w:cs="Arial" w:eastAsia="Arial" w:hAnsi="Arial"/>
          <w:sz w:val="17"/>
          <w:szCs w:val="17"/>
          <w:color w:val="auto"/>
        </w:rPr>
        <w:t>program to upgrade our global ERP and supply chain systems, which is comprised of both capital expenditures and operating expenses, of which a majority is expected to be operating expenses. The ERP System Implementation program will be implemented in several phases with spending occurring over the next four years, with expected completion by year-end 2028. The operating expenses associated with the ERP System Implementation represent incremental transformational costs above the normal ongoing level of spending on information technology to support operations. These expenses include third-party consulting fees, direct labor costs associated with the program, accelerated depreciation of our existing SAP financial systems and various other expenses, all associated with the implementation of our information technology upgrades.</w:t>
      </w:r>
    </w:p>
    <w:p>
      <w:pPr>
        <w:spacing w:after="0" w:line="225" w:lineRule="exact"/>
        <w:rPr>
          <w:sz w:val="20"/>
          <w:szCs w:val="20"/>
          <w:color w:val="auto"/>
        </w:rPr>
      </w:pPr>
    </w:p>
    <w:p>
      <w:pPr>
        <w:jc w:val="both"/>
        <w:spacing w:after="0" w:line="251" w:lineRule="auto"/>
        <w:rPr>
          <w:sz w:val="20"/>
          <w:szCs w:val="20"/>
          <w:color w:val="auto"/>
        </w:rPr>
      </w:pPr>
      <w:r>
        <w:rPr>
          <w:rFonts w:ascii="Arial" w:cs="Arial" w:eastAsia="Arial" w:hAnsi="Arial"/>
          <w:sz w:val="17"/>
          <w:szCs w:val="17"/>
          <w:b w:val="1"/>
          <w:bCs w:val="1"/>
          <w:color w:val="auto"/>
        </w:rPr>
        <w:t xml:space="preserve">Remeasurement of net monetary position of highly inflationary countries </w:t>
      </w:r>
      <w:r>
        <w:rPr>
          <w:rFonts w:ascii="Arial" w:cs="Arial" w:eastAsia="Arial" w:hAnsi="Arial"/>
          <w:sz w:val="17"/>
          <w:szCs w:val="17"/>
          <w:color w:val="auto"/>
        </w:rPr>
        <w:t>– The company’s operations in Argentina, Türkiye, Egypt and Nigeria are</w:t>
      </w:r>
      <w:r>
        <w:rPr>
          <w:rFonts w:ascii="Arial" w:cs="Arial" w:eastAsia="Arial" w:hAnsi="Arial"/>
          <w:sz w:val="17"/>
          <w:szCs w:val="17"/>
          <w:b w:val="1"/>
          <w:bCs w:val="1"/>
          <w:color w:val="auto"/>
        </w:rPr>
        <w:t xml:space="preserve"> </w:t>
      </w:r>
      <w:r>
        <w:rPr>
          <w:rFonts w:ascii="Arial" w:cs="Arial" w:eastAsia="Arial" w:hAnsi="Arial"/>
          <w:sz w:val="17"/>
          <w:szCs w:val="17"/>
          <w:color w:val="auto"/>
        </w:rPr>
        <w:t>currently accounted for as highly inflationary. We exclude remeasurement gains and losses of the monetary assets and liabilities of its subsidiaries in highly inflationary economies and the realized gains and losses from derivatives that mitigate the foreign currency volatility related to the remeasurement of the respective monetary assets or liabilities from its non-GAAP earnings measures to facilitate comparisons of our underlying operating performance across periods.</w:t>
      </w:r>
    </w:p>
    <w:p>
      <w:pPr>
        <w:spacing w:after="0" w:line="220" w:lineRule="exact"/>
        <w:rPr>
          <w:sz w:val="20"/>
          <w:szCs w:val="20"/>
          <w:color w:val="auto"/>
        </w:rPr>
      </w:pPr>
    </w:p>
    <w:p>
      <w:pPr>
        <w:jc w:val="both"/>
        <w:spacing w:after="0" w:line="247" w:lineRule="auto"/>
        <w:rPr>
          <w:sz w:val="20"/>
          <w:szCs w:val="20"/>
          <w:color w:val="auto"/>
        </w:rPr>
      </w:pPr>
      <w:r>
        <w:rPr>
          <w:rFonts w:ascii="Arial" w:cs="Arial" w:eastAsia="Arial" w:hAnsi="Arial"/>
          <w:sz w:val="17"/>
          <w:szCs w:val="17"/>
          <w:b w:val="1"/>
          <w:bCs w:val="1"/>
          <w:color w:val="auto"/>
        </w:rPr>
        <w:t xml:space="preserve">Impact from pension participation changes </w:t>
      </w:r>
      <w:r>
        <w:rPr>
          <w:rFonts w:ascii="Arial" w:cs="Arial" w:eastAsia="Arial" w:hAnsi="Arial"/>
          <w:sz w:val="17"/>
          <w:szCs w:val="17"/>
          <w:color w:val="auto"/>
        </w:rPr>
        <w:t>– Consists of the charges incurred, primarily gains or losses from pension curtailments and settlements,</w:t>
      </w:r>
      <w:r>
        <w:rPr>
          <w:rFonts w:ascii="Arial" w:cs="Arial" w:eastAsia="Arial" w:hAnsi="Arial"/>
          <w:sz w:val="17"/>
          <w:szCs w:val="17"/>
          <w:b w:val="1"/>
          <w:bCs w:val="1"/>
          <w:color w:val="auto"/>
        </w:rPr>
        <w:t xml:space="preserve"> </w:t>
      </w:r>
      <w:r>
        <w:rPr>
          <w:rFonts w:ascii="Arial" w:cs="Arial" w:eastAsia="Arial" w:hAnsi="Arial"/>
          <w:sz w:val="17"/>
          <w:szCs w:val="17"/>
          <w:color w:val="auto"/>
        </w:rPr>
        <w:t>including settlement losses from our buy-out of a pension plan for U.S. salaried employees during the second quarter of 2025 and our buy-out of the retiree participants' obligations for two Canadian pension plans during the third quarter of 2025, as well as costs incurred when employee groups are withdrawn from multiemployer pension plans. We exclude these charges from our non-GAAP results because those amounts do not reflect our ongoing pension obligations.</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7"/>
          <w:szCs w:val="17"/>
          <w:b w:val="1"/>
          <w:bCs w:val="1"/>
          <w:color w:val="auto"/>
        </w:rPr>
        <w:t xml:space="preserve">Impact from resolution of tax matters </w:t>
      </w:r>
      <w:r>
        <w:rPr>
          <w:rFonts w:ascii="Arial" w:cs="Arial" w:eastAsia="Arial" w:hAnsi="Arial"/>
          <w:sz w:val="17"/>
          <w:szCs w:val="17"/>
          <w:color w:val="auto"/>
        </w:rPr>
        <w:t>– Consists of the reversals and settlements of unusual and significant indirect tax matters. Due to the unique</w:t>
      </w:r>
      <w:r>
        <w:rPr>
          <w:rFonts w:ascii="Arial" w:cs="Arial" w:eastAsia="Arial" w:hAnsi="Arial"/>
          <w:sz w:val="17"/>
          <w:szCs w:val="17"/>
          <w:b w:val="1"/>
          <w:bCs w:val="1"/>
          <w:color w:val="auto"/>
        </w:rPr>
        <w:t xml:space="preserve"> </w:t>
      </w:r>
      <w:r>
        <w:rPr>
          <w:rFonts w:ascii="Arial" w:cs="Arial" w:eastAsia="Arial" w:hAnsi="Arial"/>
          <w:sz w:val="17"/>
          <w:szCs w:val="17"/>
          <w:color w:val="auto"/>
        </w:rPr>
        <w:t>nature of these resolutions, we believe it to be infrequent and therefore exclude it from our non-GAAP earnings measures to better facilitate comparisons of our underlying operating performance across periods.</w:t>
      </w:r>
    </w:p>
    <w:p>
      <w:pPr>
        <w:spacing w:after="0" w:line="197" w:lineRule="exact"/>
        <w:rPr>
          <w:sz w:val="20"/>
          <w:szCs w:val="20"/>
          <w:color w:val="auto"/>
        </w:rPr>
      </w:pPr>
    </w:p>
    <w:p>
      <w:pPr>
        <w:jc w:val="both"/>
        <w:spacing w:after="0" w:line="262" w:lineRule="auto"/>
        <w:rPr>
          <w:sz w:val="20"/>
          <w:szCs w:val="20"/>
          <w:color w:val="auto"/>
        </w:rPr>
      </w:pPr>
      <w:r>
        <w:rPr>
          <w:rFonts w:ascii="Arial" w:cs="Arial" w:eastAsia="Arial" w:hAnsi="Arial"/>
          <w:sz w:val="17"/>
          <w:szCs w:val="17"/>
          <w:b w:val="1"/>
          <w:bCs w:val="1"/>
          <w:color w:val="auto"/>
        </w:rPr>
        <w:t xml:space="preserve">Initial impacts from enacted tax law changes </w:t>
      </w:r>
      <w:r>
        <w:rPr>
          <w:rFonts w:ascii="Arial" w:cs="Arial" w:eastAsia="Arial" w:hAnsi="Arial"/>
          <w:sz w:val="17"/>
          <w:szCs w:val="17"/>
          <w:color w:val="auto"/>
        </w:rPr>
        <w:t>– Initial impacts from enacted tax law changes include items such as the remeasurement of deferred tax</w:t>
      </w:r>
      <w:r>
        <w:rPr>
          <w:rFonts w:ascii="Arial" w:cs="Arial" w:eastAsia="Arial" w:hAnsi="Arial"/>
          <w:sz w:val="17"/>
          <w:szCs w:val="17"/>
          <w:b w:val="1"/>
          <w:bCs w:val="1"/>
          <w:color w:val="auto"/>
        </w:rPr>
        <w:t xml:space="preserve"> </w:t>
      </w:r>
      <w:r>
        <w:rPr>
          <w:rFonts w:ascii="Arial" w:cs="Arial" w:eastAsia="Arial" w:hAnsi="Arial"/>
          <w:sz w:val="17"/>
          <w:szCs w:val="17"/>
          <w:color w:val="auto"/>
        </w:rPr>
        <w:t>balances and transition taxes from tax reforms. We exclude initial impacts from enacted tax law changes from our non-GAAP financial measures as they do not reflect our ongoing tax obligations under the enacted tax law.</w:t>
      </w:r>
    </w:p>
    <w:p>
      <w:pPr>
        <w:spacing w:after="0" w:line="197" w:lineRule="exact"/>
        <w:rPr>
          <w:sz w:val="20"/>
          <w:szCs w:val="20"/>
          <w:color w:val="auto"/>
        </w:rPr>
      </w:pPr>
    </w:p>
    <w:p>
      <w:pPr>
        <w:jc w:val="both"/>
        <w:spacing w:after="0" w:line="262" w:lineRule="auto"/>
        <w:rPr>
          <w:sz w:val="20"/>
          <w:szCs w:val="20"/>
          <w:color w:val="auto"/>
        </w:rPr>
      </w:pPr>
      <w:r>
        <w:rPr>
          <w:rFonts w:ascii="Arial" w:cs="Arial" w:eastAsia="Arial" w:hAnsi="Arial"/>
          <w:sz w:val="17"/>
          <w:szCs w:val="17"/>
          <w:b w:val="1"/>
          <w:bCs w:val="1"/>
          <w:color w:val="auto"/>
        </w:rPr>
        <w:t xml:space="preserve">Gains and losses on equity method investment transactions </w:t>
      </w:r>
      <w:r>
        <w:rPr>
          <w:rFonts w:ascii="Arial" w:cs="Arial" w:eastAsia="Arial" w:hAnsi="Arial"/>
          <w:sz w:val="17"/>
          <w:szCs w:val="17"/>
          <w:color w:val="auto"/>
        </w:rPr>
        <w:t>– We exclude gains and losses from partial or full sales of equity method investments,</w:t>
      </w:r>
      <w:r>
        <w:rPr>
          <w:rFonts w:ascii="Arial" w:cs="Arial" w:eastAsia="Arial" w:hAnsi="Arial"/>
          <w:sz w:val="17"/>
          <w:szCs w:val="17"/>
          <w:b w:val="1"/>
          <w:bCs w:val="1"/>
          <w:color w:val="auto"/>
        </w:rPr>
        <w:t xml:space="preserve"> </w:t>
      </w:r>
      <w:r>
        <w:rPr>
          <w:rFonts w:ascii="Arial" w:cs="Arial" w:eastAsia="Arial" w:hAnsi="Arial"/>
          <w:sz w:val="17"/>
          <w:szCs w:val="17"/>
          <w:color w:val="auto"/>
        </w:rPr>
        <w:t>as well as impairments or other non-routine transactions related to those investments. In addition, we also exclude from our non-GAAP financial measures any gains or losses realized on economic hedges of sales proceeds from our equity method investment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6845935</wp:posOffset>
            </wp:positionH>
            <wp:positionV relativeFrom="paragraph">
              <wp:posOffset>15875</wp:posOffset>
            </wp:positionV>
            <wp:extent cx="282575" cy="18859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pacing w:after="0" w:line="16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287655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Discussion and Analysis of Historical Results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Results</w:t>
      </w:r>
    </w:p>
    <w:p>
      <w:pPr>
        <w:spacing w:after="0" w:line="24" w:lineRule="exact"/>
        <w:rPr>
          <w:sz w:val="20"/>
          <w:szCs w:val="20"/>
          <w:color w:val="auto"/>
        </w:rPr>
      </w:pPr>
    </w:p>
    <w:p>
      <w:pPr>
        <w:ind w:left="660" w:right="20" w:hanging="328"/>
        <w:spacing w:after="0" w:line="253" w:lineRule="auto"/>
        <w:tabs>
          <w:tab w:leader="none" w:pos="648" w:val="left"/>
        </w:tabs>
        <w:numPr>
          <w:ilvl w:val="0"/>
          <w:numId w:val="17"/>
        </w:numPr>
        <w:rPr>
          <w:rFonts w:ascii="Arial" w:cs="Arial" w:eastAsia="Arial" w:hAnsi="Arial"/>
          <w:sz w:val="20"/>
          <w:szCs w:val="20"/>
          <w:color w:val="auto"/>
        </w:rPr>
      </w:pPr>
      <w:r>
        <w:rPr>
          <w:rFonts w:ascii="Arial" w:cs="Arial" w:eastAsia="Arial" w:hAnsi="Arial"/>
          <w:sz w:val="18"/>
          <w:szCs w:val="18"/>
          <w:color w:val="auto"/>
        </w:rPr>
        <w:t>Net revenues increased 5.9% to $9.7 billion in the third quarter of 2025 and increased 4.5% to $28.0 billion in the first nine months of 2025 as compared to the same periods in the prior year.</w:t>
      </w:r>
    </w:p>
    <w:p>
      <w:pPr>
        <w:spacing w:after="0" w:line="1" w:lineRule="exact"/>
        <w:rPr>
          <w:rFonts w:ascii="Arial" w:cs="Arial" w:eastAsia="Arial" w:hAnsi="Arial"/>
          <w:sz w:val="20"/>
          <w:szCs w:val="20"/>
          <w:color w:val="auto"/>
        </w:rPr>
      </w:pPr>
    </w:p>
    <w:p>
      <w:pPr>
        <w:ind w:left="1300" w:hanging="324"/>
        <w:spacing w:after="0" w:line="250" w:lineRule="auto"/>
        <w:rPr>
          <w:rFonts w:ascii="Arial" w:cs="Arial" w:eastAsia="Arial" w:hAnsi="Arial"/>
          <w:sz w:val="20"/>
          <w:szCs w:val="20"/>
          <w:color w:val="auto"/>
        </w:rPr>
      </w:pPr>
      <w:r>
        <w:rPr>
          <w:rFonts w:ascii="Arial" w:cs="Arial" w:eastAsia="Arial" w:hAnsi="Arial"/>
          <w:sz w:val="18"/>
          <w:szCs w:val="18"/>
          <w:color w:val="auto"/>
        </w:rPr>
        <w:t>– Net revenue growth in the third quarter of 2025 was driven by higher net pricing, favorable currency-related items, as several currencies we operate in strengthened relative to the U.S. dollar compared to exchange rates in the prior year, and incremental net revenue from our acquisition of Evirth, partially offset by unfavorable volume/mix.</w:t>
      </w:r>
    </w:p>
    <w:p>
      <w:pPr>
        <w:spacing w:after="0" w:line="1" w:lineRule="exact"/>
        <w:rPr>
          <w:rFonts w:ascii="Arial" w:cs="Arial" w:eastAsia="Arial" w:hAnsi="Arial"/>
          <w:sz w:val="20"/>
          <w:szCs w:val="20"/>
          <w:color w:val="auto"/>
        </w:rPr>
      </w:pPr>
    </w:p>
    <w:p>
      <w:pPr>
        <w:ind w:left="1300" w:hanging="324"/>
        <w:spacing w:after="0" w:line="251" w:lineRule="auto"/>
        <w:rPr>
          <w:rFonts w:ascii="Arial" w:cs="Arial" w:eastAsia="Arial" w:hAnsi="Arial"/>
          <w:sz w:val="20"/>
          <w:szCs w:val="20"/>
          <w:color w:val="auto"/>
        </w:rPr>
      </w:pPr>
      <w:r>
        <w:rPr>
          <w:rFonts w:ascii="Arial" w:cs="Arial" w:eastAsia="Arial" w:hAnsi="Arial"/>
          <w:sz w:val="18"/>
          <w:szCs w:val="18"/>
          <w:color w:val="auto"/>
        </w:rPr>
        <w:t>– Net revenue growth in the first nine months of 2025 was driven by higher net pricing and incremental net revenue from our acquisition of Evirth, partially offset by unfavorable volume/mix, unfavorable currency-related items, as the U.S. dollar strengthened relative to several currencies we operate in compared to exchange rates in the prior year, and lapping prior-year net revenue from a short-term distributor agreement related to the sale of our developed market gum business.</w:t>
      </w:r>
    </w:p>
    <w:p>
      <w:pPr>
        <w:spacing w:after="0" w:line="2" w:lineRule="exact"/>
        <w:rPr>
          <w:rFonts w:ascii="Arial" w:cs="Arial" w:eastAsia="Arial" w:hAnsi="Arial"/>
          <w:sz w:val="20"/>
          <w:szCs w:val="20"/>
          <w:color w:val="auto"/>
        </w:rPr>
      </w:pPr>
    </w:p>
    <w:p>
      <w:pPr>
        <w:jc w:val="both"/>
        <w:ind w:left="660" w:hanging="328"/>
        <w:spacing w:after="0" w:line="246" w:lineRule="auto"/>
        <w:tabs>
          <w:tab w:leader="none" w:pos="648" w:val="left"/>
        </w:tabs>
        <w:numPr>
          <w:ilvl w:val="0"/>
          <w:numId w:val="17"/>
        </w:numPr>
        <w:rPr>
          <w:rFonts w:ascii="Arial" w:cs="Arial" w:eastAsia="Arial" w:hAnsi="Arial"/>
          <w:sz w:val="20"/>
          <w:szCs w:val="20"/>
          <w:color w:val="auto"/>
        </w:rPr>
      </w:pPr>
      <w:r>
        <w:rPr>
          <w:rFonts w:ascii="Arial" w:cs="Arial" w:eastAsia="Arial" w:hAnsi="Arial"/>
          <w:sz w:val="18"/>
          <w:szCs w:val="18"/>
          <w:color w:val="auto"/>
        </w:rPr>
        <w:t>Organic Net Revenue, a non-GAAP financial measure, increased 3.4% to $9.5 billion in the third quarter of 2025 and increased 4.0% to $27.9 billion in the first nine months of 2025 as compared to the same periods in the prior year. During both the third quarter and the first nine months of 2025, Organic Net Revenue grew due to higher net pricing, partially offset by unfavorable volume/mix. Organic Net Revenue is reported on a constant currency basis and excludes revenue from acquisitions and divestitures. Refer to</w:t>
      </w:r>
    </w:p>
    <w:p>
      <w:pPr>
        <w:ind w:left="660"/>
        <w:spacing w:after="0" w:line="253" w:lineRule="auto"/>
        <w:rPr>
          <w:rFonts w:ascii="Arial" w:cs="Arial" w:eastAsia="Arial" w:hAnsi="Arial"/>
          <w:sz w:val="20"/>
          <w:szCs w:val="20"/>
          <w:color w:val="auto"/>
        </w:rPr>
      </w:pPr>
      <w:r>
        <w:rPr>
          <w:rFonts w:ascii="Arial" w:cs="Arial" w:eastAsia="Arial" w:hAnsi="Arial"/>
          <w:sz w:val="18"/>
          <w:szCs w:val="18"/>
          <w:i w:val="1"/>
          <w:iCs w:val="1"/>
          <w:color w:val="auto"/>
        </w:rPr>
        <w:t xml:space="preserve">Non-GAAP Financial Measures </w:t>
      </w:r>
      <w:r>
        <w:rPr>
          <w:rFonts w:ascii="Arial" w:cs="Arial" w:eastAsia="Arial" w:hAnsi="Arial"/>
          <w:sz w:val="18"/>
          <w:szCs w:val="18"/>
          <w:color w:val="auto"/>
        </w:rPr>
        <w:t>for the definition of Organic Net Revenue and</w:t>
      </w:r>
      <w:r>
        <w:rPr>
          <w:rFonts w:ascii="Arial" w:cs="Arial" w:eastAsia="Arial" w:hAnsi="Arial"/>
          <w:sz w:val="18"/>
          <w:szCs w:val="18"/>
          <w:i w:val="1"/>
          <w:iCs w:val="1"/>
          <w:color w:val="auto"/>
        </w:rPr>
        <w:t xml:space="preserve"> Consolidated Results of Operations </w:t>
      </w:r>
      <w:r>
        <w:rPr>
          <w:rFonts w:ascii="Arial" w:cs="Arial" w:eastAsia="Arial" w:hAnsi="Arial"/>
          <w:sz w:val="18"/>
          <w:szCs w:val="18"/>
          <w:color w:val="auto"/>
        </w:rPr>
        <w:t>for our</w:t>
      </w:r>
      <w:r>
        <w:rPr>
          <w:rFonts w:ascii="Arial" w:cs="Arial" w:eastAsia="Arial" w:hAnsi="Arial"/>
          <w:sz w:val="18"/>
          <w:szCs w:val="18"/>
          <w:i w:val="1"/>
          <w:iCs w:val="1"/>
          <w:color w:val="auto"/>
        </w:rPr>
        <w:t xml:space="preserve"> </w:t>
      </w:r>
      <w:r>
        <w:rPr>
          <w:rFonts w:ascii="Arial" w:cs="Arial" w:eastAsia="Arial" w:hAnsi="Arial"/>
          <w:sz w:val="18"/>
          <w:szCs w:val="18"/>
          <w:color w:val="auto"/>
        </w:rPr>
        <w:t>reconciliation with net revenues.</w:t>
      </w:r>
    </w:p>
    <w:p>
      <w:pPr>
        <w:ind w:left="660" w:right="20" w:hanging="328"/>
        <w:spacing w:after="0" w:line="249" w:lineRule="auto"/>
        <w:tabs>
          <w:tab w:leader="none" w:pos="648" w:val="left"/>
        </w:tabs>
        <w:numPr>
          <w:ilvl w:val="0"/>
          <w:numId w:val="17"/>
        </w:numPr>
        <w:rPr>
          <w:rFonts w:ascii="Arial" w:cs="Arial" w:eastAsia="Arial" w:hAnsi="Arial"/>
          <w:sz w:val="20"/>
          <w:szCs w:val="20"/>
          <w:color w:val="auto"/>
        </w:rPr>
      </w:pPr>
      <w:r>
        <w:rPr>
          <w:rFonts w:ascii="Arial" w:cs="Arial" w:eastAsia="Arial" w:hAnsi="Arial"/>
          <w:sz w:val="18"/>
          <w:szCs w:val="18"/>
          <w:color w:val="auto"/>
        </w:rPr>
        <w:t>Diluted EPS attributable to Mondelēz International decreased (9.5)% to $0.57 in the third quarter of 2025 and decreased 35.4% to $1.37 in the first nine months of 2025 as compared to the same periods in the prior year.</w:t>
      </w:r>
    </w:p>
    <w:p>
      <w:pPr>
        <w:ind w:left="1300" w:hanging="324"/>
        <w:spacing w:after="0" w:line="250" w:lineRule="auto"/>
        <w:rPr>
          <w:rFonts w:ascii="Arial" w:cs="Arial" w:eastAsia="Arial" w:hAnsi="Arial"/>
          <w:sz w:val="20"/>
          <w:szCs w:val="20"/>
          <w:color w:val="auto"/>
        </w:rPr>
      </w:pPr>
      <w:r>
        <w:rPr>
          <w:rFonts w:ascii="Arial" w:cs="Arial" w:eastAsia="Arial" w:hAnsi="Arial"/>
          <w:sz w:val="18"/>
          <w:szCs w:val="18"/>
          <w:color w:val="auto"/>
        </w:rPr>
        <w:t>– Diluted EPS decreased in the third quarter of 2025, primarily driven by a decrease in Adjusted EPS, an unfavorable year-over-year change in acquisition-related items, settlement losses related to the buy-out of retiree participants' obligations for two Canadian pension plans, lapping prior-year divestiture-related items and lapping prior-year favorable initial impacts from enacted tax law changes. These unfavorable items were partially offset by a favorable year-over-year change in mark-to-market impacts from commodity and foreign currency derivatives, a gain on an equity method investment transaction, lower intangible asset impairment charges, a favorable impact from the resolution of an indirect tax matter and lapping prior-year costs for the completed Simplify to Grow Program.</w:t>
      </w:r>
    </w:p>
    <w:p>
      <w:pPr>
        <w:spacing w:after="0" w:line="2" w:lineRule="exact"/>
        <w:rPr>
          <w:rFonts w:ascii="Arial" w:cs="Arial" w:eastAsia="Arial" w:hAnsi="Arial"/>
          <w:sz w:val="20"/>
          <w:szCs w:val="20"/>
          <w:color w:val="auto"/>
        </w:rPr>
      </w:pPr>
    </w:p>
    <w:p>
      <w:pPr>
        <w:ind w:left="1300" w:hanging="324"/>
        <w:spacing w:after="0" w:line="251" w:lineRule="auto"/>
        <w:rPr>
          <w:rFonts w:ascii="Arial" w:cs="Arial" w:eastAsia="Arial" w:hAnsi="Arial"/>
          <w:sz w:val="20"/>
          <w:szCs w:val="20"/>
          <w:color w:val="auto"/>
        </w:rPr>
      </w:pPr>
      <w:r>
        <w:rPr>
          <w:rFonts w:ascii="Arial" w:cs="Arial" w:eastAsia="Arial" w:hAnsi="Arial"/>
          <w:sz w:val="18"/>
          <w:szCs w:val="18"/>
          <w:color w:val="auto"/>
        </w:rPr>
        <w:t>– Diluted EPS decreased in the first nine months of 2025, driven by an unfavorable year-over-year change in mark-to-market impacts from commodity and foreign currency derivatives, a decrease in Adjusted EPS, settlement losses related to the buy-out of retiree participants' obligations for two Canadian pension plans, an unfavorable year-over-year change in acquisition-related items, lapping prior-year divestiture-related items and higher costs incurred for the ERP System Implementation program. These unfavorable items were partially offset by lapping a prior-year equity method investment impairment, a current year gain on an equity method investment transaction, lower intangible asset impairment charges, lapping prior-year costs for the completed Simplify to Grow Program, a favorable impact from the resolution of an indirect tax matter and lapping prior-year unfavorable initial impacts from enacted tax law changes.</w:t>
      </w:r>
    </w:p>
    <w:p>
      <w:pPr>
        <w:spacing w:after="0" w:line="1" w:lineRule="exact"/>
        <w:rPr>
          <w:rFonts w:ascii="Arial" w:cs="Arial" w:eastAsia="Arial" w:hAnsi="Arial"/>
          <w:sz w:val="20"/>
          <w:szCs w:val="20"/>
          <w:color w:val="auto"/>
        </w:rPr>
      </w:pPr>
    </w:p>
    <w:p>
      <w:pPr>
        <w:jc w:val="both"/>
        <w:ind w:left="660" w:hanging="328"/>
        <w:spacing w:after="0" w:line="246" w:lineRule="auto"/>
        <w:tabs>
          <w:tab w:leader="none" w:pos="648" w:val="left"/>
        </w:tabs>
        <w:numPr>
          <w:ilvl w:val="0"/>
          <w:numId w:val="17"/>
        </w:numPr>
        <w:rPr>
          <w:rFonts w:ascii="Arial" w:cs="Arial" w:eastAsia="Arial" w:hAnsi="Arial"/>
          <w:sz w:val="20"/>
          <w:szCs w:val="20"/>
          <w:color w:val="auto"/>
        </w:rPr>
      </w:pPr>
      <w:r>
        <w:rPr>
          <w:rFonts w:ascii="Arial" w:cs="Arial" w:eastAsia="Arial" w:hAnsi="Arial"/>
          <w:sz w:val="18"/>
          <w:szCs w:val="18"/>
          <w:color w:val="auto"/>
        </w:rPr>
        <w:t xml:space="preserve">Adjusted EPS, a non-GAAP financial measure, decreased 23.2% to $0.73 in the third quarter of 2025 and decreased 18.8% to $2.20 in the first nine months of 2025 as compared to the same periods in the prior year. On a constant currency basis, Adjusted EPS decreased 24.2% to $0.72 in the third quarter of 2025 and decreased 19.6% to $2.18 in the first nine months of 2025 as compared to the same periods in the prior year. Refer to </w:t>
      </w:r>
      <w:r>
        <w:rPr>
          <w:rFonts w:ascii="Arial" w:cs="Arial" w:eastAsia="Arial" w:hAnsi="Arial"/>
          <w:sz w:val="18"/>
          <w:szCs w:val="18"/>
          <w:i w:val="1"/>
          <w:iCs w:val="1"/>
          <w:color w:val="auto"/>
        </w:rPr>
        <w:t>Non-GAAP Financial Measures</w:t>
      </w:r>
      <w:r>
        <w:rPr>
          <w:rFonts w:ascii="Arial" w:cs="Arial" w:eastAsia="Arial" w:hAnsi="Arial"/>
          <w:sz w:val="18"/>
          <w:szCs w:val="18"/>
          <w:color w:val="auto"/>
        </w:rPr>
        <w:t xml:space="preserve"> for the definition of Adjusted EPS and </w:t>
      </w:r>
      <w:r>
        <w:rPr>
          <w:rFonts w:ascii="Arial" w:cs="Arial" w:eastAsia="Arial" w:hAnsi="Arial"/>
          <w:sz w:val="18"/>
          <w:szCs w:val="18"/>
          <w:i w:val="1"/>
          <w:iCs w:val="1"/>
          <w:color w:val="auto"/>
        </w:rPr>
        <w:t>Consolidated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Results of Operations </w:t>
      </w:r>
      <w:r>
        <w:rPr>
          <w:rFonts w:ascii="Arial" w:cs="Arial" w:eastAsia="Arial" w:hAnsi="Arial"/>
          <w:sz w:val="18"/>
          <w:szCs w:val="18"/>
          <w:color w:val="auto"/>
        </w:rPr>
        <w:t>for our reconciliation with diluted EPS.</w:t>
      </w:r>
    </w:p>
    <w:p>
      <w:pPr>
        <w:spacing w:after="0" w:line="4" w:lineRule="exact"/>
        <w:rPr>
          <w:rFonts w:ascii="Arial" w:cs="Arial" w:eastAsia="Arial" w:hAnsi="Arial"/>
          <w:sz w:val="20"/>
          <w:szCs w:val="20"/>
          <w:color w:val="auto"/>
        </w:rPr>
      </w:pPr>
    </w:p>
    <w:p>
      <w:pPr>
        <w:ind w:left="1300" w:hanging="324"/>
        <w:spacing w:after="0" w:line="252" w:lineRule="auto"/>
        <w:rPr>
          <w:rFonts w:ascii="Arial" w:cs="Arial" w:eastAsia="Arial" w:hAnsi="Arial"/>
          <w:sz w:val="20"/>
          <w:szCs w:val="20"/>
          <w:color w:val="auto"/>
        </w:rPr>
      </w:pPr>
      <w:r>
        <w:rPr>
          <w:rFonts w:ascii="Arial" w:cs="Arial" w:eastAsia="Arial" w:hAnsi="Arial"/>
          <w:sz w:val="18"/>
          <w:szCs w:val="18"/>
          <w:color w:val="auto"/>
        </w:rPr>
        <w:t>– Adjusted EPS decreased in the third quarter of 2025, driven by operating declines, partially offset by lower income taxes, fewer shares outstanding, higher equity method investment earnings, the impact from an acquisition and favorable currency-related items.</w:t>
      </w:r>
    </w:p>
    <w:p>
      <w:pPr>
        <w:ind w:left="1300" w:hanging="324"/>
        <w:spacing w:after="0" w:line="270" w:lineRule="auto"/>
        <w:rPr>
          <w:rFonts w:ascii="Arial" w:cs="Arial" w:eastAsia="Arial" w:hAnsi="Arial"/>
          <w:sz w:val="20"/>
          <w:szCs w:val="20"/>
          <w:color w:val="auto"/>
        </w:rPr>
      </w:pPr>
      <w:r>
        <w:rPr>
          <w:rFonts w:ascii="Arial" w:cs="Arial" w:eastAsia="Arial" w:hAnsi="Arial"/>
          <w:sz w:val="20"/>
          <w:szCs w:val="20"/>
          <w:color w:val="auto"/>
        </w:rPr>
        <w:t xml:space="preserve">– </w:t>
      </w:r>
      <w:r>
        <w:rPr>
          <w:rFonts w:ascii="Arial" w:cs="Arial" w:eastAsia="Arial" w:hAnsi="Arial"/>
          <w:sz w:val="17"/>
          <w:szCs w:val="17"/>
          <w:color w:val="auto"/>
        </w:rPr>
        <w:t>Adjusted EPS decreased in the first nine months of 2025, driven by operating declines, higher interest and other expense</w:t>
      </w:r>
      <w:r>
        <w:rPr>
          <w:rFonts w:ascii="Arial" w:cs="Arial" w:eastAsia="Arial" w:hAnsi="Arial"/>
          <w:sz w:val="20"/>
          <w:szCs w:val="20"/>
          <w:color w:val="auto"/>
        </w:rPr>
        <w:t xml:space="preserve"> </w:t>
      </w:r>
      <w:r>
        <w:rPr>
          <w:rFonts w:ascii="Arial" w:cs="Arial" w:eastAsia="Arial" w:hAnsi="Arial"/>
          <w:sz w:val="17"/>
          <w:szCs w:val="17"/>
          <w:color w:val="auto"/>
        </w:rPr>
        <w:t>and lower benefit plan non-service income, partially offset by fewer shares outstanding, lower income taxes, the impact from an acquisition and favorable currency-related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6845935</wp:posOffset>
            </wp:positionH>
            <wp:positionV relativeFrom="paragraph">
              <wp:posOffset>8255</wp:posOffset>
            </wp:positionV>
            <wp:extent cx="282575" cy="18859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pacing w:after="0" w:line="15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287655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w:t>
      </w:r>
    </w:p>
    <w:p>
      <w:pPr>
        <w:spacing w:after="0" w:line="124" w:lineRule="exact"/>
        <w:rPr>
          <w:sz w:val="20"/>
          <w:szCs w:val="20"/>
          <w:color w:val="auto"/>
        </w:rPr>
      </w:pPr>
    </w:p>
    <w:p>
      <w:pPr>
        <w:jc w:val="center"/>
        <w:ind w:left="1820"/>
        <w:spacing w:after="0"/>
        <w:rPr>
          <w:sz w:val="20"/>
          <w:szCs w:val="20"/>
          <w:color w:val="auto"/>
        </w:rPr>
      </w:pPr>
      <w:r>
        <w:rPr>
          <w:rFonts w:ascii="Arial" w:cs="Arial" w:eastAsia="Arial" w:hAnsi="Arial"/>
          <w:sz w:val="14"/>
          <w:szCs w:val="14"/>
          <w:b w:val="1"/>
          <w:bCs w:val="1"/>
          <w:color w:val="auto"/>
        </w:rPr>
        <w:t>For the Three Months Ended</w:t>
      </w:r>
    </w:p>
    <w:p>
      <w:pPr>
        <w:jc w:val="center"/>
        <w:ind w:left="1820"/>
        <w:spacing w:after="0"/>
        <w:rPr>
          <w:sz w:val="20"/>
          <w:szCs w:val="20"/>
          <w:color w:val="auto"/>
        </w:rPr>
      </w:pPr>
      <w:r>
        <w:rPr>
          <w:rFonts w:ascii="Arial" w:cs="Arial" w:eastAsia="Arial" w:hAnsi="Arial"/>
          <w:sz w:val="14"/>
          <w:szCs w:val="14"/>
          <w:b w:val="1"/>
          <w:bCs w:val="1"/>
          <w:color w:val="auto"/>
        </w:rPr>
        <w:t>September 30,</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080" w:type="dxa"/>
            <w:vAlign w:val="bottom"/>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56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2024</w:t>
            </w:r>
          </w:p>
        </w:tc>
        <w:tc>
          <w:tcPr>
            <w:tcW w:w="480" w:type="dxa"/>
            <w:vAlign w:val="bottom"/>
          </w:tcPr>
          <w:p>
            <w:pPr>
              <w:spacing w:after="0"/>
              <w:rPr>
                <w:sz w:val="17"/>
                <w:szCs w:val="17"/>
                <w:color w:val="auto"/>
              </w:rPr>
            </w:pPr>
          </w:p>
        </w:tc>
        <w:tc>
          <w:tcPr>
            <w:tcW w:w="1140" w:type="dxa"/>
            <w:vAlign w:val="bottom"/>
            <w:gridSpan w:val="2"/>
          </w:tcPr>
          <w:p>
            <w:pPr>
              <w:spacing w:after="0"/>
              <w:rPr>
                <w:sz w:val="20"/>
                <w:szCs w:val="20"/>
                <w:color w:val="auto"/>
              </w:rPr>
            </w:pPr>
            <w:r>
              <w:rPr>
                <w:rFonts w:ascii="Arial" w:cs="Arial" w:eastAsia="Arial" w:hAnsi="Arial"/>
                <w:sz w:val="14"/>
                <w:szCs w:val="14"/>
                <w:b w:val="1"/>
                <w:bCs w:val="1"/>
                <w:color w:val="auto"/>
              </w:rPr>
              <w:t>$ Change</w:t>
            </w:r>
          </w:p>
        </w:tc>
        <w:tc>
          <w:tcPr>
            <w:tcW w:w="1580" w:type="dxa"/>
            <w:vAlign w:val="bottom"/>
          </w:tcPr>
          <w:p>
            <w:pPr>
              <w:jc w:val="right"/>
              <w:ind w:right="354"/>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6"/>
        </w:trPr>
        <w:tc>
          <w:tcPr>
            <w:tcW w:w="508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540" w:type="dxa"/>
            <w:vAlign w:val="bottom"/>
            <w:tcBorders>
              <w:top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(in millions, except per share data)</w:t>
            </w: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Net revenues</w:t>
            </w:r>
          </w:p>
        </w:tc>
        <w:tc>
          <w:tcPr>
            <w:tcW w:w="880" w:type="dxa"/>
            <w:vAlign w:val="bottom"/>
            <w:shd w:val="clear" w:color="auto" w:fill="CCEEFF"/>
          </w:tcPr>
          <w:p>
            <w:pPr>
              <w:jc w:val="right"/>
              <w:ind w:right="699"/>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97"/>
              </w:rPr>
              <w:t>9,744</w:t>
            </w: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9,204</w:t>
            </w:r>
          </w:p>
        </w:tc>
        <w:tc>
          <w:tcPr>
            <w:tcW w:w="4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10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5.9 %</w:t>
            </w:r>
          </w:p>
        </w:tc>
        <w:tc>
          <w:tcPr>
            <w:tcW w:w="0" w:type="dxa"/>
            <w:vAlign w:val="bottom"/>
          </w:tcPr>
          <w:p>
            <w:pPr>
              <w:spacing w:after="0"/>
              <w:rPr>
                <w:sz w:val="1"/>
                <w:szCs w:val="1"/>
                <w:color w:val="auto"/>
              </w:rPr>
            </w:pPr>
          </w:p>
        </w:tc>
      </w:tr>
      <w:tr>
        <w:trPr>
          <w:trHeight w:val="230"/>
        </w:trPr>
        <w:tc>
          <w:tcPr>
            <w:tcW w:w="5080" w:type="dxa"/>
            <w:vAlign w:val="bottom"/>
          </w:tcPr>
          <w:p>
            <w:pPr>
              <w:ind w:left="560"/>
              <w:spacing w:after="0"/>
              <w:rPr>
                <w:sz w:val="20"/>
                <w:szCs w:val="20"/>
                <w:color w:val="auto"/>
              </w:rPr>
            </w:pPr>
            <w:r>
              <w:rPr>
                <w:rFonts w:ascii="Arial" w:cs="Arial" w:eastAsia="Arial" w:hAnsi="Arial"/>
                <w:sz w:val="18"/>
                <w:szCs w:val="18"/>
                <w:color w:val="auto"/>
              </w:rPr>
              <w:t>Operating income</w:t>
            </w:r>
          </w:p>
        </w:tc>
        <w:tc>
          <w:tcPr>
            <w:tcW w:w="880" w:type="dxa"/>
            <w:vAlign w:val="bottom"/>
          </w:tcPr>
          <w:p>
            <w:pPr>
              <w:spacing w:after="0"/>
              <w:rPr>
                <w:sz w:val="19"/>
                <w:szCs w:val="19"/>
                <w:color w:val="auto"/>
              </w:rPr>
            </w:pPr>
          </w:p>
        </w:tc>
        <w:tc>
          <w:tcPr>
            <w:tcW w:w="560" w:type="dxa"/>
            <w:vAlign w:val="bottom"/>
          </w:tcPr>
          <w:p>
            <w:pPr>
              <w:jc w:val="right"/>
              <w:ind w:right="14"/>
              <w:spacing w:after="0"/>
              <w:rPr>
                <w:sz w:val="20"/>
                <w:szCs w:val="20"/>
                <w:color w:val="auto"/>
              </w:rPr>
            </w:pPr>
            <w:r>
              <w:rPr>
                <w:rFonts w:ascii="Arial" w:cs="Arial" w:eastAsia="Arial" w:hAnsi="Arial"/>
                <w:sz w:val="18"/>
                <w:szCs w:val="18"/>
                <w:color w:val="auto"/>
              </w:rPr>
              <w:t>744</w:t>
            </w: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1,153</w:t>
            </w: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(409)</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175"/>
        </w:trPr>
        <w:tc>
          <w:tcPr>
            <w:tcW w:w="5080" w:type="dxa"/>
            <w:vAlign w:val="bottom"/>
            <w:shd w:val="clear" w:color="auto" w:fill="CCEEFF"/>
          </w:tcPr>
          <w:p>
            <w:pPr>
              <w:ind w:left="560"/>
              <w:spacing w:after="0" w:line="176" w:lineRule="exact"/>
              <w:rPr>
                <w:sz w:val="20"/>
                <w:szCs w:val="20"/>
                <w:color w:val="auto"/>
              </w:rPr>
            </w:pPr>
            <w:r>
              <w:rPr>
                <w:rFonts w:ascii="Arial" w:cs="Arial" w:eastAsia="Arial" w:hAnsi="Arial"/>
                <w:sz w:val="18"/>
                <w:szCs w:val="18"/>
                <w:color w:val="auto"/>
              </w:rPr>
              <w:t>Net earnings attributable to</w:t>
            </w:r>
          </w:p>
        </w:tc>
        <w:tc>
          <w:tcPr>
            <w:tcW w:w="880" w:type="dxa"/>
            <w:vAlign w:val="bottom"/>
            <w:shd w:val="clear" w:color="auto" w:fill="CCEEFF"/>
          </w:tcPr>
          <w:p>
            <w:pPr>
              <w:spacing w:after="0"/>
              <w:rPr>
                <w:sz w:val="15"/>
                <w:szCs w:val="15"/>
                <w:color w:val="auto"/>
              </w:rPr>
            </w:pPr>
          </w:p>
        </w:tc>
        <w:tc>
          <w:tcPr>
            <w:tcW w:w="56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743</w:t>
            </w:r>
          </w:p>
        </w:tc>
        <w:tc>
          <w:tcPr>
            <w:tcW w:w="40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853</w:t>
            </w:r>
          </w:p>
        </w:tc>
        <w:tc>
          <w:tcPr>
            <w:tcW w:w="48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CEEFF"/>
          </w:tcPr>
          <w:p>
            <w:pPr>
              <w:spacing w:after="0"/>
              <w:rPr>
                <w:sz w:val="15"/>
                <w:szCs w:val="15"/>
                <w:color w:val="auto"/>
              </w:rPr>
            </w:pPr>
          </w:p>
        </w:tc>
        <w:tc>
          <w:tcPr>
            <w:tcW w:w="1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43"/>
        </w:trPr>
        <w:tc>
          <w:tcPr>
            <w:tcW w:w="50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Mondelēz International</w:t>
            </w:r>
          </w:p>
        </w:tc>
        <w:tc>
          <w:tcPr>
            <w:tcW w:w="880" w:type="dxa"/>
            <w:vAlign w:val="bottom"/>
            <w:shd w:val="clear" w:color="auto" w:fill="CCEEFF"/>
          </w:tcPr>
          <w:p>
            <w:pPr>
              <w:spacing w:after="0"/>
              <w:rPr>
                <w:sz w:val="21"/>
                <w:szCs w:val="21"/>
                <w:color w:val="auto"/>
              </w:rPr>
            </w:pPr>
          </w:p>
        </w:tc>
        <w:tc>
          <w:tcPr>
            <w:tcW w:w="560" w:type="dxa"/>
            <w:vAlign w:val="bottom"/>
            <w:vMerge w:val="continue"/>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100" w:type="dxa"/>
            <w:vAlign w:val="bottom"/>
            <w:vMerge w:val="continue"/>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8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5080" w:type="dxa"/>
            <w:vAlign w:val="bottom"/>
          </w:tcPr>
          <w:p>
            <w:pPr>
              <w:ind w:left="560"/>
              <w:spacing w:after="0" w:line="176" w:lineRule="exact"/>
              <w:rPr>
                <w:sz w:val="20"/>
                <w:szCs w:val="20"/>
                <w:color w:val="auto"/>
              </w:rPr>
            </w:pPr>
            <w:r>
              <w:rPr>
                <w:rFonts w:ascii="Arial" w:cs="Arial" w:eastAsia="Arial" w:hAnsi="Arial"/>
                <w:sz w:val="18"/>
                <w:szCs w:val="18"/>
                <w:color w:val="auto"/>
              </w:rPr>
              <w:t>Diluted earnings per share attributable to</w:t>
            </w:r>
          </w:p>
        </w:tc>
        <w:tc>
          <w:tcPr>
            <w:tcW w:w="880" w:type="dxa"/>
            <w:vAlign w:val="bottom"/>
          </w:tcPr>
          <w:p>
            <w:pPr>
              <w:spacing w:after="0"/>
              <w:rPr>
                <w:sz w:val="15"/>
                <w:szCs w:val="15"/>
                <w:color w:val="auto"/>
              </w:rPr>
            </w:pPr>
          </w:p>
        </w:tc>
        <w:tc>
          <w:tcPr>
            <w:tcW w:w="560" w:type="dxa"/>
            <w:vAlign w:val="bottom"/>
            <w:vMerge w:val="restart"/>
          </w:tcPr>
          <w:p>
            <w:pPr>
              <w:jc w:val="right"/>
              <w:ind w:right="14"/>
              <w:spacing w:after="0"/>
              <w:rPr>
                <w:sz w:val="20"/>
                <w:szCs w:val="20"/>
                <w:color w:val="auto"/>
              </w:rPr>
            </w:pPr>
            <w:r>
              <w:rPr>
                <w:rFonts w:ascii="Arial" w:cs="Arial" w:eastAsia="Arial" w:hAnsi="Arial"/>
                <w:sz w:val="18"/>
                <w:szCs w:val="18"/>
                <w:color w:val="auto"/>
              </w:rPr>
              <w:t>0.57</w:t>
            </w:r>
          </w:p>
        </w:tc>
        <w:tc>
          <w:tcPr>
            <w:tcW w:w="40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0.63</w:t>
            </w:r>
          </w:p>
        </w:tc>
        <w:tc>
          <w:tcPr>
            <w:tcW w:w="48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(0.06)</w:t>
            </w:r>
          </w:p>
        </w:tc>
        <w:tc>
          <w:tcPr>
            <w:tcW w:w="100" w:type="dxa"/>
            <w:vAlign w:val="bottom"/>
          </w:tcPr>
          <w:p>
            <w:pPr>
              <w:spacing w:after="0"/>
              <w:rPr>
                <w:sz w:val="15"/>
                <w:szCs w:val="15"/>
                <w:color w:val="auto"/>
              </w:rPr>
            </w:pPr>
          </w:p>
        </w:tc>
        <w:tc>
          <w:tcPr>
            <w:tcW w:w="1580" w:type="dxa"/>
            <w:vAlign w:val="bottom"/>
            <w:vMerge w:val="restart"/>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47"/>
        </w:trPr>
        <w:tc>
          <w:tcPr>
            <w:tcW w:w="5080" w:type="dxa"/>
            <w:vAlign w:val="bottom"/>
          </w:tcPr>
          <w:p>
            <w:pPr>
              <w:ind w:left="700"/>
              <w:spacing w:after="0"/>
              <w:rPr>
                <w:sz w:val="20"/>
                <w:szCs w:val="20"/>
                <w:color w:val="auto"/>
              </w:rPr>
            </w:pPr>
            <w:r>
              <w:rPr>
                <w:rFonts w:ascii="Arial" w:cs="Arial" w:eastAsia="Arial" w:hAnsi="Arial"/>
                <w:sz w:val="18"/>
                <w:szCs w:val="18"/>
                <w:color w:val="auto"/>
              </w:rPr>
              <w:t>Mondelēz International</w:t>
            </w:r>
          </w:p>
        </w:tc>
        <w:tc>
          <w:tcPr>
            <w:tcW w:w="880" w:type="dxa"/>
            <w:vAlign w:val="bottom"/>
          </w:tcPr>
          <w:p>
            <w:pPr>
              <w:spacing w:after="0"/>
              <w:rPr>
                <w:sz w:val="21"/>
                <w:szCs w:val="21"/>
                <w:color w:val="auto"/>
              </w:rPr>
            </w:pPr>
          </w:p>
        </w:tc>
        <w:tc>
          <w:tcPr>
            <w:tcW w:w="560" w:type="dxa"/>
            <w:vAlign w:val="bottom"/>
            <w:vMerge w:val="continue"/>
          </w:tcPr>
          <w:p>
            <w:pPr>
              <w:spacing w:after="0"/>
              <w:rPr>
                <w:sz w:val="21"/>
                <w:szCs w:val="21"/>
                <w:color w:val="auto"/>
              </w:rPr>
            </w:pPr>
          </w:p>
        </w:tc>
        <w:tc>
          <w:tcPr>
            <w:tcW w:w="400" w:type="dxa"/>
            <w:vAlign w:val="bottom"/>
          </w:tcPr>
          <w:p>
            <w:pPr>
              <w:spacing w:after="0"/>
              <w:rPr>
                <w:sz w:val="21"/>
                <w:szCs w:val="21"/>
                <w:color w:val="auto"/>
              </w:rPr>
            </w:pPr>
          </w:p>
        </w:tc>
        <w:tc>
          <w:tcPr>
            <w:tcW w:w="1100" w:type="dxa"/>
            <w:vAlign w:val="bottom"/>
            <w:vMerge w:val="continue"/>
          </w:tcPr>
          <w:p>
            <w:pPr>
              <w:spacing w:after="0"/>
              <w:rPr>
                <w:sz w:val="21"/>
                <w:szCs w:val="21"/>
                <w:color w:val="auto"/>
              </w:rPr>
            </w:pPr>
          </w:p>
        </w:tc>
        <w:tc>
          <w:tcPr>
            <w:tcW w:w="480" w:type="dxa"/>
            <w:vAlign w:val="bottom"/>
          </w:tcPr>
          <w:p>
            <w:pPr>
              <w:spacing w:after="0"/>
              <w:rPr>
                <w:sz w:val="21"/>
                <w:szCs w:val="21"/>
                <w:color w:val="auto"/>
              </w:rPr>
            </w:pPr>
          </w:p>
        </w:tc>
        <w:tc>
          <w:tcPr>
            <w:tcW w:w="10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Net Revenues </w:t>
      </w:r>
      <w:r>
        <w:rPr>
          <w:rFonts w:ascii="Arial" w:cs="Arial" w:eastAsia="Arial" w:hAnsi="Arial"/>
          <w:sz w:val="18"/>
          <w:szCs w:val="18"/>
          <w:color w:val="auto"/>
        </w:rPr>
        <w:t>– Net revenues increased $540 million (5.9%) to $9,744 million in the third quarter of 2025, and Organic Net Revenue</w:t>
      </w:r>
    </w:p>
    <w:p>
      <w:pPr>
        <w:spacing w:after="0" w:line="27" w:lineRule="exact"/>
        <w:rPr>
          <w:sz w:val="20"/>
          <w:szCs w:val="20"/>
          <w:color w:val="auto"/>
        </w:rPr>
      </w:pPr>
    </w:p>
    <w:p>
      <w:pPr>
        <w:jc w:val="both"/>
        <w:ind w:firstLine="8"/>
        <w:spacing w:after="0" w:line="250" w:lineRule="auto"/>
        <w:tabs>
          <w:tab w:leader="none" w:pos="208" w:val="left"/>
        </w:tabs>
        <w:numPr>
          <w:ilvl w:val="0"/>
          <w:numId w:val="18"/>
        </w:numPr>
        <w:rPr>
          <w:rFonts w:ascii="Arial" w:cs="Arial" w:eastAsia="Arial" w:hAnsi="Arial"/>
          <w:sz w:val="11"/>
          <w:szCs w:val="11"/>
          <w:color w:val="auto"/>
        </w:rPr>
      </w:pPr>
      <w:r>
        <w:rPr>
          <w:rFonts w:ascii="Arial" w:cs="Arial" w:eastAsia="Arial" w:hAnsi="Arial"/>
          <w:sz w:val="18"/>
          <w:szCs w:val="18"/>
          <w:color w:val="auto"/>
        </w:rPr>
        <w:t xml:space="preserve">increased $316 million (3.4%) to $9,520 million. Emerging markets net revenues increased 9.9% and emerging markets Organic Net Revenue increased 7.1% </w:t>
      </w:r>
      <w:r>
        <w:rPr>
          <w:rFonts w:ascii="Arial" w:cs="Arial" w:eastAsia="Arial" w:hAnsi="Arial"/>
          <w:sz w:val="10"/>
          <w:szCs w:val="10"/>
          <w:color w:val="auto"/>
        </w:rPr>
        <w:t>(1)</w:t>
      </w:r>
      <w:r>
        <w:rPr>
          <w:rFonts w:ascii="Arial" w:cs="Arial" w:eastAsia="Arial" w:hAnsi="Arial"/>
          <w:sz w:val="18"/>
          <w:szCs w:val="18"/>
          <w:color w:val="auto"/>
        </w:rPr>
        <w:t>. Developed markets net revenues increased 3.3% and developed markets Organic Net Revenue increased 1.2%</w:t>
      </w:r>
    </w:p>
    <w:p>
      <w:pPr>
        <w:ind w:left="240" w:hanging="232"/>
        <w:spacing w:after="0"/>
        <w:tabs>
          <w:tab w:leader="none" w:pos="240" w:val="left"/>
        </w:tabs>
        <w:numPr>
          <w:ilvl w:val="0"/>
          <w:numId w:val="19"/>
        </w:numPr>
        <w:rPr>
          <w:rFonts w:ascii="Arial" w:cs="Arial" w:eastAsia="Arial" w:hAnsi="Arial"/>
          <w:sz w:val="11"/>
          <w:szCs w:val="11"/>
          <w:color w:val="auto"/>
        </w:rPr>
      </w:pPr>
      <w:r>
        <w:rPr>
          <w:rFonts w:ascii="Arial" w:cs="Arial" w:eastAsia="Arial" w:hAnsi="Arial"/>
          <w:sz w:val="18"/>
          <w:szCs w:val="18"/>
          <w:color w:val="auto"/>
        </w:rPr>
        <w:t>The underlying changes in net revenues and Organic Net Revenue are detailed below:</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b w:val="1"/>
                <w:bCs w:val="1"/>
                <w:color w:val="auto"/>
              </w:rPr>
              <w:t>Emerging</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b w:val="1"/>
                <w:bCs w:val="1"/>
                <w:color w:val="auto"/>
              </w:rPr>
              <w:t>Developed</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ind w:right="110"/>
              <w:spacing w:after="0"/>
              <w:rPr>
                <w:sz w:val="20"/>
                <w:szCs w:val="20"/>
                <w:color w:val="auto"/>
              </w:rPr>
            </w:pPr>
            <w:r>
              <w:rPr>
                <w:rFonts w:ascii="Arial" w:cs="Arial" w:eastAsia="Arial" w:hAnsi="Arial"/>
                <w:sz w:val="18"/>
                <w:szCs w:val="18"/>
                <w:b w:val="1"/>
                <w:bCs w:val="1"/>
                <w:color w:val="auto"/>
              </w:rPr>
              <w:t>Mondelēz</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tcPr>
          <w:p>
            <w:pPr>
              <w:spacing w:after="0"/>
              <w:rPr>
                <w:sz w:val="21"/>
                <w:szCs w:val="21"/>
                <w:color w:val="auto"/>
              </w:rPr>
            </w:pPr>
          </w:p>
        </w:tc>
        <w:tc>
          <w:tcPr>
            <w:tcW w:w="880" w:type="dxa"/>
            <w:vAlign w:val="bottom"/>
            <w:tcBorders>
              <w:bottom w:val="single" w:sz="8" w:color="CCEEFF"/>
            </w:tcBorders>
          </w:tcPr>
          <w:p>
            <w:pPr>
              <w:spacing w:after="0"/>
              <w:rPr>
                <w:sz w:val="21"/>
                <w:szCs w:val="21"/>
                <w:color w:val="auto"/>
              </w:rPr>
            </w:pPr>
          </w:p>
        </w:tc>
        <w:tc>
          <w:tcPr>
            <w:tcW w:w="2640" w:type="dxa"/>
            <w:vAlign w:val="bottom"/>
            <w:tcBorders>
              <w:bottom w:val="single" w:sz="8" w:color="CCEEFF"/>
            </w:tcBorders>
          </w:tcPr>
          <w:p>
            <w:pPr>
              <w:spacing w:after="0"/>
              <w:rPr>
                <w:sz w:val="21"/>
                <w:szCs w:val="21"/>
                <w:color w:val="auto"/>
              </w:rPr>
            </w:pPr>
          </w:p>
        </w:tc>
        <w:tc>
          <w:tcPr>
            <w:tcW w:w="27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Markets</w:t>
            </w:r>
          </w:p>
        </w:tc>
        <w:tc>
          <w:tcPr>
            <w:tcW w:w="20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Markets</w:t>
            </w:r>
          </w:p>
        </w:tc>
        <w:tc>
          <w:tcPr>
            <w:tcW w:w="2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International</w:t>
            </w:r>
          </w:p>
        </w:tc>
        <w:tc>
          <w:tcPr>
            <w:tcW w:w="2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0" w:type="dxa"/>
            <w:vAlign w:val="bottom"/>
            <w:tcBorders>
              <w:bottom w:val="single" w:sz="8" w:color="CCEEFF"/>
            </w:tcBorders>
            <w:shd w:val="clear" w:color="auto" w:fill="CCEEFF"/>
          </w:tcPr>
          <w:p>
            <w:pPr>
              <w:spacing w:after="0"/>
              <w:rPr>
                <w:sz w:val="16"/>
                <w:szCs w:val="16"/>
                <w:color w:val="auto"/>
              </w:rPr>
            </w:pPr>
          </w:p>
        </w:tc>
        <w:tc>
          <w:tcPr>
            <w:tcW w:w="3520" w:type="dxa"/>
            <w:vAlign w:val="bottom"/>
            <w:tcBorders>
              <w:bottom w:val="single" w:sz="8" w:color="auto"/>
            </w:tcBorders>
            <w:gridSpan w:val="2"/>
            <w:shd w:val="clear" w:color="auto" w:fill="CCEEFF"/>
          </w:tcPr>
          <w:p>
            <w:pPr>
              <w:spacing w:after="0" w:line="169" w:lineRule="exact"/>
              <w:rPr>
                <w:sz w:val="20"/>
                <w:szCs w:val="20"/>
                <w:color w:val="auto"/>
              </w:rPr>
            </w:pPr>
            <w:r>
              <w:rPr>
                <w:rFonts w:ascii="Arial" w:cs="Arial" w:eastAsia="Arial" w:hAnsi="Arial"/>
                <w:sz w:val="18"/>
                <w:szCs w:val="18"/>
                <w:b w:val="1"/>
                <w:bCs w:val="1"/>
                <w:color w:val="auto"/>
                <w:w w:val="99"/>
              </w:rPr>
              <w:t>Three Months Ended September 30, 2025</w:t>
            </w:r>
          </w:p>
        </w:tc>
        <w:tc>
          <w:tcPr>
            <w:tcW w:w="27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220" w:type="dxa"/>
            <w:vAlign w:val="bottom"/>
            <w:gridSpan w:val="3"/>
          </w:tcPr>
          <w:p>
            <w:pPr>
              <w:spacing w:after="0"/>
              <w:rPr>
                <w:sz w:val="20"/>
                <w:szCs w:val="20"/>
                <w:color w:val="auto"/>
              </w:rPr>
            </w:pPr>
            <w:r>
              <w:rPr>
                <w:rFonts w:ascii="Arial" w:cs="Arial" w:eastAsia="Arial" w:hAnsi="Arial"/>
                <w:sz w:val="18"/>
                <w:szCs w:val="18"/>
                <w:b w:val="1"/>
                <w:bCs w:val="1"/>
                <w:color w:val="auto"/>
              </w:rPr>
              <w:t>Reported (GAAP)</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3,881</w:t>
            </w:r>
          </w:p>
        </w:tc>
        <w:tc>
          <w:tcPr>
            <w:tcW w:w="54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5,863</w:t>
            </w:r>
          </w:p>
        </w:tc>
        <w:tc>
          <w:tcPr>
            <w:tcW w:w="52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9,744</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Acquisitions</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622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Currency-related items</w:t>
            </w: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2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2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Organic (Non-GAAP)</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3,780</w:t>
            </w:r>
          </w:p>
        </w:tc>
        <w:tc>
          <w:tcPr>
            <w:tcW w:w="20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5,740</w:t>
            </w:r>
          </w:p>
        </w:tc>
        <w:tc>
          <w:tcPr>
            <w:tcW w:w="2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9,520</w:t>
            </w:r>
          </w:p>
        </w:tc>
        <w:tc>
          <w:tcPr>
            <w:tcW w:w="20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6220" w:type="dxa"/>
            <w:vAlign w:val="bottom"/>
            <w:tcBorders>
              <w:top w:val="single" w:sz="8" w:color="CCEEFF"/>
              <w:bottom w:val="single" w:sz="8" w:color="CCEEFF"/>
            </w:tcBorders>
            <w:gridSpan w:val="3"/>
            <w:vMerge w:val="restart"/>
          </w:tcPr>
          <w:p>
            <w:pPr>
              <w:spacing w:after="0" w:line="176" w:lineRule="exact"/>
              <w:rPr>
                <w:sz w:val="20"/>
                <w:szCs w:val="20"/>
                <w:color w:val="auto"/>
              </w:rPr>
            </w:pPr>
            <w:r>
              <w:rPr>
                <w:rFonts w:ascii="Arial" w:cs="Arial" w:eastAsia="Arial" w:hAnsi="Arial"/>
                <w:sz w:val="18"/>
                <w:szCs w:val="18"/>
                <w:b w:val="1"/>
                <w:bCs w:val="1"/>
                <w:color w:val="auto"/>
              </w:rPr>
              <w:t>Three Months Ended September 30, 2024</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vMerge w:val="continue"/>
          </w:tcPr>
          <w:p>
            <w:pPr>
              <w:spacing w:after="0"/>
              <w:rPr>
                <w:sz w:val="11"/>
                <w:szCs w:val="11"/>
                <w:color w:val="auto"/>
              </w:rPr>
            </w:pPr>
          </w:p>
        </w:tc>
        <w:tc>
          <w:tcPr>
            <w:tcW w:w="6220" w:type="dxa"/>
            <w:vAlign w:val="bottom"/>
            <w:gridSpan w:val="3"/>
            <w:vMerge w:val="continue"/>
          </w:tcPr>
          <w:p>
            <w:pPr>
              <w:spacing w:after="0"/>
              <w:rPr>
                <w:sz w:val="11"/>
                <w:szCs w:val="11"/>
                <w:color w:val="auto"/>
              </w:rPr>
            </w:pPr>
          </w:p>
        </w:tc>
        <w:tc>
          <w:tcPr>
            <w:tcW w:w="2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2640" w:type="dxa"/>
            <w:vAlign w:val="bottom"/>
            <w:tcBorders>
              <w:top w:val="single" w:sz="8" w:color="auto"/>
            </w:tcBorders>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2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Reported (GAAP)</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3,530</w:t>
            </w:r>
          </w:p>
        </w:tc>
        <w:tc>
          <w:tcPr>
            <w:tcW w:w="54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5,674</w:t>
            </w: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9,204</w:t>
            </w: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622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No adjusting items</w:t>
            </w: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2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Organic (Non-GAAP)</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3,530</w:t>
            </w:r>
          </w:p>
        </w:tc>
        <w:tc>
          <w:tcPr>
            <w:tcW w:w="20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5,674</w:t>
            </w:r>
          </w:p>
        </w:tc>
        <w:tc>
          <w:tcPr>
            <w:tcW w:w="2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9,204</w:t>
            </w:r>
          </w:p>
        </w:tc>
        <w:tc>
          <w:tcPr>
            <w:tcW w:w="20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6220" w:type="dxa"/>
            <w:vAlign w:val="bottom"/>
            <w:tcBorders>
              <w:top w:val="single" w:sz="8" w:color="CCEEFF"/>
              <w:bottom w:val="single" w:sz="8" w:color="CCEEFF"/>
            </w:tcBorders>
            <w:gridSpan w:val="3"/>
            <w:vMerge w:val="restart"/>
          </w:tcPr>
          <w:p>
            <w:pPr>
              <w:spacing w:after="0" w:line="176" w:lineRule="exact"/>
              <w:rPr>
                <w:sz w:val="20"/>
                <w:szCs w:val="20"/>
                <w:color w:val="auto"/>
              </w:rPr>
            </w:pPr>
            <w:r>
              <w:rPr>
                <w:rFonts w:ascii="Arial" w:cs="Arial" w:eastAsia="Arial" w:hAnsi="Arial"/>
                <w:sz w:val="18"/>
                <w:szCs w:val="18"/>
                <w:b w:val="1"/>
                <w:bCs w:val="1"/>
                <w:color w:val="auto"/>
              </w:rPr>
              <w:t>% Change</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vMerge w:val="continue"/>
          </w:tcPr>
          <w:p>
            <w:pPr>
              <w:spacing w:after="0"/>
              <w:rPr>
                <w:sz w:val="11"/>
                <w:szCs w:val="11"/>
                <w:color w:val="auto"/>
              </w:rPr>
            </w:pPr>
          </w:p>
        </w:tc>
        <w:tc>
          <w:tcPr>
            <w:tcW w:w="6220" w:type="dxa"/>
            <w:vAlign w:val="bottom"/>
            <w:gridSpan w:val="3"/>
            <w:vMerge w:val="continue"/>
          </w:tcPr>
          <w:p>
            <w:pPr>
              <w:spacing w:after="0"/>
              <w:rPr>
                <w:sz w:val="11"/>
                <w:szCs w:val="11"/>
                <w:color w:val="auto"/>
              </w:rPr>
            </w:pPr>
          </w:p>
        </w:tc>
        <w:tc>
          <w:tcPr>
            <w:tcW w:w="2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2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Reported (GAAP)</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9.9</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5.9</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20" w:type="dxa"/>
            <w:vAlign w:val="bottom"/>
            <w:gridSpan w:val="3"/>
          </w:tcPr>
          <w:p>
            <w:pPr>
              <w:spacing w:after="0"/>
              <w:rPr>
                <w:sz w:val="20"/>
                <w:szCs w:val="20"/>
                <w:color w:val="auto"/>
              </w:rPr>
            </w:pPr>
            <w:r>
              <w:rPr>
                <w:rFonts w:ascii="Arial" w:cs="Arial" w:eastAsia="Arial" w:hAnsi="Arial"/>
                <w:sz w:val="18"/>
                <w:szCs w:val="18"/>
                <w:color w:val="auto"/>
              </w:rPr>
              <w:t>Acquisitions</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Currency-related items</w:t>
            </w: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0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20" w:type="dxa"/>
            <w:vAlign w:val="bottom"/>
            <w:gridSpan w:val="3"/>
          </w:tcPr>
          <w:p>
            <w:pPr>
              <w:spacing w:after="0"/>
              <w:rPr>
                <w:sz w:val="20"/>
                <w:szCs w:val="20"/>
                <w:color w:val="auto"/>
              </w:rPr>
            </w:pPr>
            <w:r>
              <w:rPr>
                <w:rFonts w:ascii="Arial" w:cs="Arial" w:eastAsia="Arial" w:hAnsi="Arial"/>
                <w:sz w:val="18"/>
                <w:szCs w:val="18"/>
                <w:b w:val="1"/>
                <w:bCs w:val="1"/>
                <w:color w:val="auto"/>
              </w:rPr>
              <w:t>Organic (Non-GAAP)</w:t>
            </w: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2640" w:type="dxa"/>
            <w:vAlign w:val="bottom"/>
            <w:tcBorders>
              <w:bottom w:val="single" w:sz="8" w:color="CCEEFF"/>
            </w:tcBorders>
          </w:tcPr>
          <w:p>
            <w:pPr>
              <w:spacing w:after="0" w:line="20" w:lineRule="exact"/>
              <w:rPr>
                <w:sz w:val="1"/>
                <w:szCs w:val="1"/>
                <w:color w:val="auto"/>
              </w:rPr>
            </w:pPr>
          </w:p>
        </w:tc>
        <w:tc>
          <w:tcPr>
            <w:tcW w:w="27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Vol/Mix</w:t>
            </w:r>
          </w:p>
        </w:tc>
        <w:tc>
          <w:tcPr>
            <w:tcW w:w="2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(4.7)pp</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(4.5)pp</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(4.6)pp</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6220" w:type="dxa"/>
            <w:vAlign w:val="bottom"/>
            <w:gridSpan w:val="3"/>
          </w:tcPr>
          <w:p>
            <w:pPr>
              <w:spacing w:after="0"/>
              <w:rPr>
                <w:sz w:val="20"/>
                <w:szCs w:val="20"/>
                <w:color w:val="auto"/>
              </w:rPr>
            </w:pPr>
            <w:r>
              <w:rPr>
                <w:rFonts w:ascii="Arial" w:cs="Arial" w:eastAsia="Arial" w:hAnsi="Arial"/>
                <w:sz w:val="18"/>
                <w:szCs w:val="18"/>
                <w:color w:val="auto"/>
              </w:rPr>
              <w:t>Pricing</w:t>
            </w:r>
          </w:p>
        </w:tc>
        <w:tc>
          <w:tcPr>
            <w:tcW w:w="2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11.8</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5.7</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8.0</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(1)</w:t>
        <w:tab/>
        <w:t xml:space="preserve">Refer to the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section above for additional information.</w:t>
      </w:r>
    </w:p>
    <w:p>
      <w:pPr>
        <w:spacing w:after="0" w:line="23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Net revenue increase of 5.9% was driven by our underlying Organic Net Revenue growth of 3.4%, favorable currency-related items and the impact of an acquisition. Organic Net Revenue growth was driven by higher net pricing, partially offset by unfavorable volume/mix. Higher net pricing was due to the benefit of carryover pricing from 2024 as well as the effects of input cost-driven pricing actions taken during the first nine months of 2025. Higher net pricing was reflected in all regions. Unfavorable volume/mix was experienced across all regions, driven by pricing elasticity impacts in Europe, Latin America and AMEA, as well as soft consumption in North America. Currency-related items increased net revenues by $137 million, driven by favorable currency translation rate changes and the impact of extreme pricing in Argentina. Refer to </w:t>
      </w:r>
      <w:r>
        <w:rPr>
          <w:rFonts w:ascii="Arial" w:cs="Arial" w:eastAsia="Arial" w:hAnsi="Arial"/>
          <w:sz w:val="18"/>
          <w:szCs w:val="18"/>
          <w:i w:val="1"/>
          <w:iCs w:val="1"/>
          <w:color w:val="auto"/>
        </w:rPr>
        <w:t>Recent Developments and Significant Items Affecting Comparability</w:t>
      </w:r>
      <w:r>
        <w:rPr>
          <w:rFonts w:ascii="Arial" w:cs="Arial" w:eastAsia="Arial" w:hAnsi="Arial"/>
          <w:sz w:val="18"/>
          <w:szCs w:val="18"/>
          <w:color w:val="auto"/>
        </w:rPr>
        <w:t xml:space="preserve"> for additional information. Favorable currency translation rate changes were due to the strength of several currencies relative to the U.S. dollar, primarily the euro, Russian ruble, British pound sterling, Polish zloty, Brazilian real, Mexican peso and Swedish krona, partially offset by the strength of the U.S. dollar relative to several currencies, primarily the Argentinean peso, Indian rupee and Turkish lira. The November 1, 2024 acquisition of Evirth added incremental net revenues of $87 million (constant currency basis) in the third quarter of 2025. Refer to Note 2, </w:t>
      </w:r>
      <w:r>
        <w:rPr>
          <w:rFonts w:ascii="Arial" w:cs="Arial" w:eastAsia="Arial" w:hAnsi="Arial"/>
          <w:sz w:val="18"/>
          <w:szCs w:val="18"/>
          <w:i w:val="1"/>
          <w:iCs w:val="1"/>
          <w:color w:val="auto"/>
        </w:rPr>
        <w:t>Acquisitions and Divestitures,</w:t>
      </w:r>
      <w:r>
        <w:rPr>
          <w:rFonts w:ascii="Arial" w:cs="Arial" w:eastAsia="Arial" w:hAnsi="Arial"/>
          <w:sz w:val="18"/>
          <w:szCs w:val="18"/>
          <w:color w:val="auto"/>
        </w:rPr>
        <w:t xml:space="preserve"> for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6845935</wp:posOffset>
            </wp:positionH>
            <wp:positionV relativeFrom="paragraph">
              <wp:posOffset>179070</wp:posOffset>
            </wp:positionV>
            <wp:extent cx="282575" cy="18859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279400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 xml:space="preserve">Operating Income </w:t>
      </w:r>
      <w:r>
        <w:rPr>
          <w:rFonts w:ascii="Arial" w:cs="Arial" w:eastAsia="Arial" w:hAnsi="Arial"/>
          <w:sz w:val="18"/>
          <w:szCs w:val="18"/>
          <w:color w:val="auto"/>
        </w:rPr>
        <w:t>– Operating income decreased $409 million (35.5%) to $744 million in the third quarter of 2025. Adjusted Operating</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Income </w:t>
      </w:r>
      <w:r>
        <w:rPr>
          <w:rFonts w:ascii="Arial" w:cs="Arial" w:eastAsia="Arial" w:hAnsi="Arial"/>
          <w:sz w:val="10"/>
          <w:szCs w:val="10"/>
          <w:color w:val="auto"/>
        </w:rPr>
        <w:t>(1)</w:t>
      </w:r>
      <w:r>
        <w:rPr>
          <w:rFonts w:ascii="Arial" w:cs="Arial" w:eastAsia="Arial" w:hAnsi="Arial"/>
          <w:sz w:val="18"/>
          <w:szCs w:val="18"/>
          <w:color w:val="auto"/>
        </w:rPr>
        <w:t xml:space="preserve"> decreased $567 million (32.6%) to $1,171 million and Adjusted Operating Income on a constant currency basis </w:t>
      </w:r>
      <w:r>
        <w:rPr>
          <w:rFonts w:ascii="Arial" w:cs="Arial" w:eastAsia="Arial" w:hAnsi="Arial"/>
          <w:sz w:val="10"/>
          <w:szCs w:val="10"/>
          <w:color w:val="auto"/>
        </w:rPr>
        <w:t>(1)</w:t>
      </w:r>
      <w:r>
        <w:rPr>
          <w:rFonts w:ascii="Arial" w:cs="Arial" w:eastAsia="Arial" w:hAnsi="Arial"/>
          <w:sz w:val="18"/>
          <w:szCs w:val="18"/>
          <w:color w:val="auto"/>
        </w:rPr>
        <w:t xml:space="preserve"> decreased $582 million (33.5%) to $1,156 million due to the following:</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0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rPr>
              <w:t>For the Three Months Ended</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89"/>
        </w:trPr>
        <w:tc>
          <w:tcPr>
            <w:tcW w:w="5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0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95"/>
        </w:trPr>
        <w:tc>
          <w:tcPr>
            <w:tcW w:w="59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rPr>
              <w:t>$ Change</w:t>
            </w:r>
          </w:p>
        </w:tc>
        <w:tc>
          <w:tcPr>
            <w:tcW w:w="1220" w:type="dxa"/>
            <w:vAlign w:val="bottom"/>
          </w:tcPr>
          <w:p>
            <w:pPr>
              <w:jc w:val="right"/>
              <w:ind w:right="195"/>
              <w:spacing w:after="0"/>
              <w:rPr>
                <w:sz w:val="20"/>
                <w:szCs w:val="20"/>
                <w:color w:val="auto"/>
              </w:rPr>
            </w:pPr>
            <w:r>
              <w:rPr>
                <w:rFonts w:ascii="Arial" w:cs="Arial" w:eastAsia="Arial" w:hAnsi="Arial"/>
                <w:sz w:val="14"/>
                <w:szCs w:val="14"/>
                <w:b w:val="1"/>
                <w:bCs w:val="1"/>
                <w:color w:val="auto"/>
              </w:rPr>
              <w:t>% Change</w:t>
            </w:r>
          </w:p>
        </w:tc>
      </w:tr>
      <w:tr>
        <w:trPr>
          <w:trHeight w:val="196"/>
        </w:trPr>
        <w:tc>
          <w:tcPr>
            <w:tcW w:w="59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r>
      <w:tr>
        <w:trPr>
          <w:trHeight w:val="231"/>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744</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1,153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8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(409)</w:t>
            </w: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(35.5)%</w:t>
            </w:r>
          </w:p>
        </w:tc>
      </w:tr>
      <w:tr>
        <w:trPr>
          <w:trHeight w:val="229"/>
        </w:trPr>
        <w:tc>
          <w:tcPr>
            <w:tcW w:w="5940" w:type="dxa"/>
            <w:vAlign w:val="bottom"/>
          </w:tcPr>
          <w:p>
            <w:pPr>
              <w:ind w:left="180"/>
              <w:spacing w:after="0"/>
              <w:rPr>
                <w:sz w:val="20"/>
                <w:szCs w:val="20"/>
                <w:color w:val="auto"/>
              </w:rPr>
            </w:pPr>
            <w:r>
              <w:rPr>
                <w:rFonts w:ascii="Arial" w:cs="Arial" w:eastAsia="Arial" w:hAnsi="Arial"/>
                <w:sz w:val="18"/>
                <w:szCs w:val="18"/>
                <w:color w:val="auto"/>
              </w:rPr>
              <w:t>Simplify to Grow Program</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Intangible asset impairment charges</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5940" w:type="dxa"/>
            <w:vAlign w:val="bottom"/>
          </w:tcPr>
          <w:p>
            <w:pPr>
              <w:ind w:left="180"/>
              <w:spacing w:after="0"/>
              <w:rPr>
                <w:sz w:val="20"/>
                <w:szCs w:val="20"/>
                <w:color w:val="auto"/>
              </w:rPr>
            </w:pPr>
            <w:r>
              <w:rPr>
                <w:rFonts w:ascii="Arial" w:cs="Arial" w:eastAsia="Arial" w:hAnsi="Arial"/>
                <w:sz w:val="18"/>
                <w:szCs w:val="18"/>
                <w:color w:val="auto"/>
              </w:rPr>
              <w:t>Mark-to-market losses from derivatives</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710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(362)</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Acquisition-related items</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5940" w:type="dxa"/>
            <w:vAlign w:val="bottom"/>
          </w:tcPr>
          <w:p>
            <w:pPr>
              <w:ind w:left="180"/>
              <w:spacing w:after="0"/>
              <w:rPr>
                <w:sz w:val="20"/>
                <w:szCs w:val="20"/>
                <w:color w:val="auto"/>
              </w:rPr>
            </w:pPr>
            <w:r>
              <w:rPr>
                <w:rFonts w:ascii="Arial" w:cs="Arial" w:eastAsia="Arial" w:hAnsi="Arial"/>
                <w:sz w:val="18"/>
                <w:szCs w:val="18"/>
                <w:color w:val="auto"/>
              </w:rPr>
              <w:t>Divestiture-related items</w:t>
            </w:r>
          </w:p>
        </w:tc>
        <w:tc>
          <w:tcPr>
            <w:tcW w:w="12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ERP System Implementation costs</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5940" w:type="dxa"/>
            <w:vAlign w:val="bottom"/>
          </w:tcPr>
          <w:p>
            <w:pPr>
              <w:ind w:left="180"/>
              <w:spacing w:after="0"/>
              <w:rPr>
                <w:sz w:val="20"/>
                <w:szCs w:val="20"/>
                <w:color w:val="auto"/>
              </w:rPr>
            </w:pPr>
            <w:r>
              <w:rPr>
                <w:rFonts w:ascii="Arial" w:cs="Arial" w:eastAsia="Arial" w:hAnsi="Arial"/>
                <w:sz w:val="18"/>
                <w:szCs w:val="18"/>
                <w:color w:val="auto"/>
              </w:rPr>
              <w:t>Remeasurement of net monetary position</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Pr>
          <w:p>
            <w:pPr>
              <w:spacing w:after="0"/>
              <w:rPr>
                <w:sz w:val="19"/>
                <w:szCs w:val="19"/>
                <w:color w:val="auto"/>
              </w:rPr>
            </w:pPr>
          </w:p>
        </w:tc>
      </w:tr>
      <w:tr>
        <w:trPr>
          <w:trHeight w:val="230"/>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Impact from resolution of tax matters</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3"/>
        </w:trPr>
        <w:tc>
          <w:tcPr>
            <w:tcW w:w="5940" w:type="dxa"/>
            <w:vAlign w:val="bottom"/>
          </w:tcPr>
          <w:p>
            <w:pPr>
              <w:ind w:left="20"/>
              <w:spacing w:after="0" w:line="223" w:lineRule="exact"/>
              <w:rPr>
                <w:sz w:val="20"/>
                <w:szCs w:val="20"/>
                <w:color w:val="auto"/>
              </w:rPr>
            </w:pPr>
            <w:r>
              <w:rPr>
                <w:rFonts w:ascii="Arial" w:cs="Arial" w:eastAsia="Arial" w:hAnsi="Arial"/>
                <w:sz w:val="18"/>
                <w:szCs w:val="18"/>
                <w:b w:val="1"/>
                <w:bCs w:val="1"/>
                <w:color w:val="auto"/>
              </w:rPr>
              <w:t xml:space="preserve">Adjusted Operating Income </w:t>
            </w:r>
            <w:r>
              <w:rPr>
                <w:rFonts w:ascii="Arial" w:cs="Arial" w:eastAsia="Arial" w:hAnsi="Arial"/>
                <w:sz w:val="23"/>
                <w:szCs w:val="23"/>
                <w:b w:val="1"/>
                <w:bCs w:val="1"/>
                <w:color w:val="auto"/>
                <w:vertAlign w:val="superscript"/>
              </w:rPr>
              <w:t>(1)</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1,171</w:t>
            </w:r>
          </w:p>
        </w:tc>
        <w:tc>
          <w:tcPr>
            <w:tcW w:w="1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1,738</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(567)</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(32.6)%</w:t>
            </w:r>
          </w:p>
        </w:tc>
      </w:tr>
      <w:tr>
        <w:trPr>
          <w:trHeight w:val="230"/>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Currency-related items</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3"/>
        </w:trPr>
        <w:tc>
          <w:tcPr>
            <w:tcW w:w="5940" w:type="dxa"/>
            <w:vAlign w:val="bottom"/>
          </w:tcPr>
          <w:p>
            <w:pPr>
              <w:ind w:left="20"/>
              <w:spacing w:after="0" w:line="223" w:lineRule="exact"/>
              <w:rPr>
                <w:sz w:val="20"/>
                <w:szCs w:val="20"/>
                <w:color w:val="auto"/>
              </w:rPr>
            </w:pPr>
            <w:r>
              <w:rPr>
                <w:rFonts w:ascii="Arial" w:cs="Arial" w:eastAsia="Arial" w:hAnsi="Arial"/>
                <w:sz w:val="18"/>
                <w:szCs w:val="18"/>
                <w:b w:val="1"/>
                <w:bCs w:val="1"/>
                <w:color w:val="auto"/>
              </w:rPr>
              <w:t xml:space="preserve">Adjusted Operating Income (constant currency) </w:t>
            </w:r>
            <w:r>
              <w:rPr>
                <w:rFonts w:ascii="Arial" w:cs="Arial" w:eastAsia="Arial" w:hAnsi="Arial"/>
                <w:sz w:val="23"/>
                <w:szCs w:val="23"/>
                <w:b w:val="1"/>
                <w:bCs w:val="1"/>
                <w:color w:val="auto"/>
                <w:vertAlign w:val="superscript"/>
              </w:rPr>
              <w:t>(1)</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1,156</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1,738</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8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(582)</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(33.5)%</w:t>
            </w:r>
          </w:p>
        </w:tc>
      </w:tr>
      <w:tr>
        <w:trPr>
          <w:trHeight w:val="21"/>
        </w:trPr>
        <w:tc>
          <w:tcPr>
            <w:tcW w:w="5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546"/>
        </w:trPr>
        <w:tc>
          <w:tcPr>
            <w:tcW w:w="59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Key Drivers of Adjusted Operating Income (constant currency)</w:t>
            </w:r>
          </w:p>
        </w:tc>
        <w:tc>
          <w:tcPr>
            <w:tcW w:w="120" w:type="dxa"/>
            <w:vAlign w:val="bottom"/>
            <w:tcBorders>
              <w:bottom w:val="single" w:sz="8" w:color="auto"/>
            </w:tcBorders>
          </w:tcPr>
          <w:p>
            <w:pPr>
              <w:spacing w:after="0"/>
              <w:rPr>
                <w:sz w:val="24"/>
                <w:szCs w:val="24"/>
                <w:color w:val="auto"/>
              </w:rPr>
            </w:pPr>
          </w:p>
        </w:tc>
        <w:tc>
          <w:tcPr>
            <w:tcW w:w="11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1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4"/>
                <w:szCs w:val="14"/>
                <w:b w:val="1"/>
                <w:bCs w:val="1"/>
                <w:color w:val="auto"/>
              </w:rPr>
              <w:t>$ Change</w:t>
            </w:r>
          </w:p>
        </w:tc>
        <w:tc>
          <w:tcPr>
            <w:tcW w:w="1220" w:type="dxa"/>
            <w:vAlign w:val="bottom"/>
            <w:tcBorders>
              <w:bottom w:val="single" w:sz="8" w:color="CCEEFF"/>
            </w:tcBorders>
          </w:tcPr>
          <w:p>
            <w:pPr>
              <w:spacing w:after="0"/>
              <w:rPr>
                <w:sz w:val="24"/>
                <w:szCs w:val="24"/>
                <w:color w:val="auto"/>
              </w:rPr>
            </w:pPr>
          </w:p>
        </w:tc>
      </w:tr>
      <w:tr>
        <w:trPr>
          <w:trHeight w:val="224"/>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Higher net pricing</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739</w:t>
            </w:r>
          </w:p>
        </w:tc>
        <w:tc>
          <w:tcPr>
            <w:tcW w:w="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5940" w:type="dxa"/>
            <w:vAlign w:val="bottom"/>
          </w:tcPr>
          <w:p>
            <w:pPr>
              <w:ind w:left="180"/>
              <w:spacing w:after="0"/>
              <w:rPr>
                <w:sz w:val="20"/>
                <w:szCs w:val="20"/>
                <w:color w:val="auto"/>
              </w:rPr>
            </w:pPr>
            <w:r>
              <w:rPr>
                <w:rFonts w:ascii="Arial" w:cs="Arial" w:eastAsia="Arial" w:hAnsi="Arial"/>
                <w:sz w:val="18"/>
                <w:szCs w:val="18"/>
                <w:color w:val="auto"/>
              </w:rPr>
              <w:t>Higher input costs</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(1,255)</w:t>
            </w:r>
          </w:p>
        </w:tc>
        <w:tc>
          <w:tcPr>
            <w:tcW w:w="1220" w:type="dxa"/>
            <w:vAlign w:val="bottom"/>
          </w:tcPr>
          <w:p>
            <w:pPr>
              <w:spacing w:after="0"/>
              <w:rPr>
                <w:sz w:val="19"/>
                <w:szCs w:val="19"/>
                <w:color w:val="auto"/>
              </w:rPr>
            </w:pPr>
          </w:p>
        </w:tc>
      </w:tr>
      <w:tr>
        <w:trPr>
          <w:trHeight w:val="229"/>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Unfavorable volume/mix</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(294)</w:t>
            </w:r>
          </w:p>
        </w:tc>
        <w:tc>
          <w:tcPr>
            <w:tcW w:w="1220" w:type="dxa"/>
            <w:vAlign w:val="bottom"/>
            <w:shd w:val="clear" w:color="auto" w:fill="CCEEFF"/>
          </w:tcPr>
          <w:p>
            <w:pPr>
              <w:spacing w:after="0"/>
              <w:rPr>
                <w:sz w:val="19"/>
                <w:szCs w:val="19"/>
                <w:color w:val="auto"/>
              </w:rPr>
            </w:pPr>
          </w:p>
        </w:tc>
      </w:tr>
      <w:tr>
        <w:trPr>
          <w:trHeight w:val="230"/>
        </w:trPr>
        <w:tc>
          <w:tcPr>
            <w:tcW w:w="5940" w:type="dxa"/>
            <w:vAlign w:val="bottom"/>
          </w:tcPr>
          <w:p>
            <w:pPr>
              <w:ind w:left="180"/>
              <w:spacing w:after="0"/>
              <w:rPr>
                <w:sz w:val="20"/>
                <w:szCs w:val="20"/>
                <w:color w:val="auto"/>
              </w:rPr>
            </w:pPr>
            <w:r>
              <w:rPr>
                <w:rFonts w:ascii="Arial" w:cs="Arial" w:eastAsia="Arial" w:hAnsi="Arial"/>
                <w:sz w:val="18"/>
                <w:szCs w:val="18"/>
                <w:color w:val="auto"/>
              </w:rPr>
              <w:t>Lower selling, general and administrative expenses</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195</w:t>
            </w:r>
          </w:p>
        </w:tc>
        <w:tc>
          <w:tcPr>
            <w:tcW w:w="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Impact from acquisitions</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5940" w:type="dxa"/>
            <w:vAlign w:val="bottom"/>
          </w:tcPr>
          <w:p>
            <w:pPr>
              <w:ind w:left="180"/>
              <w:spacing w:after="0"/>
              <w:rPr>
                <w:sz w:val="20"/>
                <w:szCs w:val="20"/>
                <w:color w:val="auto"/>
              </w:rPr>
            </w:pPr>
            <w:r>
              <w:rPr>
                <w:rFonts w:ascii="Arial" w:cs="Arial" w:eastAsia="Arial" w:hAnsi="Arial"/>
                <w:sz w:val="18"/>
                <w:szCs w:val="18"/>
                <w:color w:val="auto"/>
              </w:rPr>
              <w:t>Lower amortization of intangible assets</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Lower fixed asset impairment charges</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c>
          <w:tcPr>
            <w:tcW w:w="40" w:type="dxa"/>
            <w:vAlign w:val="bottom"/>
            <w:tcBorders>
              <w:bottom w:val="single" w:sz="8" w:color="auto"/>
            </w:tcBorders>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3"/>
        </w:trPr>
        <w:tc>
          <w:tcPr>
            <w:tcW w:w="5940" w:type="dxa"/>
            <w:vAlign w:val="bottom"/>
          </w:tcPr>
          <w:p>
            <w:pPr>
              <w:ind w:left="20"/>
              <w:spacing w:after="0" w:line="223" w:lineRule="exact"/>
              <w:rPr>
                <w:sz w:val="20"/>
                <w:szCs w:val="20"/>
                <w:color w:val="auto"/>
              </w:rPr>
            </w:pPr>
            <w:r>
              <w:rPr>
                <w:rFonts w:ascii="Arial" w:cs="Arial" w:eastAsia="Arial" w:hAnsi="Arial"/>
                <w:sz w:val="18"/>
                <w:szCs w:val="18"/>
                <w:b w:val="1"/>
                <w:bCs w:val="1"/>
                <w:color w:val="auto"/>
              </w:rPr>
              <w:t xml:space="preserve">Total change in Adjusted Operating Income (constant currency) </w:t>
            </w:r>
            <w:r>
              <w:rPr>
                <w:rFonts w:ascii="Arial" w:cs="Arial" w:eastAsia="Arial" w:hAnsi="Arial"/>
                <w:sz w:val="23"/>
                <w:szCs w:val="23"/>
                <w:b w:val="1"/>
                <w:bCs w:val="1"/>
                <w:color w:val="auto"/>
                <w:vertAlign w:val="superscript"/>
              </w:rPr>
              <w:t>(1)</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rPr>
              <w:t>(582)</w:t>
            </w:r>
          </w:p>
        </w:tc>
        <w:tc>
          <w:tcPr>
            <w:tcW w:w="1220" w:type="dxa"/>
            <w:vAlign w:val="bottom"/>
          </w:tcPr>
          <w:p>
            <w:pPr>
              <w:spacing w:after="0"/>
              <w:rPr>
                <w:sz w:val="19"/>
                <w:szCs w:val="19"/>
                <w:color w:val="auto"/>
              </w:rPr>
            </w:pPr>
          </w:p>
        </w:tc>
      </w:tr>
      <w:tr>
        <w:trPr>
          <w:trHeight w:val="20"/>
        </w:trPr>
        <w:tc>
          <w:tcPr>
            <w:tcW w:w="5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bl>
    <w:p>
      <w:pPr>
        <w:spacing w:after="0" w:line="85"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(1)</w:t>
        <w:tab/>
        <w:t xml:space="preserve">Refer to the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section above for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6845935</wp:posOffset>
            </wp:positionH>
            <wp:positionV relativeFrom="paragraph">
              <wp:posOffset>194945</wp:posOffset>
            </wp:positionV>
            <wp:extent cx="282575" cy="18859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287655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During the third quarter of 2025, we realized higher net pricing, which was more than offset by increased input costs and unfavorable volume/mix. Higher net pricing, which included the carryover impact of pricing actions taken in 2024 as well as the effects of input cost-driven pricing actions taken during the first nine months of 2025, was reflected across all regions. The increase in input costs was driven by higher raw material costs, partially offset by lower manufacturing costs driven by productivity. Higher raw material costs were primarily due to higher cocoa, dairy, edible oils, packaging, nuts, grains and other ingredient costs, as well as unfavorable year-over-year currency exchange transaction costs on imported materials, partially offset by lower sugar and energy costs. Overall, unfavorable volume/mix was experienced across all regions, reflecting pricing elasticity impacts as well as biscuit &amp; baked snacks category softness in North America.</w:t>
      </w:r>
    </w:p>
    <w:p>
      <w:pPr>
        <w:spacing w:after="0" w:line="21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Total selling, general and administrative expenses increased $165 million from the third quarter of 2024, which was driven by a number of factors noted in the table above, including in part, an unfavorable year-over-year change in acquisition-related items, higher costs incurred for the ERP System Implementation program and the impact from an acquisition, partially offset by a favorable impact from the resolution of an indirect tax matter, a favorable currency-related impact to expenses and lapping prior-year implementation costs for the completed Simplify to Grow Program. Excluding these factors, selling, general and administrative expenses decreased $195 million from the third quarter of 2024. The decrease was driven primarily by lower advertising and consumer promotion costs and lower overhead costs.</w:t>
      </w:r>
    </w:p>
    <w:p>
      <w:pPr>
        <w:spacing w:after="0" w:line="20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Currency-related items increased operating income by $15 million due to favorable currency translation rate changes as the impact of extreme pricing in Argentina was immaterial. Favorable currency translation rate changes were primarily due to the strength of several currencies relative to the U.S. dollar, including the euro, Russian ruble, British pound sterling, Mexican peso and Brazilian real, partially offset by the strength of U.S. dollar relative to several currencies, including the Argentinean peso, Swiss franc and Turkish lira.</w:t>
      </w:r>
    </w:p>
    <w:p>
      <w:pPr>
        <w:spacing w:after="0" w:line="20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Operating income margin decreased from 12.5% in the third quarter of 2024 to 7.6% in the third quarter of 2025. The decrease in operating income margin was driven primarily by lower Adjusted Operating Income margin and an unfavorable year-over-year change in acquisition-related items, partially offset by a favorable year-over-year change in mark-to-market impacts from commodity and foreign currency derivatives and lower intangible asset impairment charges. Adjusted Operating Income margin decreased from 18.9% for the third quarter of 2024 to 12.0% for the third quarter of 2025. The decrease was driven primarily by higher raw material costs and unfavorable product mix, partially offset by higher net pricing, lower advertising and consumer promotion costs, lower manufacturing costs driven by productivity and lower overhead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6845935</wp:posOffset>
            </wp:positionH>
            <wp:positionV relativeFrom="paragraph">
              <wp:posOffset>170815</wp:posOffset>
            </wp:positionV>
            <wp:extent cx="282575" cy="18859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287655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 Our effective tax rate was 19.7% for the third quarter of 2025 as compared to 28.8% in the third quarter of 2024. The</w:t>
      </w:r>
      <w:r>
        <w:rPr>
          <w:rFonts w:ascii="Arial" w:cs="Arial" w:eastAsia="Arial" w:hAnsi="Arial"/>
          <w:sz w:val="18"/>
          <w:szCs w:val="18"/>
          <w:i w:val="1"/>
          <w:iCs w:val="1"/>
          <w:color w:val="auto"/>
        </w:rPr>
        <w:t xml:space="preserve"> </w:t>
      </w:r>
      <w:r>
        <w:rPr>
          <w:rFonts w:ascii="Arial" w:cs="Arial" w:eastAsia="Arial" w:hAnsi="Arial"/>
          <w:sz w:val="18"/>
          <w:szCs w:val="18"/>
          <w:color w:val="auto"/>
        </w:rPr>
        <w:t>decrease in our effective tax rate was primarily driven by a favorable jurisdictional mix of earnings, tax benefits related to the provision for final 2024 tax return filings, and the tax treatment of certain foreign pension assets.</w:t>
      </w:r>
    </w:p>
    <w:p>
      <w:pPr>
        <w:spacing w:after="0" w:line="198" w:lineRule="exact"/>
        <w:rPr>
          <w:sz w:val="20"/>
          <w:szCs w:val="20"/>
          <w:color w:val="auto"/>
        </w:rPr>
      </w:pPr>
    </w:p>
    <w:p>
      <w:pPr>
        <w:jc w:val="both"/>
        <w:spacing w:after="0" w:line="224" w:lineRule="auto"/>
        <w:rPr>
          <w:sz w:val="20"/>
          <w:szCs w:val="20"/>
          <w:color w:val="auto"/>
        </w:rPr>
      </w:pPr>
      <w:r>
        <w:rPr>
          <w:rFonts w:ascii="Arial" w:cs="Arial" w:eastAsia="Arial" w:hAnsi="Arial"/>
          <w:sz w:val="18"/>
          <w:szCs w:val="18"/>
          <w:i w:val="1"/>
          <w:iCs w:val="1"/>
          <w:color w:val="auto"/>
        </w:rPr>
        <w:t xml:space="preserve">Net Earnings and Earnings per Share Attributable to Mondelēz International </w:t>
      </w:r>
      <w:r>
        <w:rPr>
          <w:rFonts w:ascii="Arial" w:cs="Arial" w:eastAsia="Arial" w:hAnsi="Arial"/>
          <w:sz w:val="18"/>
          <w:szCs w:val="18"/>
          <w:color w:val="auto"/>
        </w:rPr>
        <w:t>– Net earnings attributable to Mondelēz International of $ 743</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million decreased by $110 million (12.9%) in the third quarter of 2025. Diluted EPS attributable to Mondelēz International was $0.57 in the third quarter of 2025, down $0.06 (9.5%) from the third quarter of 2024. Adjusted EPS </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was $0.73 in the third quarter of 2025, down $0.22 (23.2%) from the third quarter of 2024. Adjusted EPS on a constant currency basis </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was $0.72 in the third quarter of 2025, down $0.23</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(24.2%) from the third quarter of 2024.</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00" w:type="dxa"/>
            <w:vAlign w:val="bottom"/>
            <w:gridSpan w:val="5"/>
          </w:tcPr>
          <w:p>
            <w:pPr>
              <w:ind w:left="260"/>
              <w:spacing w:after="0"/>
              <w:rPr>
                <w:sz w:val="20"/>
                <w:szCs w:val="20"/>
                <w:color w:val="auto"/>
              </w:rPr>
            </w:pPr>
            <w:r>
              <w:rPr>
                <w:rFonts w:ascii="Arial" w:cs="Arial" w:eastAsia="Arial" w:hAnsi="Arial"/>
                <w:sz w:val="14"/>
                <w:szCs w:val="14"/>
                <w:b w:val="1"/>
                <w:bCs w:val="1"/>
                <w:color w:val="auto"/>
              </w:rPr>
              <w:t>For the Three Months Ended</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89"/>
        </w:trPr>
        <w:tc>
          <w:tcPr>
            <w:tcW w:w="59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95"/>
        </w:trPr>
        <w:tc>
          <w:tcPr>
            <w:tcW w:w="5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jc w:val="right"/>
              <w:ind w:right="393"/>
              <w:spacing w:after="0"/>
              <w:rPr>
                <w:sz w:val="20"/>
                <w:szCs w:val="20"/>
                <w:color w:val="auto"/>
              </w:rPr>
            </w:pPr>
            <w:r>
              <w:rPr>
                <w:rFonts w:ascii="Arial" w:cs="Arial" w:eastAsia="Arial" w:hAnsi="Arial"/>
                <w:sz w:val="14"/>
                <w:szCs w:val="14"/>
                <w:b w:val="1"/>
                <w:bCs w:val="1"/>
                <w:color w:val="auto"/>
              </w:rPr>
              <w:t>2025</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40" w:type="dxa"/>
            <w:vAlign w:val="bottom"/>
          </w:tcPr>
          <w:p>
            <w:pPr>
              <w:jc w:val="right"/>
              <w:ind w:right="411"/>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4"/>
          </w:tcPr>
          <w:p>
            <w:pPr>
              <w:ind w:left="100"/>
              <w:spacing w:after="0"/>
              <w:rPr>
                <w:sz w:val="20"/>
                <w:szCs w:val="20"/>
                <w:color w:val="auto"/>
              </w:rPr>
            </w:pPr>
            <w:r>
              <w:rPr>
                <w:rFonts w:ascii="Arial" w:cs="Arial" w:eastAsia="Arial" w:hAnsi="Arial"/>
                <w:sz w:val="14"/>
                <w:szCs w:val="14"/>
                <w:b w:val="1"/>
                <w:bCs w:val="1"/>
                <w:color w:val="auto"/>
              </w:rPr>
              <w:t>$ Change</w:t>
            </w:r>
          </w:p>
        </w:tc>
        <w:tc>
          <w:tcPr>
            <w:tcW w:w="1220" w:type="dxa"/>
            <w:vAlign w:val="bottom"/>
          </w:tcPr>
          <w:p>
            <w:pPr>
              <w:jc w:val="right"/>
              <w:ind w:right="195"/>
              <w:spacing w:after="0"/>
              <w:rPr>
                <w:sz w:val="20"/>
                <w:szCs w:val="20"/>
                <w:color w:val="auto"/>
              </w:rPr>
            </w:pPr>
            <w:r>
              <w:rPr>
                <w:rFonts w:ascii="Arial" w:cs="Arial" w:eastAsia="Arial" w:hAnsi="Arial"/>
                <w:sz w:val="14"/>
                <w:szCs w:val="14"/>
                <w:b w:val="1"/>
                <w:bCs w:val="1"/>
                <w:color w:val="auto"/>
              </w:rPr>
              <w:t>% Change</w:t>
            </w:r>
          </w:p>
        </w:tc>
      </w:tr>
      <w:tr>
        <w:trPr>
          <w:trHeight w:val="224"/>
        </w:trPr>
        <w:tc>
          <w:tcPr>
            <w:tcW w:w="5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Diluted EPS attributable to Mondelēz International</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0.57</w:t>
            </w:r>
          </w:p>
        </w:tc>
        <w:tc>
          <w:tcPr>
            <w:tcW w:w="12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0.63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8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(0.06)</w:t>
            </w:r>
          </w:p>
        </w:tc>
        <w:tc>
          <w:tcPr>
            <w:tcW w:w="10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(9.5)%</w:t>
            </w:r>
          </w:p>
        </w:tc>
      </w:tr>
      <w:tr>
        <w:trPr>
          <w:trHeight w:val="230"/>
        </w:trPr>
        <w:tc>
          <w:tcPr>
            <w:tcW w:w="5940" w:type="dxa"/>
            <w:vAlign w:val="bottom"/>
          </w:tcPr>
          <w:p>
            <w:pPr>
              <w:ind w:left="180"/>
              <w:spacing w:after="0"/>
              <w:rPr>
                <w:sz w:val="20"/>
                <w:szCs w:val="20"/>
                <w:color w:val="auto"/>
              </w:rPr>
            </w:pPr>
            <w:r>
              <w:rPr>
                <w:rFonts w:ascii="Arial" w:cs="Arial" w:eastAsia="Arial" w:hAnsi="Arial"/>
                <w:sz w:val="18"/>
                <w:szCs w:val="18"/>
                <w:color w:val="auto"/>
              </w:rPr>
              <w:t>Simplify to Grow Program</w:t>
            </w:r>
          </w:p>
        </w:tc>
        <w:tc>
          <w:tcPr>
            <w:tcW w:w="12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Intangible asset impairment charges</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5940" w:type="dxa"/>
            <w:vAlign w:val="bottom"/>
          </w:tcPr>
          <w:p>
            <w:pPr>
              <w:ind w:left="180"/>
              <w:spacing w:after="0"/>
              <w:rPr>
                <w:sz w:val="20"/>
                <w:szCs w:val="20"/>
                <w:color w:val="auto"/>
              </w:rPr>
            </w:pPr>
            <w:r>
              <w:rPr>
                <w:rFonts w:ascii="Arial" w:cs="Arial" w:eastAsia="Arial" w:hAnsi="Arial"/>
                <w:sz w:val="18"/>
                <w:szCs w:val="18"/>
                <w:color w:val="auto"/>
              </w:rPr>
              <w:t>Mark-to-market losses from derivatives</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0.21</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0.42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(0.21)</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Acquisition-related items</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5940" w:type="dxa"/>
            <w:vAlign w:val="bottom"/>
          </w:tcPr>
          <w:p>
            <w:pPr>
              <w:ind w:left="180"/>
              <w:spacing w:after="0"/>
              <w:rPr>
                <w:sz w:val="20"/>
                <w:szCs w:val="20"/>
                <w:color w:val="auto"/>
              </w:rPr>
            </w:pPr>
            <w:r>
              <w:rPr>
                <w:rFonts w:ascii="Arial" w:cs="Arial" w:eastAsia="Arial" w:hAnsi="Arial"/>
                <w:sz w:val="18"/>
                <w:szCs w:val="18"/>
                <w:color w:val="auto"/>
              </w:rPr>
              <w:t>Divestiture-related items</w:t>
            </w:r>
          </w:p>
        </w:tc>
        <w:tc>
          <w:tcPr>
            <w:tcW w:w="12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ERP System Implementation costs</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spacing w:after="0"/>
              <w:rPr>
                <w:sz w:val="19"/>
                <w:szCs w:val="19"/>
                <w:color w:val="auto"/>
              </w:rPr>
            </w:pPr>
          </w:p>
        </w:tc>
      </w:tr>
      <w:tr>
        <w:trPr>
          <w:trHeight w:val="230"/>
        </w:trPr>
        <w:tc>
          <w:tcPr>
            <w:tcW w:w="5940" w:type="dxa"/>
            <w:vAlign w:val="bottom"/>
          </w:tcPr>
          <w:p>
            <w:pPr>
              <w:ind w:left="180"/>
              <w:spacing w:after="0"/>
              <w:rPr>
                <w:sz w:val="20"/>
                <w:szCs w:val="20"/>
                <w:color w:val="auto"/>
              </w:rPr>
            </w:pPr>
            <w:r>
              <w:rPr>
                <w:rFonts w:ascii="Arial" w:cs="Arial" w:eastAsia="Arial" w:hAnsi="Arial"/>
                <w:sz w:val="18"/>
                <w:szCs w:val="18"/>
                <w:color w:val="auto"/>
              </w:rPr>
              <w:t>Remeasurement of net monetary position</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Pr>
          <w:p>
            <w:pPr>
              <w:spacing w:after="0"/>
              <w:rPr>
                <w:sz w:val="19"/>
                <w:szCs w:val="19"/>
                <w:color w:val="auto"/>
              </w:rPr>
            </w:pPr>
          </w:p>
        </w:tc>
      </w:tr>
      <w:tr>
        <w:trPr>
          <w:trHeight w:val="229"/>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Impact from pension participation changes</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5940" w:type="dxa"/>
            <w:vAlign w:val="bottom"/>
          </w:tcPr>
          <w:p>
            <w:pPr>
              <w:ind w:left="180"/>
              <w:spacing w:after="0"/>
              <w:rPr>
                <w:sz w:val="20"/>
                <w:szCs w:val="20"/>
                <w:color w:val="auto"/>
              </w:rPr>
            </w:pPr>
            <w:r>
              <w:rPr>
                <w:rFonts w:ascii="Arial" w:cs="Arial" w:eastAsia="Arial" w:hAnsi="Arial"/>
                <w:sz w:val="18"/>
                <w:szCs w:val="18"/>
                <w:color w:val="auto"/>
              </w:rPr>
              <w:t>Impact from resolution of tax matters</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(0.02)</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Initial impacts from enacted tax law changes</w:t>
            </w: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5940" w:type="dxa"/>
            <w:vAlign w:val="bottom"/>
          </w:tcPr>
          <w:p>
            <w:pPr>
              <w:ind w:left="180"/>
              <w:spacing w:after="0"/>
              <w:rPr>
                <w:sz w:val="20"/>
                <w:szCs w:val="20"/>
                <w:color w:val="auto"/>
              </w:rPr>
            </w:pPr>
            <w:r>
              <w:rPr>
                <w:rFonts w:ascii="Arial" w:cs="Arial" w:eastAsia="Arial" w:hAnsi="Arial"/>
                <w:sz w:val="18"/>
                <w:szCs w:val="18"/>
                <w:color w:val="auto"/>
              </w:rPr>
              <w:t>Gain on equity method investment transactions</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(0.13)</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(0.13)</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3"/>
        </w:trPr>
        <w:tc>
          <w:tcPr>
            <w:tcW w:w="5940" w:type="dxa"/>
            <w:vAlign w:val="bottom"/>
            <w:tcBorders>
              <w:top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b w:val="1"/>
                <w:bCs w:val="1"/>
                <w:color w:val="auto"/>
              </w:rPr>
              <w:t xml:space="preserve">Adjusted EPS </w:t>
            </w:r>
            <w:r>
              <w:rPr>
                <w:rFonts w:ascii="Arial" w:cs="Arial" w:eastAsia="Arial" w:hAnsi="Arial"/>
                <w:sz w:val="23"/>
                <w:szCs w:val="23"/>
                <w:b w:val="1"/>
                <w:bCs w:val="1"/>
                <w:color w:val="auto"/>
                <w:vertAlign w:val="superscript"/>
              </w:rPr>
              <w:t>(1)</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0.73</w:t>
            </w:r>
          </w:p>
        </w:tc>
        <w:tc>
          <w:tcPr>
            <w:tcW w:w="12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0.95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8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(0.22)</w:t>
            </w:r>
          </w:p>
        </w:tc>
        <w:tc>
          <w:tcPr>
            <w:tcW w:w="10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(23.2)%</w:t>
            </w:r>
          </w:p>
        </w:tc>
      </w:tr>
      <w:tr>
        <w:trPr>
          <w:trHeight w:val="230"/>
        </w:trPr>
        <w:tc>
          <w:tcPr>
            <w:tcW w:w="5940" w:type="dxa"/>
            <w:vAlign w:val="bottom"/>
          </w:tcPr>
          <w:p>
            <w:pPr>
              <w:ind w:left="220"/>
              <w:spacing w:after="0"/>
              <w:rPr>
                <w:sz w:val="20"/>
                <w:szCs w:val="20"/>
                <w:color w:val="auto"/>
              </w:rPr>
            </w:pPr>
            <w:r>
              <w:rPr>
                <w:rFonts w:ascii="Arial" w:cs="Arial" w:eastAsia="Arial" w:hAnsi="Arial"/>
                <w:sz w:val="18"/>
                <w:szCs w:val="18"/>
                <w:color w:val="auto"/>
              </w:rPr>
              <w:t>Currency-related items</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48"/>
        </w:trPr>
        <w:tc>
          <w:tcPr>
            <w:tcW w:w="5940" w:type="dxa"/>
            <w:vAlign w:val="bottom"/>
            <w:tcBorders>
              <w:top w:val="single" w:sz="8" w:color="CCEEFF"/>
              <w:bottom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b w:val="1"/>
                <w:bCs w:val="1"/>
                <w:color w:val="auto"/>
              </w:rPr>
              <w:t xml:space="preserve">Adjusted EPS (constant currency) </w:t>
            </w:r>
            <w:r>
              <w:rPr>
                <w:rFonts w:ascii="Arial" w:cs="Arial" w:eastAsia="Arial" w:hAnsi="Arial"/>
                <w:sz w:val="23"/>
                <w:szCs w:val="23"/>
                <w:b w:val="1"/>
                <w:bCs w:val="1"/>
                <w:color w:val="auto"/>
                <w:vertAlign w:val="superscript"/>
              </w:rPr>
              <w:t>(1)</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0.72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0.95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(0.23)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(24.2)%</w:t>
            </w: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r>
      <w:tr>
        <w:trPr>
          <w:trHeight w:val="621"/>
        </w:trPr>
        <w:tc>
          <w:tcPr>
            <w:tcW w:w="59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Key Drivers of Adjusted EPS (constant currency)</w:t>
            </w:r>
          </w:p>
        </w:tc>
        <w:tc>
          <w:tcPr>
            <w:tcW w:w="120" w:type="dxa"/>
            <w:vAlign w:val="bottom"/>
            <w:tcBorders>
              <w:bottom w:val="single" w:sz="8" w:color="auto"/>
            </w:tcBorders>
          </w:tcPr>
          <w:p>
            <w:pPr>
              <w:spacing w:after="0"/>
              <w:rPr>
                <w:sz w:val="24"/>
                <w:szCs w:val="24"/>
                <w:color w:val="auto"/>
              </w:rPr>
            </w:pPr>
          </w:p>
        </w:tc>
        <w:tc>
          <w:tcPr>
            <w:tcW w:w="11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60" w:type="dxa"/>
            <w:vAlign w:val="bottom"/>
            <w:tcBorders>
              <w:bottom w:val="single" w:sz="8" w:color="CCEEFF"/>
            </w:tcBorders>
          </w:tcPr>
          <w:p>
            <w:pPr>
              <w:spacing w:after="0"/>
              <w:rPr>
                <w:sz w:val="24"/>
                <w:szCs w:val="24"/>
                <w:color w:val="auto"/>
              </w:rPr>
            </w:pPr>
          </w:p>
        </w:tc>
        <w:tc>
          <w:tcPr>
            <w:tcW w:w="8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 Change</w:t>
            </w:r>
          </w:p>
        </w:tc>
        <w:tc>
          <w:tcPr>
            <w:tcW w:w="1220" w:type="dxa"/>
            <w:vAlign w:val="bottom"/>
            <w:tcBorders>
              <w:bottom w:val="single" w:sz="8" w:color="CCEEFF"/>
            </w:tcBorders>
          </w:tcPr>
          <w:p>
            <w:pPr>
              <w:spacing w:after="0"/>
              <w:rPr>
                <w:sz w:val="24"/>
                <w:szCs w:val="24"/>
                <w:color w:val="auto"/>
              </w:rPr>
            </w:pPr>
          </w:p>
        </w:tc>
      </w:tr>
      <w:tr>
        <w:trPr>
          <w:trHeight w:val="224"/>
        </w:trPr>
        <w:tc>
          <w:tcPr>
            <w:tcW w:w="5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Decrease in operations</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gridSpan w:val="3"/>
            <w:shd w:val="clear" w:color="auto" w:fill="CCEEFF"/>
          </w:tcPr>
          <w:p>
            <w:pPr>
              <w:jc w:val="center"/>
              <w:ind w:left="331"/>
              <w:spacing w:after="0"/>
              <w:rPr>
                <w:sz w:val="20"/>
                <w:szCs w:val="20"/>
                <w:color w:val="auto"/>
              </w:rPr>
            </w:pPr>
            <w:r>
              <w:rPr>
                <w:rFonts w:ascii="Arial" w:cs="Arial" w:eastAsia="Arial" w:hAnsi="Arial"/>
                <w:sz w:val="18"/>
                <w:szCs w:val="18"/>
                <w:color w:val="auto"/>
              </w:rPr>
              <w:t>(0.33)</w:t>
            </w:r>
          </w:p>
        </w:tc>
        <w:tc>
          <w:tcPr>
            <w:tcW w:w="1220" w:type="dxa"/>
            <w:vAlign w:val="bottom"/>
            <w:shd w:val="clear" w:color="auto" w:fill="CCEEFF"/>
          </w:tcPr>
          <w:p>
            <w:pPr>
              <w:spacing w:after="0"/>
              <w:rPr>
                <w:sz w:val="19"/>
                <w:szCs w:val="19"/>
                <w:color w:val="auto"/>
              </w:rPr>
            </w:pPr>
          </w:p>
        </w:tc>
      </w:tr>
      <w:tr>
        <w:trPr>
          <w:trHeight w:val="229"/>
        </w:trPr>
        <w:tc>
          <w:tcPr>
            <w:tcW w:w="5940" w:type="dxa"/>
            <w:vAlign w:val="bottom"/>
          </w:tcPr>
          <w:p>
            <w:pPr>
              <w:ind w:left="360"/>
              <w:spacing w:after="0"/>
              <w:rPr>
                <w:sz w:val="20"/>
                <w:szCs w:val="20"/>
                <w:color w:val="auto"/>
              </w:rPr>
            </w:pPr>
            <w:r>
              <w:rPr>
                <w:rFonts w:ascii="Arial" w:cs="Arial" w:eastAsia="Arial" w:hAnsi="Arial"/>
                <w:sz w:val="18"/>
                <w:szCs w:val="18"/>
                <w:color w:val="auto"/>
              </w:rPr>
              <w:t>Impact from acquisitions</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center"/>
              <w:ind w:left="391"/>
              <w:spacing w:after="0"/>
              <w:rPr>
                <w:sz w:val="20"/>
                <w:szCs w:val="20"/>
                <w:color w:val="auto"/>
              </w:rPr>
            </w:pPr>
            <w:r>
              <w:rPr>
                <w:rFonts w:ascii="Arial" w:cs="Arial" w:eastAsia="Arial" w:hAnsi="Arial"/>
                <w:sz w:val="18"/>
                <w:szCs w:val="18"/>
                <w:color w:val="auto"/>
                <w:w w:val="96"/>
              </w:rPr>
              <w:t>0.01</w:t>
            </w:r>
          </w:p>
        </w:tc>
        <w:tc>
          <w:tcPr>
            <w:tcW w:w="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5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equity method investment net earnings</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center"/>
              <w:ind w:left="391"/>
              <w:spacing w:after="0"/>
              <w:rPr>
                <w:sz w:val="20"/>
                <w:szCs w:val="20"/>
                <w:color w:val="auto"/>
              </w:rPr>
            </w:pPr>
            <w:r>
              <w:rPr>
                <w:rFonts w:ascii="Arial" w:cs="Arial" w:eastAsia="Arial" w:hAnsi="Arial"/>
                <w:sz w:val="18"/>
                <w:szCs w:val="18"/>
                <w:color w:val="auto"/>
                <w:w w:val="96"/>
              </w:rPr>
              <w:t>0.01</w:t>
            </w:r>
          </w:p>
        </w:tc>
        <w:tc>
          <w:tcPr>
            <w:tcW w:w="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5940" w:type="dxa"/>
            <w:vAlign w:val="bottom"/>
          </w:tcPr>
          <w:p>
            <w:pPr>
              <w:ind w:left="360"/>
              <w:spacing w:after="0"/>
              <w:rPr>
                <w:sz w:val="20"/>
                <w:szCs w:val="20"/>
                <w:color w:val="auto"/>
              </w:rPr>
            </w:pPr>
            <w:r>
              <w:rPr>
                <w:rFonts w:ascii="Arial" w:cs="Arial" w:eastAsia="Arial" w:hAnsi="Arial"/>
                <w:sz w:val="18"/>
                <w:szCs w:val="18"/>
                <w:color w:val="auto"/>
              </w:rPr>
              <w:t>Change in income taxes</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center"/>
              <w:ind w:left="391"/>
              <w:spacing w:after="0"/>
              <w:rPr>
                <w:sz w:val="20"/>
                <w:szCs w:val="20"/>
                <w:color w:val="auto"/>
              </w:rPr>
            </w:pPr>
            <w:r>
              <w:rPr>
                <w:rFonts w:ascii="Arial" w:cs="Arial" w:eastAsia="Arial" w:hAnsi="Arial"/>
                <w:sz w:val="18"/>
                <w:szCs w:val="18"/>
                <w:color w:val="auto"/>
                <w:w w:val="96"/>
              </w:rPr>
              <w:t>0.05</w:t>
            </w:r>
          </w:p>
        </w:tc>
        <w:tc>
          <w:tcPr>
            <w:tcW w:w="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5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shares outstanding</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gridSpan w:val="2"/>
            <w:shd w:val="clear" w:color="auto" w:fill="CCEEFF"/>
          </w:tcPr>
          <w:p>
            <w:pPr>
              <w:jc w:val="center"/>
              <w:ind w:left="391"/>
              <w:spacing w:after="0"/>
              <w:rPr>
                <w:sz w:val="20"/>
                <w:szCs w:val="20"/>
                <w:color w:val="auto"/>
              </w:rPr>
            </w:pPr>
            <w:r>
              <w:rPr>
                <w:rFonts w:ascii="Arial" w:cs="Arial" w:eastAsia="Arial" w:hAnsi="Arial"/>
                <w:sz w:val="18"/>
                <w:szCs w:val="18"/>
                <w:color w:val="auto"/>
                <w:w w:val="96"/>
              </w:rPr>
              <w:t>0.03</w:t>
            </w:r>
          </w:p>
        </w:tc>
        <w:tc>
          <w:tcPr>
            <w:tcW w:w="40" w:type="dxa"/>
            <w:vAlign w:val="bottom"/>
            <w:tcBorders>
              <w:bottom w:val="single" w:sz="8" w:color="auto"/>
            </w:tcBorders>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3"/>
        </w:trPr>
        <w:tc>
          <w:tcPr>
            <w:tcW w:w="5940" w:type="dxa"/>
            <w:vAlign w:val="bottom"/>
          </w:tcPr>
          <w:p>
            <w:pPr>
              <w:ind w:left="20"/>
              <w:spacing w:after="0" w:line="223" w:lineRule="exact"/>
              <w:rPr>
                <w:sz w:val="20"/>
                <w:szCs w:val="20"/>
                <w:color w:val="auto"/>
              </w:rPr>
            </w:pPr>
            <w:r>
              <w:rPr>
                <w:rFonts w:ascii="Arial" w:cs="Arial" w:eastAsia="Arial" w:hAnsi="Arial"/>
                <w:sz w:val="18"/>
                <w:szCs w:val="18"/>
                <w:b w:val="1"/>
                <w:bCs w:val="1"/>
                <w:color w:val="auto"/>
              </w:rPr>
              <w:t xml:space="preserve">Total change in Adjusted EPS (constant currency) </w:t>
            </w:r>
            <w:r>
              <w:rPr>
                <w:rFonts w:ascii="Arial" w:cs="Arial" w:eastAsia="Arial" w:hAnsi="Arial"/>
                <w:sz w:val="23"/>
                <w:szCs w:val="23"/>
                <w:b w:val="1"/>
                <w:bCs w:val="1"/>
                <w:color w:val="auto"/>
                <w:vertAlign w:val="superscript"/>
              </w:rPr>
              <w:t>(1)</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gridSpan w:val="3"/>
          </w:tcPr>
          <w:p>
            <w:pPr>
              <w:jc w:val="center"/>
              <w:ind w:left="331"/>
              <w:spacing w:after="0"/>
              <w:rPr>
                <w:sz w:val="20"/>
                <w:szCs w:val="20"/>
                <w:color w:val="auto"/>
              </w:rPr>
            </w:pPr>
            <w:r>
              <w:rPr>
                <w:rFonts w:ascii="Arial" w:cs="Arial" w:eastAsia="Arial" w:hAnsi="Arial"/>
                <w:sz w:val="18"/>
                <w:szCs w:val="18"/>
                <w:b w:val="1"/>
                <w:bCs w:val="1"/>
                <w:color w:val="auto"/>
              </w:rPr>
              <w:t>(0.23)</w:t>
            </w:r>
          </w:p>
        </w:tc>
        <w:tc>
          <w:tcPr>
            <w:tcW w:w="1220" w:type="dxa"/>
            <w:vAlign w:val="bottom"/>
          </w:tcPr>
          <w:p>
            <w:pPr>
              <w:spacing w:after="0"/>
              <w:rPr>
                <w:sz w:val="19"/>
                <w:szCs w:val="19"/>
                <w:color w:val="auto"/>
              </w:rPr>
            </w:pPr>
          </w:p>
        </w:tc>
      </w:tr>
      <w:tr>
        <w:trPr>
          <w:trHeight w:val="20"/>
        </w:trPr>
        <w:tc>
          <w:tcPr>
            <w:tcW w:w="5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bl>
    <w:p>
      <w:pPr>
        <w:spacing w:after="0" w:line="85" w:lineRule="exact"/>
        <w:rPr>
          <w:sz w:val="20"/>
          <w:szCs w:val="20"/>
          <w:color w:val="auto"/>
        </w:rPr>
      </w:pPr>
    </w:p>
    <w:p>
      <w:pPr>
        <w:ind w:left="340" w:hanging="332"/>
        <w:spacing w:after="0" w:line="261" w:lineRule="auto"/>
        <w:tabs>
          <w:tab w:leader="none" w:pos="327" w:val="left"/>
        </w:tabs>
        <w:numPr>
          <w:ilvl w:val="0"/>
          <w:numId w:val="20"/>
        </w:numPr>
        <w:rPr>
          <w:rFonts w:ascii="Arial" w:cs="Arial" w:eastAsia="Arial" w:hAnsi="Arial"/>
          <w:sz w:val="14"/>
          <w:szCs w:val="14"/>
          <w:color w:val="auto"/>
        </w:rPr>
      </w:pPr>
      <w:r>
        <w:rPr>
          <w:rFonts w:ascii="Arial" w:cs="Arial" w:eastAsia="Arial" w:hAnsi="Arial"/>
          <w:sz w:val="14"/>
          <w:szCs w:val="14"/>
          <w:color w:val="auto"/>
        </w:rPr>
        <w:t xml:space="preserve">Refer to the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section above for additional information. The tax expense/(benefit) of each of the pre-tax items excluded from our U.S. GAAP results was computed based on the facts and tax assumptions associated with each item, and such impacts have also been excluded from Adjusted EPS.</w:t>
      </w:r>
    </w:p>
    <w:p>
      <w:pPr>
        <w:spacing w:after="0" w:line="1" w:lineRule="exact"/>
        <w:rPr>
          <w:rFonts w:ascii="Arial" w:cs="Arial" w:eastAsia="Arial" w:hAnsi="Arial"/>
          <w:sz w:val="14"/>
          <w:szCs w:val="14"/>
          <w:color w:val="auto"/>
        </w:rPr>
      </w:pPr>
    </w:p>
    <w:p>
      <w:pPr>
        <w:jc w:val="both"/>
        <w:ind w:left="660" w:hanging="328"/>
        <w:spacing w:after="0" w:line="264" w:lineRule="auto"/>
        <w:tabs>
          <w:tab w:leader="none" w:pos="656" w:val="left"/>
        </w:tabs>
        <w:numPr>
          <w:ilvl w:val="1"/>
          <w:numId w:val="20"/>
        </w:numPr>
        <w:rPr>
          <w:rFonts w:ascii="Arial" w:cs="Arial" w:eastAsia="Arial" w:hAnsi="Arial"/>
          <w:sz w:val="14"/>
          <w:szCs w:val="14"/>
          <w:color w:val="auto"/>
        </w:rPr>
      </w:pPr>
      <w:r>
        <w:rPr>
          <w:rFonts w:ascii="Arial" w:cs="Arial" w:eastAsia="Arial" w:hAnsi="Arial"/>
          <w:sz w:val="14"/>
          <w:szCs w:val="14"/>
          <w:color w:val="auto"/>
        </w:rPr>
        <w:t>For the three months ended September 30, 2025, taxes for the: intangible asset impairment charges were $(9) million, mark-to-market losses from derivatives were $(71) million, acquisition-related items were $5 million, ERP System Implementation program were $(10) million, remeasurement of net monetary positions was zero, impact from pension participation changes was $(14) million, impact from resolution of tax matters was $10 million and gain on equity method investment transactions was zero.</w:t>
      </w:r>
    </w:p>
    <w:p>
      <w:pPr>
        <w:spacing w:after="0" w:line="157" w:lineRule="exact"/>
        <w:rPr>
          <w:rFonts w:ascii="Arial" w:cs="Arial" w:eastAsia="Arial" w:hAnsi="Arial"/>
          <w:sz w:val="14"/>
          <w:szCs w:val="14"/>
          <w:color w:val="auto"/>
        </w:rPr>
      </w:pPr>
    </w:p>
    <w:p>
      <w:pPr>
        <w:jc w:val="both"/>
        <w:ind w:left="660" w:hanging="328"/>
        <w:spacing w:after="0" w:line="272" w:lineRule="auto"/>
        <w:tabs>
          <w:tab w:leader="none" w:pos="656" w:val="left"/>
        </w:tabs>
        <w:numPr>
          <w:ilvl w:val="1"/>
          <w:numId w:val="20"/>
        </w:numPr>
        <w:rPr>
          <w:rFonts w:ascii="Arial" w:cs="Arial" w:eastAsia="Arial" w:hAnsi="Arial"/>
          <w:sz w:val="14"/>
          <w:szCs w:val="14"/>
          <w:color w:val="auto"/>
        </w:rPr>
      </w:pPr>
      <w:r>
        <w:rPr>
          <w:rFonts w:ascii="Arial" w:cs="Arial" w:eastAsia="Arial" w:hAnsi="Arial"/>
          <w:sz w:val="14"/>
          <w:szCs w:val="14"/>
          <w:color w:val="auto"/>
        </w:rPr>
        <w:t>For the three months ended September 30, 2024, taxes for the: Simplify to Grow Program were $(2) million, intangible asset impairment charges were $(40) million, mark-to-market losses from derivatives were $(144) million, acquisition-related items were $84 million, divestiture-related items were $1 million, ERP System Implementation program were $(6) million, remeasurement of net monetary position was zero and initial impacts from enacted tax law changes were $(11)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6845935</wp:posOffset>
            </wp:positionH>
            <wp:positionV relativeFrom="paragraph">
              <wp:posOffset>472440</wp:posOffset>
            </wp:positionV>
            <wp:extent cx="282575" cy="18859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287655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w:t>
      </w:r>
    </w:p>
    <w:p>
      <w:pPr>
        <w:spacing w:after="0" w:line="57" w:lineRule="exact"/>
        <w:rPr>
          <w:sz w:val="20"/>
          <w:szCs w:val="20"/>
          <w:color w:val="auto"/>
        </w:rPr>
      </w:pPr>
    </w:p>
    <w:p>
      <w:pPr>
        <w:jc w:val="center"/>
        <w:ind w:left="1880"/>
        <w:spacing w:after="0"/>
        <w:rPr>
          <w:sz w:val="20"/>
          <w:szCs w:val="20"/>
          <w:color w:val="auto"/>
        </w:rPr>
      </w:pPr>
      <w:r>
        <w:rPr>
          <w:rFonts w:ascii="Arial" w:cs="Arial" w:eastAsia="Arial" w:hAnsi="Arial"/>
          <w:sz w:val="14"/>
          <w:szCs w:val="14"/>
          <w:b w:val="1"/>
          <w:bCs w:val="1"/>
          <w:color w:val="auto"/>
        </w:rPr>
        <w:t>For the Nine Months Ended</w:t>
      </w:r>
    </w:p>
    <w:p>
      <w:pPr>
        <w:spacing w:after="0" w:line="2" w:lineRule="exact"/>
        <w:rPr>
          <w:sz w:val="20"/>
          <w:szCs w:val="20"/>
          <w:color w:val="auto"/>
        </w:rPr>
      </w:pPr>
    </w:p>
    <w:p>
      <w:pPr>
        <w:jc w:val="center"/>
        <w:ind w:left="1880"/>
        <w:spacing w:after="0"/>
        <w:rPr>
          <w:sz w:val="20"/>
          <w:szCs w:val="20"/>
          <w:color w:val="auto"/>
        </w:rPr>
      </w:pPr>
      <w:r>
        <w:rPr>
          <w:rFonts w:ascii="Arial" w:cs="Arial" w:eastAsia="Arial" w:hAnsi="Arial"/>
          <w:sz w:val="14"/>
          <w:szCs w:val="14"/>
          <w:b w:val="1"/>
          <w:bCs w:val="1"/>
          <w:color w:val="auto"/>
        </w:rPr>
        <w:t>September 30,</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2025</w:t>
            </w:r>
          </w:p>
        </w:tc>
        <w:tc>
          <w:tcPr>
            <w:tcW w:w="4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2024</w:t>
            </w:r>
          </w:p>
        </w:tc>
        <w:tc>
          <w:tcPr>
            <w:tcW w:w="480" w:type="dxa"/>
            <w:vAlign w:val="bottom"/>
          </w:tcPr>
          <w:p>
            <w:pPr>
              <w:spacing w:after="0"/>
              <w:rPr>
                <w:sz w:val="17"/>
                <w:szCs w:val="17"/>
                <w:color w:val="auto"/>
              </w:rPr>
            </w:pPr>
          </w:p>
        </w:tc>
        <w:tc>
          <w:tcPr>
            <w:tcW w:w="1160" w:type="dxa"/>
            <w:vAlign w:val="bottom"/>
            <w:gridSpan w:val="2"/>
          </w:tcPr>
          <w:p>
            <w:pPr>
              <w:ind w:left="20"/>
              <w:spacing w:after="0"/>
              <w:rPr>
                <w:sz w:val="20"/>
                <w:szCs w:val="20"/>
                <w:color w:val="auto"/>
              </w:rPr>
            </w:pPr>
            <w:r>
              <w:rPr>
                <w:rFonts w:ascii="Arial" w:cs="Arial" w:eastAsia="Arial" w:hAnsi="Arial"/>
                <w:sz w:val="14"/>
                <w:szCs w:val="14"/>
                <w:b w:val="1"/>
                <w:bCs w:val="1"/>
                <w:color w:val="auto"/>
              </w:rPr>
              <w:t>$ Change</w:t>
            </w:r>
          </w:p>
        </w:tc>
        <w:tc>
          <w:tcPr>
            <w:tcW w:w="1560" w:type="dxa"/>
            <w:vAlign w:val="bottom"/>
          </w:tcPr>
          <w:p>
            <w:pPr>
              <w:jc w:val="right"/>
              <w:ind w:right="354"/>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5"/>
        </w:trPr>
        <w:tc>
          <w:tcPr>
            <w:tcW w:w="5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3080" w:type="dxa"/>
            <w:vAlign w:val="bottom"/>
            <w:tcBorders>
              <w:top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(in millions, except per share data)</w:t>
            </w:r>
          </w:p>
        </w:tc>
        <w:tc>
          <w:tcPr>
            <w:tcW w:w="10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1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Net revenues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28,041</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26,837</w:t>
            </w:r>
          </w:p>
        </w:tc>
        <w:tc>
          <w:tcPr>
            <w:tcW w:w="4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w:t>
            </w:r>
          </w:p>
        </w:tc>
        <w:tc>
          <w:tcPr>
            <w:tcW w:w="12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4.5 %</w:t>
            </w:r>
          </w:p>
        </w:tc>
        <w:tc>
          <w:tcPr>
            <w:tcW w:w="0" w:type="dxa"/>
            <w:vAlign w:val="bottom"/>
          </w:tcPr>
          <w:p>
            <w:pPr>
              <w:spacing w:after="0"/>
              <w:rPr>
                <w:sz w:val="1"/>
                <w:szCs w:val="1"/>
                <w:color w:val="auto"/>
              </w:rPr>
            </w:pPr>
          </w:p>
        </w:tc>
      </w:tr>
      <w:tr>
        <w:trPr>
          <w:trHeight w:val="229"/>
        </w:trPr>
        <w:tc>
          <w:tcPr>
            <w:tcW w:w="5100" w:type="dxa"/>
            <w:vAlign w:val="bottom"/>
          </w:tcPr>
          <w:p>
            <w:pPr>
              <w:ind w:left="560"/>
              <w:spacing w:after="0"/>
              <w:rPr>
                <w:sz w:val="20"/>
                <w:szCs w:val="20"/>
                <w:color w:val="auto"/>
              </w:rPr>
            </w:pPr>
            <w:r>
              <w:rPr>
                <w:rFonts w:ascii="Arial" w:cs="Arial" w:eastAsia="Arial" w:hAnsi="Arial"/>
                <w:sz w:val="18"/>
                <w:szCs w:val="18"/>
                <w:color w:val="auto"/>
              </w:rPr>
              <w:t>Operating income</w:t>
            </w:r>
          </w:p>
        </w:tc>
        <w:tc>
          <w:tcPr>
            <w:tcW w:w="340" w:type="dxa"/>
            <w:vAlign w:val="bottom"/>
          </w:tcPr>
          <w:p>
            <w:pPr>
              <w:spacing w:after="0"/>
              <w:rPr>
                <w:sz w:val="19"/>
                <w:szCs w:val="19"/>
                <w:color w:val="auto"/>
              </w:rPr>
            </w:pP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2,596</w:t>
            </w: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4,734</w:t>
            </w: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(2,138)</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(45.2)%</w:t>
            </w:r>
          </w:p>
        </w:tc>
        <w:tc>
          <w:tcPr>
            <w:tcW w:w="0" w:type="dxa"/>
            <w:vAlign w:val="bottom"/>
          </w:tcPr>
          <w:p>
            <w:pPr>
              <w:spacing w:after="0"/>
              <w:rPr>
                <w:sz w:val="1"/>
                <w:szCs w:val="1"/>
                <w:color w:val="auto"/>
              </w:rPr>
            </w:pPr>
          </w:p>
        </w:tc>
      </w:tr>
      <w:tr>
        <w:trPr>
          <w:trHeight w:val="176"/>
        </w:trPr>
        <w:tc>
          <w:tcPr>
            <w:tcW w:w="5100" w:type="dxa"/>
            <w:vAlign w:val="bottom"/>
            <w:shd w:val="clear" w:color="auto" w:fill="CCEEFF"/>
          </w:tcPr>
          <w:p>
            <w:pPr>
              <w:ind w:left="560"/>
              <w:spacing w:after="0" w:line="176" w:lineRule="exact"/>
              <w:rPr>
                <w:sz w:val="20"/>
                <w:szCs w:val="20"/>
                <w:color w:val="auto"/>
              </w:rPr>
            </w:pPr>
            <w:r>
              <w:rPr>
                <w:rFonts w:ascii="Arial" w:cs="Arial" w:eastAsia="Arial" w:hAnsi="Arial"/>
                <w:sz w:val="18"/>
                <w:szCs w:val="18"/>
                <w:color w:val="auto"/>
              </w:rPr>
              <w:t>Net earnings attributable to</w:t>
            </w:r>
          </w:p>
        </w:tc>
        <w:tc>
          <w:tcPr>
            <w:tcW w:w="3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ind w:right="16"/>
              <w:spacing w:after="0"/>
              <w:rPr>
                <w:sz w:val="20"/>
                <w:szCs w:val="20"/>
                <w:color w:val="auto"/>
              </w:rPr>
            </w:pPr>
            <w:r>
              <w:rPr>
                <w:rFonts w:ascii="Arial" w:cs="Arial" w:eastAsia="Arial" w:hAnsi="Arial"/>
                <w:sz w:val="18"/>
                <w:szCs w:val="18"/>
                <w:color w:val="auto"/>
              </w:rPr>
              <w:t>1,786</w:t>
            </w:r>
          </w:p>
        </w:tc>
        <w:tc>
          <w:tcPr>
            <w:tcW w:w="42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2,866</w:t>
            </w:r>
          </w:p>
        </w:tc>
        <w:tc>
          <w:tcPr>
            <w:tcW w:w="48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(1,080)</w:t>
            </w:r>
          </w:p>
        </w:tc>
        <w:tc>
          <w:tcPr>
            <w:tcW w:w="120" w:type="dxa"/>
            <w:vAlign w:val="bottom"/>
            <w:shd w:val="clear" w:color="auto" w:fill="CCEEFF"/>
          </w:tcPr>
          <w:p>
            <w:pPr>
              <w:spacing w:after="0"/>
              <w:rPr>
                <w:sz w:val="15"/>
                <w:szCs w:val="15"/>
                <w:color w:val="auto"/>
              </w:rPr>
            </w:pPr>
          </w:p>
        </w:tc>
        <w:tc>
          <w:tcPr>
            <w:tcW w:w="1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43"/>
        </w:trPr>
        <w:tc>
          <w:tcPr>
            <w:tcW w:w="51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Mondelēz International</w:t>
            </w:r>
          </w:p>
        </w:tc>
        <w:tc>
          <w:tcPr>
            <w:tcW w:w="340" w:type="dxa"/>
            <w:vAlign w:val="bottom"/>
            <w:shd w:val="clear" w:color="auto" w:fill="CCEEFF"/>
          </w:tcPr>
          <w:p>
            <w:pPr>
              <w:spacing w:after="0"/>
              <w:rPr>
                <w:sz w:val="21"/>
                <w:szCs w:val="21"/>
                <w:color w:val="auto"/>
              </w:rPr>
            </w:pPr>
          </w:p>
        </w:tc>
        <w:tc>
          <w:tcPr>
            <w:tcW w:w="1100" w:type="dxa"/>
            <w:vAlign w:val="bottom"/>
            <w:vMerge w:val="continue"/>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80" w:type="dxa"/>
            <w:vAlign w:val="bottom"/>
            <w:vMerge w:val="continue"/>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4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6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5100" w:type="dxa"/>
            <w:vAlign w:val="bottom"/>
          </w:tcPr>
          <w:p>
            <w:pPr>
              <w:ind w:left="560"/>
              <w:spacing w:after="0" w:line="176" w:lineRule="exact"/>
              <w:rPr>
                <w:sz w:val="20"/>
                <w:szCs w:val="20"/>
                <w:color w:val="auto"/>
              </w:rPr>
            </w:pPr>
            <w:r>
              <w:rPr>
                <w:rFonts w:ascii="Arial" w:cs="Arial" w:eastAsia="Arial" w:hAnsi="Arial"/>
                <w:sz w:val="18"/>
                <w:szCs w:val="18"/>
                <w:color w:val="auto"/>
              </w:rPr>
              <w:t>Diluted earnings per share attributable to</w:t>
            </w:r>
          </w:p>
        </w:tc>
        <w:tc>
          <w:tcPr>
            <w:tcW w:w="340" w:type="dxa"/>
            <w:vAlign w:val="bottom"/>
          </w:tcPr>
          <w:p>
            <w:pPr>
              <w:spacing w:after="0"/>
              <w:rPr>
                <w:sz w:val="15"/>
                <w:szCs w:val="15"/>
                <w:color w:val="auto"/>
              </w:rPr>
            </w:pPr>
          </w:p>
        </w:tc>
        <w:tc>
          <w:tcPr>
            <w:tcW w:w="1100" w:type="dxa"/>
            <w:vAlign w:val="bottom"/>
            <w:vMerge w:val="restart"/>
          </w:tcPr>
          <w:p>
            <w:pPr>
              <w:jc w:val="right"/>
              <w:ind w:right="16"/>
              <w:spacing w:after="0"/>
              <w:rPr>
                <w:sz w:val="20"/>
                <w:szCs w:val="20"/>
                <w:color w:val="auto"/>
              </w:rPr>
            </w:pPr>
            <w:r>
              <w:rPr>
                <w:rFonts w:ascii="Arial" w:cs="Arial" w:eastAsia="Arial" w:hAnsi="Arial"/>
                <w:sz w:val="18"/>
                <w:szCs w:val="18"/>
                <w:color w:val="auto"/>
              </w:rPr>
              <w:t>1.37</w:t>
            </w:r>
          </w:p>
        </w:tc>
        <w:tc>
          <w:tcPr>
            <w:tcW w:w="42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2.12</w:t>
            </w:r>
          </w:p>
        </w:tc>
        <w:tc>
          <w:tcPr>
            <w:tcW w:w="48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(0.75)</w:t>
            </w:r>
          </w:p>
        </w:tc>
        <w:tc>
          <w:tcPr>
            <w:tcW w:w="120" w:type="dxa"/>
            <w:vAlign w:val="bottom"/>
          </w:tcPr>
          <w:p>
            <w:pPr>
              <w:spacing w:after="0"/>
              <w:rPr>
                <w:sz w:val="15"/>
                <w:szCs w:val="15"/>
                <w:color w:val="auto"/>
              </w:rPr>
            </w:pPr>
          </w:p>
        </w:tc>
        <w:tc>
          <w:tcPr>
            <w:tcW w:w="1560" w:type="dxa"/>
            <w:vAlign w:val="bottom"/>
            <w:vMerge w:val="restart"/>
          </w:tcPr>
          <w:p>
            <w:pPr>
              <w:jc w:val="right"/>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47"/>
        </w:trPr>
        <w:tc>
          <w:tcPr>
            <w:tcW w:w="5100" w:type="dxa"/>
            <w:vAlign w:val="bottom"/>
          </w:tcPr>
          <w:p>
            <w:pPr>
              <w:ind w:left="700"/>
              <w:spacing w:after="0"/>
              <w:rPr>
                <w:sz w:val="20"/>
                <w:szCs w:val="20"/>
                <w:color w:val="auto"/>
              </w:rPr>
            </w:pPr>
            <w:r>
              <w:rPr>
                <w:rFonts w:ascii="Arial" w:cs="Arial" w:eastAsia="Arial" w:hAnsi="Arial"/>
                <w:sz w:val="18"/>
                <w:szCs w:val="18"/>
                <w:color w:val="auto"/>
              </w:rPr>
              <w:t>Mondelēz International</w:t>
            </w:r>
          </w:p>
        </w:tc>
        <w:tc>
          <w:tcPr>
            <w:tcW w:w="340" w:type="dxa"/>
            <w:vAlign w:val="bottom"/>
          </w:tcPr>
          <w:p>
            <w:pPr>
              <w:spacing w:after="0"/>
              <w:rPr>
                <w:sz w:val="21"/>
                <w:szCs w:val="21"/>
                <w:color w:val="auto"/>
              </w:rPr>
            </w:pPr>
          </w:p>
        </w:tc>
        <w:tc>
          <w:tcPr>
            <w:tcW w:w="1100" w:type="dxa"/>
            <w:vAlign w:val="bottom"/>
            <w:vMerge w:val="continue"/>
          </w:tcPr>
          <w:p>
            <w:pPr>
              <w:spacing w:after="0"/>
              <w:rPr>
                <w:sz w:val="21"/>
                <w:szCs w:val="21"/>
                <w:color w:val="auto"/>
              </w:rPr>
            </w:pPr>
          </w:p>
        </w:tc>
        <w:tc>
          <w:tcPr>
            <w:tcW w:w="420" w:type="dxa"/>
            <w:vAlign w:val="bottom"/>
          </w:tcPr>
          <w:p>
            <w:pPr>
              <w:spacing w:after="0"/>
              <w:rPr>
                <w:sz w:val="21"/>
                <w:szCs w:val="21"/>
                <w:color w:val="auto"/>
              </w:rPr>
            </w:pPr>
          </w:p>
        </w:tc>
        <w:tc>
          <w:tcPr>
            <w:tcW w:w="1080" w:type="dxa"/>
            <w:vAlign w:val="bottom"/>
            <w:vMerge w:val="continue"/>
          </w:tcPr>
          <w:p>
            <w:pPr>
              <w:spacing w:after="0"/>
              <w:rPr>
                <w:sz w:val="21"/>
                <w:szCs w:val="21"/>
                <w:color w:val="auto"/>
              </w:rPr>
            </w:pPr>
          </w:p>
        </w:tc>
        <w:tc>
          <w:tcPr>
            <w:tcW w:w="480" w:type="dxa"/>
            <w:vAlign w:val="bottom"/>
          </w:tcPr>
          <w:p>
            <w:pPr>
              <w:spacing w:after="0"/>
              <w:rPr>
                <w:sz w:val="21"/>
                <w:szCs w:val="21"/>
                <w:color w:val="auto"/>
              </w:rPr>
            </w:pPr>
          </w:p>
        </w:tc>
        <w:tc>
          <w:tcPr>
            <w:tcW w:w="104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5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Net Revenues </w:t>
      </w:r>
      <w:r>
        <w:rPr>
          <w:rFonts w:ascii="Arial" w:cs="Arial" w:eastAsia="Arial" w:hAnsi="Arial"/>
          <w:sz w:val="18"/>
          <w:szCs w:val="18"/>
          <w:color w:val="auto"/>
        </w:rPr>
        <w:t>– Net revenues increased $1,204 million (4.5%) to $28,041 million in the first nine months of 2025, and Organic Net Revenue</w:t>
      </w:r>
    </w:p>
    <w:p>
      <w:pPr>
        <w:spacing w:after="0" w:line="17" w:lineRule="exact"/>
        <w:rPr>
          <w:sz w:val="20"/>
          <w:szCs w:val="20"/>
          <w:color w:val="auto"/>
        </w:rPr>
      </w:pPr>
    </w:p>
    <w:p>
      <w:pPr>
        <w:jc w:val="both"/>
        <w:ind w:firstLine="8"/>
        <w:spacing w:after="0" w:line="209" w:lineRule="auto"/>
        <w:tabs>
          <w:tab w:leader="none" w:pos="189" w:val="left"/>
        </w:tabs>
        <w:numPr>
          <w:ilvl w:val="0"/>
          <w:numId w:val="21"/>
        </w:numPr>
        <w:rPr>
          <w:rFonts w:ascii="Arial" w:cs="Arial" w:eastAsia="Arial" w:hAnsi="Arial"/>
          <w:sz w:val="22"/>
          <w:szCs w:val="22"/>
          <w:color w:val="auto"/>
          <w:vertAlign w:val="superscript"/>
        </w:rPr>
      </w:pPr>
      <w:r>
        <w:rPr>
          <w:rFonts w:ascii="Arial" w:cs="Arial" w:eastAsia="Arial" w:hAnsi="Arial"/>
          <w:sz w:val="17"/>
          <w:szCs w:val="17"/>
          <w:color w:val="auto"/>
        </w:rPr>
        <w:t xml:space="preserve">increased $1,078 million (4.0%) to $27,890 million. Emerging markets net revenues increased 6.8% and emerging markets Organic Net Revenue increased 6.9% </w:t>
      </w:r>
      <w:r>
        <w:rPr>
          <w:rFonts w:ascii="Arial" w:cs="Arial" w:eastAsia="Arial" w:hAnsi="Arial"/>
          <w:sz w:val="22"/>
          <w:szCs w:val="22"/>
          <w:color w:val="auto"/>
          <w:vertAlign w:val="superscript"/>
        </w:rPr>
        <w:t>(1)</w:t>
      </w:r>
      <w:r>
        <w:rPr>
          <w:rFonts w:ascii="Arial" w:cs="Arial" w:eastAsia="Arial" w:hAnsi="Arial"/>
          <w:sz w:val="17"/>
          <w:szCs w:val="17"/>
          <w:color w:val="auto"/>
        </w:rPr>
        <w:t>. Developed markets net revenues increased 3.0% and developed markets Organic Net Revenue increased 2.1%</w:t>
      </w:r>
    </w:p>
    <w:p>
      <w:pPr>
        <w:spacing w:after="0" w:line="1" w:lineRule="exact"/>
        <w:rPr>
          <w:rFonts w:ascii="Arial" w:cs="Arial" w:eastAsia="Arial" w:hAnsi="Arial"/>
          <w:sz w:val="22"/>
          <w:szCs w:val="22"/>
          <w:color w:val="auto"/>
          <w:vertAlign w:val="superscript"/>
        </w:rPr>
      </w:pPr>
    </w:p>
    <w:p>
      <w:pPr>
        <w:ind w:left="260" w:hanging="252"/>
        <w:spacing w:after="0" w:line="200" w:lineRule="auto"/>
        <w:tabs>
          <w:tab w:leader="none" w:pos="260" w:val="left"/>
        </w:tabs>
        <w:numPr>
          <w:ilvl w:val="0"/>
          <w:numId w:val="22"/>
        </w:numPr>
        <w:rPr>
          <w:rFonts w:ascii="Arial" w:cs="Arial" w:eastAsia="Arial" w:hAnsi="Arial"/>
          <w:sz w:val="23"/>
          <w:szCs w:val="23"/>
          <w:color w:val="auto"/>
          <w:vertAlign w:val="superscript"/>
        </w:rPr>
      </w:pPr>
      <w:r>
        <w:rPr>
          <w:rFonts w:ascii="Arial" w:cs="Arial" w:eastAsia="Arial" w:hAnsi="Arial"/>
          <w:sz w:val="18"/>
          <w:szCs w:val="18"/>
          <w:color w:val="auto"/>
        </w:rPr>
        <w:t>The underlying changes in net revenues and Organic Net Revenue are detailed below:</w:t>
      </w:r>
    </w:p>
    <w:tbl>
      <w:tblPr>
        <w:tblLayout w:type="fixed"/>
        <w:tblInd w:w="0" w:type="dxa"/>
        <w:tblCellMar>
          <w:top w:w="0" w:type="dxa"/>
          <w:left w:w="0" w:type="dxa"/>
          <w:bottom w:w="0" w:type="dxa"/>
          <w:right w:w="0" w:type="dxa"/>
        </w:tblCellMar>
      </w:tblPr>
      <w:tr>
        <w:trPr>
          <w:trHeight w:val="199"/>
        </w:trPr>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right"/>
              <w:ind w:right="70"/>
              <w:spacing w:after="0" w:line="199" w:lineRule="exact"/>
              <w:rPr>
                <w:sz w:val="20"/>
                <w:szCs w:val="20"/>
                <w:color w:val="auto"/>
              </w:rPr>
            </w:pPr>
            <w:r>
              <w:rPr>
                <w:rFonts w:ascii="Arial" w:cs="Arial" w:eastAsia="Arial" w:hAnsi="Arial"/>
                <w:sz w:val="18"/>
                <w:szCs w:val="18"/>
                <w:b w:val="1"/>
                <w:bCs w:val="1"/>
                <w:color w:val="auto"/>
              </w:rPr>
              <w:t>Emerging</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ind w:right="30"/>
              <w:spacing w:after="0" w:line="199" w:lineRule="exact"/>
              <w:rPr>
                <w:sz w:val="20"/>
                <w:szCs w:val="20"/>
                <w:color w:val="auto"/>
              </w:rPr>
            </w:pPr>
            <w:r>
              <w:rPr>
                <w:rFonts w:ascii="Arial" w:cs="Arial" w:eastAsia="Arial" w:hAnsi="Arial"/>
                <w:sz w:val="18"/>
                <w:szCs w:val="18"/>
                <w:b w:val="1"/>
                <w:bCs w:val="1"/>
                <w:color w:val="auto"/>
              </w:rPr>
              <w:t>Developed</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ind w:right="110"/>
              <w:spacing w:after="0" w:line="199" w:lineRule="exact"/>
              <w:rPr>
                <w:sz w:val="20"/>
                <w:szCs w:val="20"/>
                <w:color w:val="auto"/>
              </w:rPr>
            </w:pPr>
            <w:r>
              <w:rPr>
                <w:rFonts w:ascii="Arial" w:cs="Arial" w:eastAsia="Arial" w:hAnsi="Arial"/>
                <w:sz w:val="18"/>
                <w:szCs w:val="18"/>
                <w:b w:val="1"/>
                <w:bCs w:val="1"/>
                <w:color w:val="auto"/>
              </w:rPr>
              <w:t>Mondelēz</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tcPr>
          <w:p>
            <w:pPr>
              <w:spacing w:after="0"/>
              <w:rPr>
                <w:sz w:val="21"/>
                <w:szCs w:val="21"/>
                <w:color w:val="auto"/>
              </w:rPr>
            </w:pPr>
          </w:p>
        </w:tc>
        <w:tc>
          <w:tcPr>
            <w:tcW w:w="880" w:type="dxa"/>
            <w:vAlign w:val="bottom"/>
            <w:tcBorders>
              <w:bottom w:val="single" w:sz="8" w:color="CCEEFF"/>
            </w:tcBorders>
          </w:tcPr>
          <w:p>
            <w:pPr>
              <w:spacing w:after="0"/>
              <w:rPr>
                <w:sz w:val="21"/>
                <w:szCs w:val="21"/>
                <w:color w:val="auto"/>
              </w:rPr>
            </w:pPr>
          </w:p>
        </w:tc>
        <w:tc>
          <w:tcPr>
            <w:tcW w:w="2540" w:type="dxa"/>
            <w:vAlign w:val="bottom"/>
            <w:tcBorders>
              <w:bottom w:val="single" w:sz="8" w:color="CCEEFF"/>
            </w:tcBorders>
          </w:tcPr>
          <w:p>
            <w:pPr>
              <w:spacing w:after="0"/>
              <w:rPr>
                <w:sz w:val="21"/>
                <w:szCs w:val="21"/>
                <w:color w:val="auto"/>
              </w:rPr>
            </w:pPr>
          </w:p>
        </w:tc>
        <w:tc>
          <w:tcPr>
            <w:tcW w:w="284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Markets</w:t>
            </w:r>
          </w:p>
        </w:tc>
        <w:tc>
          <w:tcPr>
            <w:tcW w:w="20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Markets</w:t>
            </w:r>
          </w:p>
        </w:tc>
        <w:tc>
          <w:tcPr>
            <w:tcW w:w="2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International</w:t>
            </w:r>
          </w:p>
        </w:tc>
        <w:tc>
          <w:tcPr>
            <w:tcW w:w="2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0" w:type="dxa"/>
            <w:vAlign w:val="bottom"/>
            <w:tcBorders>
              <w:bottom w:val="single" w:sz="8" w:color="CCEEFF"/>
            </w:tcBorders>
            <w:shd w:val="clear" w:color="auto" w:fill="CCEEFF"/>
          </w:tcPr>
          <w:p>
            <w:pPr>
              <w:spacing w:after="0"/>
              <w:rPr>
                <w:sz w:val="16"/>
                <w:szCs w:val="16"/>
                <w:color w:val="auto"/>
              </w:rPr>
            </w:pPr>
          </w:p>
        </w:tc>
        <w:tc>
          <w:tcPr>
            <w:tcW w:w="3420" w:type="dxa"/>
            <w:vAlign w:val="bottom"/>
            <w:tcBorders>
              <w:bottom w:val="single" w:sz="8" w:color="auto"/>
            </w:tcBorders>
            <w:gridSpan w:val="2"/>
            <w:shd w:val="clear" w:color="auto" w:fill="CCEEFF"/>
          </w:tcPr>
          <w:p>
            <w:pPr>
              <w:spacing w:after="0" w:line="169" w:lineRule="exact"/>
              <w:rPr>
                <w:sz w:val="20"/>
                <w:szCs w:val="20"/>
                <w:color w:val="auto"/>
              </w:rPr>
            </w:pPr>
            <w:r>
              <w:rPr>
                <w:rFonts w:ascii="Arial" w:cs="Arial" w:eastAsia="Arial" w:hAnsi="Arial"/>
                <w:sz w:val="18"/>
                <w:szCs w:val="18"/>
                <w:b w:val="1"/>
                <w:bCs w:val="1"/>
                <w:color w:val="auto"/>
                <w:w w:val="99"/>
              </w:rPr>
              <w:t>Nine Months Ended September 30, 2025</w:t>
            </w:r>
          </w:p>
        </w:tc>
        <w:tc>
          <w:tcPr>
            <w:tcW w:w="284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gridSpan w:val="3"/>
          </w:tcPr>
          <w:p>
            <w:pPr>
              <w:spacing w:after="0"/>
              <w:rPr>
                <w:sz w:val="20"/>
                <w:szCs w:val="20"/>
                <w:color w:val="auto"/>
              </w:rPr>
            </w:pPr>
            <w:r>
              <w:rPr>
                <w:rFonts w:ascii="Arial" w:cs="Arial" w:eastAsia="Arial" w:hAnsi="Arial"/>
                <w:sz w:val="18"/>
                <w:szCs w:val="18"/>
                <w:b w:val="1"/>
                <w:bCs w:val="1"/>
                <w:color w:val="auto"/>
              </w:rPr>
              <w:t>Reported (GAAP)</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11,242</w:t>
            </w:r>
          </w:p>
        </w:tc>
        <w:tc>
          <w:tcPr>
            <w:tcW w:w="52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16,799</w:t>
            </w:r>
          </w:p>
        </w:tc>
        <w:tc>
          <w:tcPr>
            <w:tcW w:w="52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28,041</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Acquisitions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626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Currency-related items</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w:t>
            </w: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w:t>
            </w: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2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2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Organic (Non-GAAP)</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11,250</w:t>
            </w:r>
          </w:p>
        </w:tc>
        <w:tc>
          <w:tcPr>
            <w:tcW w:w="20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16,640</w:t>
            </w:r>
          </w:p>
        </w:tc>
        <w:tc>
          <w:tcPr>
            <w:tcW w:w="2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27,890</w:t>
            </w:r>
          </w:p>
        </w:tc>
        <w:tc>
          <w:tcPr>
            <w:tcW w:w="20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6260" w:type="dxa"/>
            <w:vAlign w:val="bottom"/>
            <w:tcBorders>
              <w:top w:val="single" w:sz="8" w:color="CCEEFF"/>
              <w:bottom w:val="single" w:sz="8" w:color="CCEEFF"/>
            </w:tcBorders>
            <w:gridSpan w:val="3"/>
            <w:vMerge w:val="restart"/>
          </w:tcPr>
          <w:p>
            <w:pPr>
              <w:spacing w:after="0" w:line="176" w:lineRule="exact"/>
              <w:rPr>
                <w:sz w:val="20"/>
                <w:szCs w:val="20"/>
                <w:color w:val="auto"/>
              </w:rPr>
            </w:pPr>
            <w:r>
              <w:rPr>
                <w:rFonts w:ascii="Arial" w:cs="Arial" w:eastAsia="Arial" w:hAnsi="Arial"/>
                <w:sz w:val="18"/>
                <w:szCs w:val="18"/>
                <w:b w:val="1"/>
                <w:bCs w:val="1"/>
                <w:color w:val="auto"/>
              </w:rPr>
              <w:t>Nine Months Ended September 30, 2024</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vMerge w:val="continue"/>
          </w:tcPr>
          <w:p>
            <w:pPr>
              <w:spacing w:after="0"/>
              <w:rPr>
                <w:sz w:val="11"/>
                <w:szCs w:val="11"/>
                <w:color w:val="auto"/>
              </w:rPr>
            </w:pPr>
          </w:p>
        </w:tc>
        <w:tc>
          <w:tcPr>
            <w:tcW w:w="6260" w:type="dxa"/>
            <w:vAlign w:val="bottom"/>
            <w:gridSpan w:val="3"/>
            <w:vMerge w:val="continue"/>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2540" w:type="dxa"/>
            <w:vAlign w:val="bottom"/>
            <w:tcBorders>
              <w:top w:val="single" w:sz="8" w:color="auto"/>
            </w:tcBorders>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2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Reported (GAAP)</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10,523</w:t>
            </w:r>
          </w:p>
        </w:tc>
        <w:tc>
          <w:tcPr>
            <w:tcW w:w="52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16,314</w:t>
            </w: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26,837</w:t>
            </w: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626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Short-term distributor agreements</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2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2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Organic (Non-GAAP)</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10,520</w:t>
            </w:r>
          </w:p>
        </w:tc>
        <w:tc>
          <w:tcPr>
            <w:tcW w:w="20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16,292</w:t>
            </w:r>
          </w:p>
        </w:tc>
        <w:tc>
          <w:tcPr>
            <w:tcW w:w="2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26,812</w:t>
            </w:r>
          </w:p>
        </w:tc>
        <w:tc>
          <w:tcPr>
            <w:tcW w:w="20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6260" w:type="dxa"/>
            <w:vAlign w:val="bottom"/>
            <w:tcBorders>
              <w:top w:val="single" w:sz="8" w:color="CCEEFF"/>
              <w:bottom w:val="single" w:sz="8" w:color="CCEEFF"/>
            </w:tcBorders>
            <w:gridSpan w:val="3"/>
            <w:vMerge w:val="restart"/>
          </w:tcPr>
          <w:p>
            <w:pPr>
              <w:spacing w:after="0" w:line="176" w:lineRule="exact"/>
              <w:rPr>
                <w:sz w:val="20"/>
                <w:szCs w:val="20"/>
                <w:color w:val="auto"/>
              </w:rPr>
            </w:pPr>
            <w:r>
              <w:rPr>
                <w:rFonts w:ascii="Arial" w:cs="Arial" w:eastAsia="Arial" w:hAnsi="Arial"/>
                <w:sz w:val="18"/>
                <w:szCs w:val="18"/>
                <w:b w:val="1"/>
                <w:bCs w:val="1"/>
                <w:color w:val="auto"/>
              </w:rPr>
              <w:t>% Change</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vMerge w:val="continue"/>
          </w:tcPr>
          <w:p>
            <w:pPr>
              <w:spacing w:after="0"/>
              <w:rPr>
                <w:sz w:val="11"/>
                <w:szCs w:val="11"/>
                <w:color w:val="auto"/>
              </w:rPr>
            </w:pPr>
          </w:p>
        </w:tc>
        <w:tc>
          <w:tcPr>
            <w:tcW w:w="6260" w:type="dxa"/>
            <w:vAlign w:val="bottom"/>
            <w:gridSpan w:val="3"/>
            <w:vMerge w:val="continue"/>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2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Reported (GAAP)</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6.8</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260" w:type="dxa"/>
            <w:vAlign w:val="bottom"/>
            <w:gridSpan w:val="3"/>
          </w:tcPr>
          <w:p>
            <w:pPr>
              <w:spacing w:after="0"/>
              <w:rPr>
                <w:sz w:val="20"/>
                <w:szCs w:val="20"/>
                <w:color w:val="auto"/>
              </w:rPr>
            </w:pPr>
            <w:r>
              <w:rPr>
                <w:rFonts w:ascii="Arial" w:cs="Arial" w:eastAsia="Arial" w:hAnsi="Arial"/>
                <w:sz w:val="18"/>
                <w:szCs w:val="18"/>
                <w:color w:val="auto"/>
              </w:rPr>
              <w:t>Short-term distributor agreements</w:t>
            </w:r>
          </w:p>
        </w:tc>
        <w:tc>
          <w:tcPr>
            <w:tcW w:w="240" w:type="dxa"/>
            <w:vAlign w:val="bottom"/>
          </w:tcPr>
          <w:p>
            <w:pPr>
              <w:spacing w:after="0"/>
              <w:rPr>
                <w:sz w:val="19"/>
                <w:szCs w:val="19"/>
                <w:color w:val="auto"/>
              </w:rPr>
            </w:pPr>
          </w:p>
        </w:tc>
        <w:tc>
          <w:tcPr>
            <w:tcW w:w="1640" w:type="dxa"/>
            <w:vAlign w:val="bottom"/>
            <w:gridSpan w:val="4"/>
          </w:tcPr>
          <w:p>
            <w:pPr>
              <w:jc w:val="right"/>
              <w:ind w:right="250"/>
              <w:spacing w:after="0"/>
              <w:rPr>
                <w:sz w:val="20"/>
                <w:szCs w:val="20"/>
                <w:color w:val="auto"/>
              </w:rPr>
            </w:pPr>
            <w:r>
              <w:rPr>
                <w:rFonts w:ascii="Arial" w:cs="Arial" w:eastAsia="Arial" w:hAnsi="Arial"/>
                <w:sz w:val="18"/>
                <w:szCs w:val="18"/>
                <w:color w:val="auto"/>
              </w:rPr>
              <w:t>0.1 pp</w:t>
            </w:r>
          </w:p>
        </w:tc>
        <w:tc>
          <w:tcPr>
            <w:tcW w:w="1660" w:type="dxa"/>
            <w:vAlign w:val="bottom"/>
            <w:gridSpan w:val="4"/>
          </w:tcPr>
          <w:p>
            <w:pPr>
              <w:jc w:val="right"/>
              <w:ind w:right="230"/>
              <w:spacing w:after="0"/>
              <w:rPr>
                <w:sz w:val="20"/>
                <w:szCs w:val="20"/>
                <w:color w:val="auto"/>
              </w:rPr>
            </w:pPr>
            <w:r>
              <w:rPr>
                <w:rFonts w:ascii="Arial" w:cs="Arial" w:eastAsia="Arial" w:hAnsi="Arial"/>
                <w:sz w:val="18"/>
                <w:szCs w:val="18"/>
                <w:color w:val="auto"/>
              </w:rPr>
              <w:t>0.1 pp</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0.1 pp</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Acquisitions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626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Currency-related items</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2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2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Organic (Non-GAAP)</w:t>
            </w:r>
          </w:p>
        </w:tc>
        <w:tc>
          <w:tcPr>
            <w:tcW w:w="2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260" w:type="dxa"/>
            <w:vAlign w:val="bottom"/>
            <w:tcBorders>
              <w:top w:val="single" w:sz="8" w:color="CCEEFF"/>
            </w:tcBorders>
            <w:gridSpan w:val="3"/>
            <w:vMerge w:val="restart"/>
          </w:tcPr>
          <w:p>
            <w:pPr>
              <w:spacing w:after="0"/>
              <w:rPr>
                <w:sz w:val="20"/>
                <w:szCs w:val="20"/>
                <w:color w:val="auto"/>
              </w:rPr>
            </w:pPr>
            <w:r>
              <w:rPr>
                <w:rFonts w:ascii="Arial" w:cs="Arial" w:eastAsia="Arial" w:hAnsi="Arial"/>
                <w:sz w:val="18"/>
                <w:szCs w:val="18"/>
                <w:color w:val="auto"/>
              </w:rPr>
              <w:t>Vol/Mix</w:t>
            </w:r>
          </w:p>
        </w:tc>
        <w:tc>
          <w:tcPr>
            <w:tcW w:w="2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gridSpan w:val="2"/>
          </w:tcPr>
          <w:p>
            <w:pPr>
              <w:spacing w:after="0" w:line="20" w:lineRule="exact"/>
              <w:rPr>
                <w:sz w:val="1"/>
                <w:szCs w:val="1"/>
                <w:color w:val="auto"/>
              </w:rPr>
            </w:pPr>
          </w:p>
        </w:tc>
        <w:tc>
          <w:tcPr>
            <w:tcW w:w="300" w:type="dxa"/>
            <w:vAlign w:val="bottom"/>
            <w:tcBorders>
              <w:top w:val="single" w:sz="8" w:color="CCEEFF"/>
            </w:tcBorders>
            <w:gridSpan w:val="2"/>
          </w:tcPr>
          <w:p>
            <w:pPr>
              <w:spacing w:after="0" w:line="20" w:lineRule="exact"/>
              <w:rPr>
                <w:sz w:val="1"/>
                <w:szCs w:val="1"/>
                <w:color w:val="auto"/>
              </w:rPr>
            </w:pPr>
          </w:p>
        </w:tc>
        <w:tc>
          <w:tcPr>
            <w:tcW w:w="1420" w:type="dxa"/>
            <w:vAlign w:val="bottom"/>
            <w:tcBorders>
              <w:top w:val="single" w:sz="8" w:color="CCEE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260" w:type="dxa"/>
            <w:vAlign w:val="bottom"/>
            <w:tcBorders>
              <w:top w:val="single" w:sz="8" w:color="CCEEFF"/>
            </w:tcBorders>
            <w:gridSpan w:val="3"/>
            <w:vMerge w:val="continue"/>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gridSpan w:val="2"/>
          </w:tcPr>
          <w:p>
            <w:pPr>
              <w:jc w:val="right"/>
              <w:spacing w:after="0" w:line="203" w:lineRule="exact"/>
              <w:rPr>
                <w:sz w:val="20"/>
                <w:szCs w:val="20"/>
                <w:color w:val="auto"/>
              </w:rPr>
            </w:pPr>
            <w:r>
              <w:rPr>
                <w:rFonts w:ascii="Arial" w:cs="Arial" w:eastAsia="Arial" w:hAnsi="Arial"/>
                <w:sz w:val="18"/>
                <w:szCs w:val="18"/>
                <w:color w:val="auto"/>
              </w:rPr>
              <w:t>(3.2)pp</w:t>
            </w: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gridSpan w:val="2"/>
          </w:tcPr>
          <w:p>
            <w:pPr>
              <w:jc w:val="right"/>
              <w:spacing w:after="0" w:line="203" w:lineRule="exact"/>
              <w:rPr>
                <w:sz w:val="20"/>
                <w:szCs w:val="20"/>
                <w:color w:val="auto"/>
              </w:rPr>
            </w:pPr>
            <w:r>
              <w:rPr>
                <w:rFonts w:ascii="Arial" w:cs="Arial" w:eastAsia="Arial" w:hAnsi="Arial"/>
                <w:sz w:val="18"/>
                <w:szCs w:val="18"/>
                <w:color w:val="auto"/>
              </w:rPr>
              <w:t>(3.3)pp</w:t>
            </w: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gridSpan w:val="2"/>
          </w:tcPr>
          <w:p>
            <w:pPr>
              <w:jc w:val="right"/>
              <w:spacing w:after="0" w:line="203" w:lineRule="exact"/>
              <w:rPr>
                <w:sz w:val="20"/>
                <w:szCs w:val="20"/>
                <w:color w:val="auto"/>
              </w:rPr>
            </w:pPr>
            <w:r>
              <w:rPr>
                <w:rFonts w:ascii="Arial" w:cs="Arial" w:eastAsia="Arial" w:hAnsi="Arial"/>
                <w:sz w:val="18"/>
                <w:szCs w:val="18"/>
                <w:color w:val="auto"/>
              </w:rPr>
              <w:t>(3.2)pp</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Pricing</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(1)</w:t>
        <w:tab/>
        <w:t xml:space="preserve">Refer to the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section above for additional information.</w:t>
      </w:r>
    </w:p>
    <w:p>
      <w:pPr>
        <w:spacing w:after="0" w:line="24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Net revenue increase of 4.5% was driven by our underlying Organic Net Revenue growth of 4.0% and the impact of an acquisition, partially offset by unfavorable currency-related items and lapping prior-year net revenue from a short-term distributor agreement related to the sale of our developed market gum business. Organic Net Revenue growth was driven by higher net pricing, partially offset by unfavorable volume/mix. Higher net pricing was due to the benefit of carryover pricing from 2024 as well as the effects of input cost-driven pricing actions taken during the first nine months of 2025. Higher net pricing was reflected in all regions except North America where net pricing was essentially flat. Unfavorable volume/mix was experienced across all regions, driven by volume declines reflecting pricing elasticity impacts in Europe, Latin America and AMEA, as well as soft consumption in North America. The November 1, 2024 acquisition of Evirth added incremental net revenues of $288 million for the first nine months of 2025. Refer to Note 2, </w:t>
      </w:r>
      <w:r>
        <w:rPr>
          <w:rFonts w:ascii="Arial" w:cs="Arial" w:eastAsia="Arial" w:hAnsi="Arial"/>
          <w:sz w:val="18"/>
          <w:szCs w:val="18"/>
          <w:i w:val="1"/>
          <w:iCs w:val="1"/>
          <w:color w:val="auto"/>
        </w:rPr>
        <w:t>Acquisitions and Divestitures,</w:t>
      </w:r>
      <w:r>
        <w:rPr>
          <w:rFonts w:ascii="Arial" w:cs="Arial" w:eastAsia="Arial" w:hAnsi="Arial"/>
          <w:sz w:val="18"/>
          <w:szCs w:val="18"/>
          <w:color w:val="auto"/>
        </w:rPr>
        <w:t xml:space="preserve"> for additional information. Currency-related items decreased net revenues by $137 million, driven by unfavorable currency translation rate changes, partially offset by the impact of extreme pricing in Argentina. Refer to </w:t>
      </w:r>
      <w:r>
        <w:rPr>
          <w:rFonts w:ascii="Arial" w:cs="Arial" w:eastAsia="Arial" w:hAnsi="Arial"/>
          <w:sz w:val="18"/>
          <w:szCs w:val="18"/>
          <w:i w:val="1"/>
          <w:iCs w:val="1"/>
          <w:color w:val="auto"/>
        </w:rPr>
        <w:t>Recent Developments and Significant Items Affecting Comparability</w:t>
      </w:r>
      <w:r>
        <w:rPr>
          <w:rFonts w:ascii="Arial" w:cs="Arial" w:eastAsia="Arial" w:hAnsi="Arial"/>
          <w:sz w:val="18"/>
          <w:szCs w:val="18"/>
          <w:color w:val="auto"/>
        </w:rPr>
        <w:t xml:space="preserve"> for additional information. Unfavorable currency translation rate changes were due to the strength of the U.S. dollar relative to several currencies, primarily the Argentinean peso, Mexican peso, Brazilian real, Indian rupee, Turkish lira, Australian dollar, Egyptian pound and Canadian dollar, partially offset by the strength of several currencies relative to the U.S. dollar, including the euro, Russian ruble, British pound sterling, Polish zloty and Swedish krona.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6845935</wp:posOffset>
            </wp:positionH>
            <wp:positionV relativeFrom="paragraph">
              <wp:posOffset>18415</wp:posOffset>
            </wp:positionV>
            <wp:extent cx="282575" cy="18859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pacing w:after="0" w:line="16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287655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lapping of the prior-year short-term distributor agreement related to the sale of our developed market gum business, which ended in the first quarter of 2024, resulted in a year-over-year incremental reduction in net revenue of $25 million.</w:t>
      </w:r>
    </w:p>
    <w:p>
      <w:pPr>
        <w:spacing w:after="0" w:line="18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 xml:space="preserve">Operating Income </w:t>
      </w:r>
      <w:r>
        <w:rPr>
          <w:rFonts w:ascii="Arial" w:cs="Arial" w:eastAsia="Arial" w:hAnsi="Arial"/>
          <w:sz w:val="18"/>
          <w:szCs w:val="18"/>
          <w:color w:val="auto"/>
        </w:rPr>
        <w:t>– Operating income decreased $2,138 million (45.2%) to $2,596 million in the first nine months of 2025. Adjusted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Operating Income </w:t>
      </w:r>
      <w:r>
        <w:rPr>
          <w:rFonts w:ascii="Arial" w:cs="Arial" w:eastAsia="Arial" w:hAnsi="Arial"/>
          <w:sz w:val="10"/>
          <w:szCs w:val="10"/>
          <w:color w:val="auto"/>
        </w:rPr>
        <w:t>(1)</w:t>
      </w:r>
      <w:r>
        <w:rPr>
          <w:rFonts w:ascii="Arial" w:cs="Arial" w:eastAsia="Arial" w:hAnsi="Arial"/>
          <w:sz w:val="18"/>
          <w:szCs w:val="18"/>
          <w:color w:val="auto"/>
        </w:rPr>
        <w:t xml:space="preserve"> decreased $1,111 million (22.5%) to $3,829 million and Adjusted Operating Income on a constant currency basis </w:t>
      </w:r>
      <w:r>
        <w:rPr>
          <w:rFonts w:ascii="Arial" w:cs="Arial" w:eastAsia="Arial" w:hAnsi="Arial"/>
          <w:sz w:val="10"/>
          <w:szCs w:val="10"/>
          <w:color w:val="auto"/>
        </w:rPr>
        <w:t>(1)</w:t>
      </w:r>
      <w:r>
        <w:rPr>
          <w:rFonts w:ascii="Arial" w:cs="Arial" w:eastAsia="Arial" w:hAnsi="Arial"/>
          <w:sz w:val="18"/>
          <w:szCs w:val="18"/>
          <w:color w:val="auto"/>
        </w:rPr>
        <w:t xml:space="preserve"> decreased $1,129 million (22.9%) to $3,811 million due to the following:</w:t>
      </w:r>
    </w:p>
    <w:tbl>
      <w:tblPr>
        <w:tblLayout w:type="fixed"/>
        <w:tblInd w:w="0" w:type="dxa"/>
        <w:tblCellMar>
          <w:top w:w="0" w:type="dxa"/>
          <w:left w:w="0" w:type="dxa"/>
          <w:bottom w:w="0" w:type="dxa"/>
          <w:right w:w="0" w:type="dxa"/>
        </w:tblCellMar>
      </w:tblPr>
      <w:tr>
        <w:trPr>
          <w:trHeight w:val="153"/>
        </w:trPr>
        <w:tc>
          <w:tcPr>
            <w:tcW w:w="5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700" w:type="dxa"/>
            <w:vAlign w:val="bottom"/>
            <w:gridSpan w:val="5"/>
          </w:tcPr>
          <w:p>
            <w:pPr>
              <w:jc w:val="center"/>
              <w:ind w:right="220"/>
              <w:spacing w:after="0" w:line="153" w:lineRule="exact"/>
              <w:rPr>
                <w:sz w:val="20"/>
                <w:szCs w:val="20"/>
                <w:color w:val="auto"/>
              </w:rPr>
            </w:pPr>
            <w:r>
              <w:rPr>
                <w:rFonts w:ascii="Arial" w:cs="Arial" w:eastAsia="Arial" w:hAnsi="Arial"/>
                <w:sz w:val="14"/>
                <w:szCs w:val="14"/>
                <w:b w:val="1"/>
                <w:bCs w:val="1"/>
                <w:color w:val="auto"/>
              </w:rPr>
              <w:t>For the Nine Months Ended</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20" w:type="dxa"/>
            <w:vAlign w:val="bottom"/>
          </w:tcPr>
          <w:p>
            <w:pPr>
              <w:spacing w:after="0"/>
              <w:rPr>
                <w:sz w:val="13"/>
                <w:szCs w:val="13"/>
                <w:color w:val="auto"/>
              </w:rPr>
            </w:pPr>
          </w:p>
        </w:tc>
      </w:tr>
      <w:tr>
        <w:trPr>
          <w:trHeight w:val="185"/>
        </w:trPr>
        <w:tc>
          <w:tcPr>
            <w:tcW w:w="5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0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95"/>
        </w:trPr>
        <w:tc>
          <w:tcPr>
            <w:tcW w:w="59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rPr>
              <w:t>$ Change</w:t>
            </w:r>
          </w:p>
        </w:tc>
        <w:tc>
          <w:tcPr>
            <w:tcW w:w="1220" w:type="dxa"/>
            <w:vAlign w:val="bottom"/>
          </w:tcPr>
          <w:p>
            <w:pPr>
              <w:jc w:val="right"/>
              <w:ind w:right="195"/>
              <w:spacing w:after="0"/>
              <w:rPr>
                <w:sz w:val="20"/>
                <w:szCs w:val="20"/>
                <w:color w:val="auto"/>
              </w:rPr>
            </w:pPr>
            <w:r>
              <w:rPr>
                <w:rFonts w:ascii="Arial" w:cs="Arial" w:eastAsia="Arial" w:hAnsi="Arial"/>
                <w:sz w:val="14"/>
                <w:szCs w:val="14"/>
                <w:b w:val="1"/>
                <w:bCs w:val="1"/>
                <w:color w:val="auto"/>
              </w:rPr>
              <w:t>% Change</w:t>
            </w:r>
          </w:p>
        </w:tc>
      </w:tr>
      <w:tr>
        <w:trPr>
          <w:trHeight w:val="196"/>
        </w:trPr>
        <w:tc>
          <w:tcPr>
            <w:tcW w:w="59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r>
      <w:tr>
        <w:trPr>
          <w:trHeight w:val="231"/>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2,596</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4,734</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8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(2,138)</w:t>
            </w: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(45.2)%</w:t>
            </w:r>
          </w:p>
        </w:tc>
      </w:tr>
      <w:tr>
        <w:trPr>
          <w:trHeight w:val="230"/>
        </w:trPr>
        <w:tc>
          <w:tcPr>
            <w:tcW w:w="5940" w:type="dxa"/>
            <w:vAlign w:val="bottom"/>
          </w:tcPr>
          <w:p>
            <w:pPr>
              <w:ind w:left="180"/>
              <w:spacing w:after="0"/>
              <w:rPr>
                <w:sz w:val="20"/>
                <w:szCs w:val="20"/>
                <w:color w:val="auto"/>
              </w:rPr>
            </w:pPr>
            <w:r>
              <w:rPr>
                <w:rFonts w:ascii="Arial" w:cs="Arial" w:eastAsia="Arial" w:hAnsi="Arial"/>
                <w:sz w:val="18"/>
                <w:szCs w:val="18"/>
                <w:color w:val="auto"/>
              </w:rPr>
              <w:t>Simplify to Grow Program</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Intangible asset impairment charges</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5940" w:type="dxa"/>
            <w:vAlign w:val="bottom"/>
          </w:tcPr>
          <w:p>
            <w:pPr>
              <w:ind w:left="180"/>
              <w:spacing w:after="0"/>
              <w:rPr>
                <w:sz w:val="20"/>
                <w:szCs w:val="20"/>
                <w:color w:val="auto"/>
              </w:rPr>
            </w:pPr>
            <w:r>
              <w:rPr>
                <w:rFonts w:ascii="Arial" w:cs="Arial" w:eastAsia="Arial" w:hAnsi="Arial"/>
                <w:sz w:val="18"/>
                <w:szCs w:val="18"/>
                <w:color w:val="auto"/>
              </w:rPr>
              <w:t>Mark-to-market losses from derivatives</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1,110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953</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Acquisition-related items</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5940" w:type="dxa"/>
            <w:vAlign w:val="bottom"/>
          </w:tcPr>
          <w:p>
            <w:pPr>
              <w:ind w:left="180"/>
              <w:spacing w:after="0"/>
              <w:rPr>
                <w:sz w:val="20"/>
                <w:szCs w:val="20"/>
                <w:color w:val="auto"/>
              </w:rPr>
            </w:pPr>
            <w:r>
              <w:rPr>
                <w:rFonts w:ascii="Arial" w:cs="Arial" w:eastAsia="Arial" w:hAnsi="Arial"/>
                <w:sz w:val="18"/>
                <w:szCs w:val="18"/>
                <w:color w:val="auto"/>
              </w:rPr>
              <w:t>Divestiture-related items</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income from short-term distributor agreements</w:t>
            </w: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5940" w:type="dxa"/>
            <w:vAlign w:val="bottom"/>
          </w:tcPr>
          <w:p>
            <w:pPr>
              <w:ind w:left="180"/>
              <w:spacing w:after="0"/>
              <w:rPr>
                <w:sz w:val="20"/>
                <w:szCs w:val="20"/>
                <w:color w:val="auto"/>
              </w:rPr>
            </w:pPr>
            <w:r>
              <w:rPr>
                <w:rFonts w:ascii="Arial" w:cs="Arial" w:eastAsia="Arial" w:hAnsi="Arial"/>
                <w:sz w:val="18"/>
                <w:szCs w:val="18"/>
                <w:color w:val="auto"/>
              </w:rPr>
              <w:t>Incremental costs due to war in Ukraine</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European Commission legal matter</w:t>
            </w: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5940" w:type="dxa"/>
            <w:vAlign w:val="bottom"/>
          </w:tcPr>
          <w:p>
            <w:pPr>
              <w:ind w:left="180"/>
              <w:spacing w:after="0"/>
              <w:rPr>
                <w:sz w:val="20"/>
                <w:szCs w:val="20"/>
                <w:color w:val="auto"/>
              </w:rPr>
            </w:pPr>
            <w:r>
              <w:rPr>
                <w:rFonts w:ascii="Arial" w:cs="Arial" w:eastAsia="Arial" w:hAnsi="Arial"/>
                <w:sz w:val="18"/>
                <w:szCs w:val="18"/>
                <w:color w:val="auto"/>
              </w:rPr>
              <w:t>ERP System Implementation costs</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Remeasurement of net monetary position</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5940" w:type="dxa"/>
            <w:vAlign w:val="bottom"/>
          </w:tcPr>
          <w:p>
            <w:pPr>
              <w:ind w:left="180"/>
              <w:spacing w:after="0"/>
              <w:rPr>
                <w:sz w:val="20"/>
                <w:szCs w:val="20"/>
                <w:color w:val="auto"/>
              </w:rPr>
            </w:pPr>
            <w:r>
              <w:rPr>
                <w:rFonts w:ascii="Arial" w:cs="Arial" w:eastAsia="Arial" w:hAnsi="Arial"/>
                <w:sz w:val="18"/>
                <w:szCs w:val="18"/>
                <w:color w:val="auto"/>
              </w:rPr>
              <w:t>Impact from resolution of tax matters</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3"/>
        </w:trPr>
        <w:tc>
          <w:tcPr>
            <w:tcW w:w="5940" w:type="dxa"/>
            <w:vAlign w:val="bottom"/>
            <w:tcBorders>
              <w:top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b w:val="1"/>
                <w:bCs w:val="1"/>
                <w:color w:val="auto"/>
              </w:rPr>
              <w:t xml:space="preserve">Adjusted Operating Income </w:t>
            </w:r>
            <w:r>
              <w:rPr>
                <w:rFonts w:ascii="Arial" w:cs="Arial" w:eastAsia="Arial" w:hAnsi="Arial"/>
                <w:sz w:val="23"/>
                <w:szCs w:val="23"/>
                <w:b w:val="1"/>
                <w:bCs w:val="1"/>
                <w:color w:val="auto"/>
                <w:vertAlign w:val="superscript"/>
              </w:rPr>
              <w:t>(1)</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3,829</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4,940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8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(1,111)</w:t>
            </w:r>
          </w:p>
        </w:tc>
        <w:tc>
          <w:tcPr>
            <w:tcW w:w="10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(22.5)%</w:t>
            </w:r>
          </w:p>
        </w:tc>
      </w:tr>
      <w:tr>
        <w:trPr>
          <w:trHeight w:val="229"/>
        </w:trPr>
        <w:tc>
          <w:tcPr>
            <w:tcW w:w="5940" w:type="dxa"/>
            <w:vAlign w:val="bottom"/>
          </w:tcPr>
          <w:p>
            <w:pPr>
              <w:ind w:left="180"/>
              <w:spacing w:after="0"/>
              <w:rPr>
                <w:sz w:val="20"/>
                <w:szCs w:val="20"/>
                <w:color w:val="auto"/>
              </w:rPr>
            </w:pPr>
            <w:r>
              <w:rPr>
                <w:rFonts w:ascii="Arial" w:cs="Arial" w:eastAsia="Arial" w:hAnsi="Arial"/>
                <w:sz w:val="18"/>
                <w:szCs w:val="18"/>
                <w:color w:val="auto"/>
              </w:rPr>
              <w:t>Currency-related items</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48"/>
        </w:trPr>
        <w:tc>
          <w:tcPr>
            <w:tcW w:w="5940" w:type="dxa"/>
            <w:vAlign w:val="bottom"/>
            <w:tcBorders>
              <w:top w:val="single" w:sz="8" w:color="CCEEFF"/>
              <w:bottom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b w:val="1"/>
                <w:bCs w:val="1"/>
                <w:color w:val="auto"/>
              </w:rPr>
              <w:t xml:space="preserve">Adjusted Operating Income (constant currency) </w:t>
            </w:r>
            <w:r>
              <w:rPr>
                <w:rFonts w:ascii="Arial" w:cs="Arial" w:eastAsia="Arial" w:hAnsi="Arial"/>
                <w:sz w:val="23"/>
                <w:szCs w:val="23"/>
                <w:b w:val="1"/>
                <w:bCs w:val="1"/>
                <w:color w:val="auto"/>
                <w:vertAlign w:val="superscript"/>
              </w:rPr>
              <w:t>(1)</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3,811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4,940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(1,129)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(22.9)%</w:t>
            </w: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r>
      <w:tr>
        <w:trPr>
          <w:trHeight w:val="715"/>
        </w:trPr>
        <w:tc>
          <w:tcPr>
            <w:tcW w:w="59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Key Drivers of Adjusted Operating Income (constant currency)</w:t>
            </w:r>
          </w:p>
        </w:tc>
        <w:tc>
          <w:tcPr>
            <w:tcW w:w="120" w:type="dxa"/>
            <w:vAlign w:val="bottom"/>
            <w:tcBorders>
              <w:bottom w:val="single" w:sz="8" w:color="auto"/>
            </w:tcBorders>
          </w:tcPr>
          <w:p>
            <w:pPr>
              <w:spacing w:after="0"/>
              <w:rPr>
                <w:sz w:val="24"/>
                <w:szCs w:val="24"/>
                <w:color w:val="auto"/>
              </w:rPr>
            </w:pPr>
          </w:p>
        </w:tc>
        <w:tc>
          <w:tcPr>
            <w:tcW w:w="11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1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4"/>
                <w:szCs w:val="14"/>
                <w:b w:val="1"/>
                <w:bCs w:val="1"/>
                <w:color w:val="auto"/>
              </w:rPr>
              <w:t>$ Change</w:t>
            </w:r>
          </w:p>
        </w:tc>
        <w:tc>
          <w:tcPr>
            <w:tcW w:w="1220" w:type="dxa"/>
            <w:vAlign w:val="bottom"/>
            <w:tcBorders>
              <w:bottom w:val="single" w:sz="8" w:color="CCEEFF"/>
            </w:tcBorders>
          </w:tcPr>
          <w:p>
            <w:pPr>
              <w:spacing w:after="0"/>
              <w:rPr>
                <w:sz w:val="24"/>
                <w:szCs w:val="24"/>
                <w:color w:val="auto"/>
              </w:rPr>
            </w:pPr>
          </w:p>
        </w:tc>
      </w:tr>
      <w:tr>
        <w:trPr>
          <w:trHeight w:val="224"/>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Higher net pricing</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1,939</w:t>
            </w:r>
          </w:p>
        </w:tc>
        <w:tc>
          <w:tcPr>
            <w:tcW w:w="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5940" w:type="dxa"/>
            <w:vAlign w:val="bottom"/>
          </w:tcPr>
          <w:p>
            <w:pPr>
              <w:ind w:left="180"/>
              <w:spacing w:after="0"/>
              <w:rPr>
                <w:sz w:val="20"/>
                <w:szCs w:val="20"/>
                <w:color w:val="auto"/>
              </w:rPr>
            </w:pPr>
            <w:r>
              <w:rPr>
                <w:rFonts w:ascii="Arial" w:cs="Arial" w:eastAsia="Arial" w:hAnsi="Arial"/>
                <w:sz w:val="18"/>
                <w:szCs w:val="18"/>
                <w:color w:val="auto"/>
              </w:rPr>
              <w:t>Higher input costs</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(2,964)</w:t>
            </w:r>
          </w:p>
        </w:tc>
        <w:tc>
          <w:tcPr>
            <w:tcW w:w="1220" w:type="dxa"/>
            <w:vAlign w:val="bottom"/>
          </w:tcPr>
          <w:p>
            <w:pPr>
              <w:spacing w:after="0"/>
              <w:rPr>
                <w:sz w:val="19"/>
                <w:szCs w:val="19"/>
                <w:color w:val="auto"/>
              </w:rPr>
            </w:pPr>
          </w:p>
        </w:tc>
      </w:tr>
      <w:tr>
        <w:trPr>
          <w:trHeight w:val="230"/>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Unfavorable volume/mix</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(638)</w:t>
            </w:r>
          </w:p>
        </w:tc>
        <w:tc>
          <w:tcPr>
            <w:tcW w:w="1220" w:type="dxa"/>
            <w:vAlign w:val="bottom"/>
            <w:shd w:val="clear" w:color="auto" w:fill="CCEEFF"/>
          </w:tcPr>
          <w:p>
            <w:pPr>
              <w:spacing w:after="0"/>
              <w:rPr>
                <w:sz w:val="19"/>
                <w:szCs w:val="19"/>
                <w:color w:val="auto"/>
              </w:rPr>
            </w:pPr>
          </w:p>
        </w:tc>
      </w:tr>
      <w:tr>
        <w:trPr>
          <w:trHeight w:val="230"/>
        </w:trPr>
        <w:tc>
          <w:tcPr>
            <w:tcW w:w="5940" w:type="dxa"/>
            <w:vAlign w:val="bottom"/>
          </w:tcPr>
          <w:p>
            <w:pPr>
              <w:ind w:left="180"/>
              <w:spacing w:after="0"/>
              <w:rPr>
                <w:sz w:val="20"/>
                <w:szCs w:val="20"/>
                <w:color w:val="auto"/>
              </w:rPr>
            </w:pPr>
            <w:r>
              <w:rPr>
                <w:rFonts w:ascii="Arial" w:cs="Arial" w:eastAsia="Arial" w:hAnsi="Arial"/>
                <w:sz w:val="18"/>
                <w:szCs w:val="18"/>
                <w:color w:val="auto"/>
              </w:rPr>
              <w:t>Lower selling, general and administrative expenses</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468</w:t>
            </w:r>
          </w:p>
        </w:tc>
        <w:tc>
          <w:tcPr>
            <w:tcW w:w="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Impact from acquisition</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w:t>
            </w:r>
          </w:p>
        </w:tc>
        <w:tc>
          <w:tcPr>
            <w:tcW w:w="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5940" w:type="dxa"/>
            <w:vAlign w:val="bottom"/>
          </w:tcPr>
          <w:p>
            <w:pPr>
              <w:ind w:left="180"/>
              <w:spacing w:after="0"/>
              <w:rPr>
                <w:sz w:val="20"/>
                <w:szCs w:val="20"/>
                <w:color w:val="auto"/>
              </w:rPr>
            </w:pPr>
            <w:r>
              <w:rPr>
                <w:rFonts w:ascii="Arial" w:cs="Arial" w:eastAsia="Arial" w:hAnsi="Arial"/>
                <w:sz w:val="18"/>
                <w:szCs w:val="18"/>
                <w:color w:val="auto"/>
              </w:rPr>
              <w:t>Lower amortization of intangible assets</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c>
          <w:tcPr>
            <w:tcW w:w="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Lower fixed asset impairment charges</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w:t>
            </w:r>
          </w:p>
        </w:tc>
        <w:tc>
          <w:tcPr>
            <w:tcW w:w="40" w:type="dxa"/>
            <w:vAlign w:val="bottom"/>
            <w:tcBorders>
              <w:bottom w:val="single" w:sz="8" w:color="auto"/>
            </w:tcBorders>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3"/>
        </w:trPr>
        <w:tc>
          <w:tcPr>
            <w:tcW w:w="5940" w:type="dxa"/>
            <w:vAlign w:val="bottom"/>
          </w:tcPr>
          <w:p>
            <w:pPr>
              <w:ind w:left="20"/>
              <w:spacing w:after="0" w:line="223" w:lineRule="exact"/>
              <w:rPr>
                <w:sz w:val="20"/>
                <w:szCs w:val="20"/>
                <w:color w:val="auto"/>
              </w:rPr>
            </w:pPr>
            <w:r>
              <w:rPr>
                <w:rFonts w:ascii="Arial" w:cs="Arial" w:eastAsia="Arial" w:hAnsi="Arial"/>
                <w:sz w:val="16"/>
                <w:szCs w:val="16"/>
                <w:b w:val="1"/>
                <w:bCs w:val="1"/>
                <w:color w:val="auto"/>
              </w:rPr>
              <w:t xml:space="preserve">Total change in Adjusted Operating Income (constant currency) </w:t>
            </w:r>
            <w:r>
              <w:rPr>
                <w:rFonts w:ascii="Arial" w:cs="Arial" w:eastAsia="Arial" w:hAnsi="Arial"/>
                <w:sz w:val="21"/>
                <w:szCs w:val="21"/>
                <w:b w:val="1"/>
                <w:bCs w:val="1"/>
                <w:color w:val="auto"/>
                <w:vertAlign w:val="superscript"/>
              </w:rPr>
              <w:t>(1)</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rPr>
              <w:t>(1,129)</w:t>
            </w:r>
          </w:p>
        </w:tc>
        <w:tc>
          <w:tcPr>
            <w:tcW w:w="1220" w:type="dxa"/>
            <w:vAlign w:val="bottom"/>
          </w:tcPr>
          <w:p>
            <w:pPr>
              <w:spacing w:after="0"/>
              <w:rPr>
                <w:sz w:val="19"/>
                <w:szCs w:val="19"/>
                <w:color w:val="auto"/>
              </w:rPr>
            </w:pPr>
          </w:p>
        </w:tc>
      </w:tr>
      <w:tr>
        <w:trPr>
          <w:trHeight w:val="21"/>
        </w:trPr>
        <w:tc>
          <w:tcPr>
            <w:tcW w:w="5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bl>
    <w:p>
      <w:pPr>
        <w:spacing w:after="0" w:line="85"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(1)</w:t>
        <w:tab/>
        <w:t xml:space="preserve">Refer to the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section above for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6845935</wp:posOffset>
            </wp:positionH>
            <wp:positionV relativeFrom="paragraph">
              <wp:posOffset>194945</wp:posOffset>
            </wp:positionV>
            <wp:extent cx="282575" cy="18859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279400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first nine months of 2025, we realized higher net pricing, which was more than offset by increased input costs and unfavorable volume/mix. Higher net pricing, which included the carryover impact of pricing actions taken in 2024 as well as the effects of input cost-driven pricing actions taken during the first nine months of 2025, was reflected across all regions except North America where net pricing was essentially flat. The increase in input costs was driven by higher raw material costs, partially offset by lower manufacturing costs driven by productivity. Higher raw material costs were primarily due to higher cocoa, dairy, packaging, edible oils, nuts, energy and other ingredient costs, as well as unfavorable year-over-year currency exchange transaction costs on imported materials, partially offset by lower sugar and grains costs. Overall, unfavorable volume/mix was experienced across all regions, reflecting pricing elasticity impacts as well as biscuit &amp; baked snacks category softness in North America.</w:t>
      </w:r>
    </w:p>
    <w:p>
      <w:pPr>
        <w:spacing w:after="0" w:line="21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Total selling, general and administrative expenses decreased $228 million from the first nine months of 2024, which was driven by a number of factors noted in the table above, including in part, lapping prior-year implementation costs for the completed Simplify to Grow Program, the favorable impact from a resolution of an indirect tax matter and favorable year-over-year change in divestiture-related items, which were offset by an unfavorable currency-related impact to expenses, an unfavorable year-over-year change in acquisition-related items, higher costs incurred for the ERP System Implementation program and the impact from an acquisition. Excluding these net unfavorable factors, selling, general and administrative expenses decreased $468 million from the first nine months of 2024. The decrease was driven primarily by lower advertising and consumer promotion costs and lower overhead costs.</w:t>
      </w:r>
    </w:p>
    <w:p>
      <w:pPr>
        <w:spacing w:after="0" w:line="21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Currency-related items increased operating income by $18 million, due to favorable currency translation rate changes and the impact of extreme pricing in Argentina. Favorable currency translation rate changes were primarily due to the strength of several currencies relative to the U.S. dollar, including the Russian ruble, euro and British pound sterling, partially offset by the strength of the U.S. dollar relative to several currencies, including the Mexican peso, Brazilian real, Australian dollar, Swiss franc and Indian rupee.</w:t>
      </w:r>
    </w:p>
    <w:p>
      <w:pPr>
        <w:spacing w:after="0" w:line="20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Operating income margin decreased from 17.6% in the first nine months of 2024 to 9.3% in the first nine months of 2025. The decrease in operating income margin was driven primarily by lower Adjusted Operating Income margin, an unfavorable year-over-year change in mark-to-market impacts from commodity and foreign currency derivatives, an unfavorable year-over-year change in acquisition-related items and higher costs incurred for the ERP System Implementation program, partially offset by lower intangible asset impairment charges and lapping prior-year costs for the completed Simplify to Grow Program. Adjusted Operating Income margin decreased from 18.4% for the first nine months of 2024 to 13.7% for the first nine months of 2025. The decrease was driven primarily by higher raw material costs and unfavorable product mix, partially offset by higher net pricing, lower advertising and consumer promotion costs, lower manufacturing costs driven by productivity and lower overhead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6845935</wp:posOffset>
            </wp:positionH>
            <wp:positionV relativeFrom="paragraph">
              <wp:posOffset>17780</wp:posOffset>
            </wp:positionV>
            <wp:extent cx="282575" cy="18859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pacing w:after="0" w:line="16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287655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 Our effective tax rate for the nine months ended September 30, 2025, was 24.9% as compared to 26.9% for the nine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September 30, 2024. The decrease in our year-to-date effective tax rate was primarily driven by tax benefits related to the provision for final 2024 tax return filings, the tax treatment of certain foreign pension assets, and the release of liabilities for uncertain tax positions due to audit developments and statute of limitation expirations in the nine months ended September 30, 2025 as compared to the nine months ended September 30, 2024.</w:t>
      </w:r>
    </w:p>
    <w:p>
      <w:pPr>
        <w:spacing w:after="0" w:line="287" w:lineRule="exact"/>
        <w:rPr>
          <w:sz w:val="20"/>
          <w:szCs w:val="20"/>
          <w:color w:val="auto"/>
        </w:rPr>
      </w:pPr>
    </w:p>
    <w:p>
      <w:pPr>
        <w:jc w:val="both"/>
        <w:spacing w:after="0" w:line="230" w:lineRule="auto"/>
        <w:rPr>
          <w:sz w:val="20"/>
          <w:szCs w:val="20"/>
          <w:color w:val="auto"/>
        </w:rPr>
      </w:pPr>
      <w:r>
        <w:rPr>
          <w:rFonts w:ascii="Arial" w:cs="Arial" w:eastAsia="Arial" w:hAnsi="Arial"/>
          <w:sz w:val="18"/>
          <w:szCs w:val="18"/>
          <w:i w:val="1"/>
          <w:iCs w:val="1"/>
          <w:color w:val="auto"/>
        </w:rPr>
        <w:t xml:space="preserve">Net Earnings and Earnings per Share Attributable to Mondelēz International </w:t>
      </w:r>
      <w:r>
        <w:rPr>
          <w:rFonts w:ascii="Arial" w:cs="Arial" w:eastAsia="Arial" w:hAnsi="Arial"/>
          <w:sz w:val="18"/>
          <w:szCs w:val="18"/>
          <w:color w:val="auto"/>
        </w:rPr>
        <w:t>– Net earnings attributable to Mondelēz International of $1,786</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million decreased by $1,080 million (37.7%) in the first nine months of 2025. Diluted EPS attributable to Mondelēz International was $1.37 in the first nine months of 2025, down $0.75 (35.4%) from the first nine months of 2024. Adjusted EPS </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was $2.20 in the first nine months of 2025, down $0.51 (18.8%) from the first nine months of 2024. Adjusted EPS on a constant currency basis </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was $2.18 in the first nine months of 2025, down $0.53 (19.6%) from the first nine months of 2024.</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00" w:type="dxa"/>
            <w:vAlign w:val="bottom"/>
            <w:gridSpan w:val="5"/>
          </w:tcPr>
          <w:p>
            <w:pPr>
              <w:ind w:left="300"/>
              <w:spacing w:after="0"/>
              <w:rPr>
                <w:sz w:val="20"/>
                <w:szCs w:val="20"/>
                <w:color w:val="auto"/>
              </w:rPr>
            </w:pPr>
            <w:r>
              <w:rPr>
                <w:rFonts w:ascii="Arial" w:cs="Arial" w:eastAsia="Arial" w:hAnsi="Arial"/>
                <w:sz w:val="14"/>
                <w:szCs w:val="14"/>
                <w:b w:val="1"/>
                <w:bCs w:val="1"/>
                <w:color w:val="auto"/>
              </w:rPr>
              <w:t>For the Nine Months Ended</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85"/>
        </w:trPr>
        <w:tc>
          <w:tcPr>
            <w:tcW w:w="59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95"/>
        </w:trPr>
        <w:tc>
          <w:tcPr>
            <w:tcW w:w="5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jc w:val="right"/>
              <w:ind w:right="393"/>
              <w:spacing w:after="0"/>
              <w:rPr>
                <w:sz w:val="20"/>
                <w:szCs w:val="20"/>
                <w:color w:val="auto"/>
              </w:rPr>
            </w:pPr>
            <w:r>
              <w:rPr>
                <w:rFonts w:ascii="Arial" w:cs="Arial" w:eastAsia="Arial" w:hAnsi="Arial"/>
                <w:sz w:val="14"/>
                <w:szCs w:val="14"/>
                <w:b w:val="1"/>
                <w:bCs w:val="1"/>
                <w:color w:val="auto"/>
              </w:rPr>
              <w:t>2025</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40" w:type="dxa"/>
            <w:vAlign w:val="bottom"/>
          </w:tcPr>
          <w:p>
            <w:pPr>
              <w:jc w:val="right"/>
              <w:ind w:right="411"/>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4"/>
          </w:tcPr>
          <w:p>
            <w:pPr>
              <w:ind w:left="100"/>
              <w:spacing w:after="0"/>
              <w:rPr>
                <w:sz w:val="20"/>
                <w:szCs w:val="20"/>
                <w:color w:val="auto"/>
              </w:rPr>
            </w:pPr>
            <w:r>
              <w:rPr>
                <w:rFonts w:ascii="Arial" w:cs="Arial" w:eastAsia="Arial" w:hAnsi="Arial"/>
                <w:sz w:val="14"/>
                <w:szCs w:val="14"/>
                <w:b w:val="1"/>
                <w:bCs w:val="1"/>
                <w:color w:val="auto"/>
              </w:rPr>
              <w:t>$ Change</w:t>
            </w:r>
          </w:p>
        </w:tc>
        <w:tc>
          <w:tcPr>
            <w:tcW w:w="1220" w:type="dxa"/>
            <w:vAlign w:val="bottom"/>
          </w:tcPr>
          <w:p>
            <w:pPr>
              <w:jc w:val="right"/>
              <w:ind w:right="195"/>
              <w:spacing w:after="0"/>
              <w:rPr>
                <w:sz w:val="20"/>
                <w:szCs w:val="20"/>
                <w:color w:val="auto"/>
              </w:rPr>
            </w:pPr>
            <w:r>
              <w:rPr>
                <w:rFonts w:ascii="Arial" w:cs="Arial" w:eastAsia="Arial" w:hAnsi="Arial"/>
                <w:sz w:val="14"/>
                <w:szCs w:val="14"/>
                <w:b w:val="1"/>
                <w:bCs w:val="1"/>
                <w:color w:val="auto"/>
              </w:rPr>
              <w:t>% Change</w:t>
            </w:r>
          </w:p>
        </w:tc>
      </w:tr>
      <w:tr>
        <w:trPr>
          <w:trHeight w:val="224"/>
        </w:trPr>
        <w:tc>
          <w:tcPr>
            <w:tcW w:w="5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Diluted EPS attributable to Mondelēz International</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1.37</w:t>
            </w:r>
          </w:p>
        </w:tc>
        <w:tc>
          <w:tcPr>
            <w:tcW w:w="12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8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(0.75)</w:t>
            </w:r>
          </w:p>
        </w:tc>
        <w:tc>
          <w:tcPr>
            <w:tcW w:w="10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(35.4)%</w:t>
            </w:r>
          </w:p>
        </w:tc>
      </w:tr>
      <w:tr>
        <w:trPr>
          <w:trHeight w:val="229"/>
        </w:trPr>
        <w:tc>
          <w:tcPr>
            <w:tcW w:w="5940" w:type="dxa"/>
            <w:vAlign w:val="bottom"/>
          </w:tcPr>
          <w:p>
            <w:pPr>
              <w:ind w:left="180"/>
              <w:spacing w:after="0"/>
              <w:rPr>
                <w:sz w:val="20"/>
                <w:szCs w:val="20"/>
                <w:color w:val="auto"/>
              </w:rPr>
            </w:pPr>
            <w:r>
              <w:rPr>
                <w:rFonts w:ascii="Arial" w:cs="Arial" w:eastAsia="Arial" w:hAnsi="Arial"/>
                <w:sz w:val="18"/>
                <w:szCs w:val="18"/>
                <w:color w:val="auto"/>
              </w:rPr>
              <w:t>Simplify to Grow Program</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(0.06)</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Intangible asset impairment charges</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5940" w:type="dxa"/>
            <w:vAlign w:val="bottom"/>
          </w:tcPr>
          <w:p>
            <w:pPr>
              <w:ind w:left="180"/>
              <w:spacing w:after="0"/>
              <w:rPr>
                <w:sz w:val="20"/>
                <w:szCs w:val="20"/>
                <w:color w:val="auto"/>
              </w:rPr>
            </w:pPr>
            <w:r>
              <w:rPr>
                <w:rFonts w:ascii="Arial" w:cs="Arial" w:eastAsia="Arial" w:hAnsi="Arial"/>
                <w:sz w:val="18"/>
                <w:szCs w:val="18"/>
                <w:color w:val="auto"/>
              </w:rPr>
              <w:t>Mark-to-market losses from derivatives</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0.68</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0.09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0.59</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Acquisition-related items</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5940" w:type="dxa"/>
            <w:vAlign w:val="bottom"/>
          </w:tcPr>
          <w:p>
            <w:pPr>
              <w:ind w:left="180"/>
              <w:spacing w:after="0"/>
              <w:rPr>
                <w:sz w:val="20"/>
                <w:szCs w:val="20"/>
                <w:color w:val="auto"/>
              </w:rPr>
            </w:pPr>
            <w:r>
              <w:rPr>
                <w:rFonts w:ascii="Arial" w:cs="Arial" w:eastAsia="Arial" w:hAnsi="Arial"/>
                <w:sz w:val="18"/>
                <w:szCs w:val="18"/>
                <w:color w:val="auto"/>
              </w:rPr>
              <w:t>Divestiture-related items</w:t>
            </w:r>
          </w:p>
        </w:tc>
        <w:tc>
          <w:tcPr>
            <w:tcW w:w="12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ERP System Implementation costs</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5940" w:type="dxa"/>
            <w:vAlign w:val="bottom"/>
          </w:tcPr>
          <w:p>
            <w:pPr>
              <w:ind w:left="180"/>
              <w:spacing w:after="0"/>
              <w:rPr>
                <w:sz w:val="20"/>
                <w:szCs w:val="20"/>
                <w:color w:val="auto"/>
              </w:rPr>
            </w:pPr>
            <w:r>
              <w:rPr>
                <w:rFonts w:ascii="Arial" w:cs="Arial" w:eastAsia="Arial" w:hAnsi="Arial"/>
                <w:sz w:val="18"/>
                <w:szCs w:val="18"/>
                <w:color w:val="auto"/>
              </w:rPr>
              <w:t>Remeasurement of net monetary position</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0.02</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Pr>
          <w:p>
            <w:pPr>
              <w:spacing w:after="0"/>
              <w:rPr>
                <w:sz w:val="19"/>
                <w:szCs w:val="19"/>
                <w:color w:val="auto"/>
              </w:rPr>
            </w:pPr>
          </w:p>
        </w:tc>
      </w:tr>
      <w:tr>
        <w:trPr>
          <w:trHeight w:val="229"/>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Impact from pension participation changes</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5940" w:type="dxa"/>
            <w:vAlign w:val="bottom"/>
          </w:tcPr>
          <w:p>
            <w:pPr>
              <w:ind w:left="180"/>
              <w:spacing w:after="0"/>
              <w:rPr>
                <w:sz w:val="20"/>
                <w:szCs w:val="20"/>
                <w:color w:val="auto"/>
              </w:rPr>
            </w:pPr>
            <w:r>
              <w:rPr>
                <w:rFonts w:ascii="Arial" w:cs="Arial" w:eastAsia="Arial" w:hAnsi="Arial"/>
                <w:sz w:val="18"/>
                <w:szCs w:val="18"/>
                <w:color w:val="auto"/>
              </w:rPr>
              <w:t>Impact from resolution of tax matters</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(0.02)</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Initial impacts from enacted tax law changes</w:t>
            </w: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59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(Gain)/loss on equity method investment transactions</w:t>
            </w: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(0.13)</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(0.63)</w:t>
            </w:r>
          </w:p>
        </w:tc>
        <w:tc>
          <w:tcPr>
            <w:tcW w:w="10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r>
      <w:tr>
        <w:trPr>
          <w:trHeight w:val="223"/>
        </w:trPr>
        <w:tc>
          <w:tcPr>
            <w:tcW w:w="594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b w:val="1"/>
                <w:bCs w:val="1"/>
                <w:color w:val="auto"/>
              </w:rPr>
              <w:t xml:space="preserve">Adjusted EPS </w:t>
            </w:r>
            <w:r>
              <w:rPr>
                <w:rFonts w:ascii="Arial" w:cs="Arial" w:eastAsia="Arial" w:hAnsi="Arial"/>
                <w:sz w:val="23"/>
                <w:szCs w:val="23"/>
                <w:b w:val="1"/>
                <w:bCs w:val="1"/>
                <w:color w:val="auto"/>
                <w:vertAlign w:val="superscript"/>
              </w:rPr>
              <w:t>(1)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2.20</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(0.51)</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(18.8)%</w:t>
            </w:r>
          </w:p>
        </w:tc>
      </w:tr>
      <w:tr>
        <w:trPr>
          <w:trHeight w:val="230"/>
        </w:trPr>
        <w:tc>
          <w:tcPr>
            <w:tcW w:w="5940" w:type="dxa"/>
            <w:vAlign w:val="bottom"/>
          </w:tcPr>
          <w:p>
            <w:pPr>
              <w:ind w:left="220"/>
              <w:spacing w:after="0"/>
              <w:rPr>
                <w:sz w:val="20"/>
                <w:szCs w:val="20"/>
                <w:color w:val="auto"/>
              </w:rPr>
            </w:pPr>
            <w:r>
              <w:rPr>
                <w:rFonts w:ascii="Arial" w:cs="Arial" w:eastAsia="Arial" w:hAnsi="Arial"/>
                <w:sz w:val="18"/>
                <w:szCs w:val="18"/>
                <w:color w:val="auto"/>
              </w:rPr>
              <w:t>Currency-related items</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(0.02)</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48"/>
        </w:trPr>
        <w:tc>
          <w:tcPr>
            <w:tcW w:w="5940" w:type="dxa"/>
            <w:vAlign w:val="bottom"/>
            <w:tcBorders>
              <w:top w:val="single" w:sz="8" w:color="CCEEFF"/>
              <w:bottom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b w:val="1"/>
                <w:bCs w:val="1"/>
                <w:color w:val="auto"/>
              </w:rPr>
              <w:t xml:space="preserve">Adjusted EPS (constant currency) </w:t>
            </w:r>
            <w:r>
              <w:rPr>
                <w:rFonts w:ascii="Arial" w:cs="Arial" w:eastAsia="Arial" w:hAnsi="Arial"/>
                <w:sz w:val="23"/>
                <w:szCs w:val="23"/>
                <w:b w:val="1"/>
                <w:bCs w:val="1"/>
                <w:color w:val="auto"/>
                <w:vertAlign w:val="superscript"/>
              </w:rPr>
              <w:t>(1)</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(0.53)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(19.6)%</w:t>
            </w: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r>
      <w:tr>
        <w:trPr>
          <w:trHeight w:val="297"/>
        </w:trPr>
        <w:tc>
          <w:tcPr>
            <w:tcW w:w="59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Key Drivers of Adjusted EPS (constant currency)</w:t>
            </w:r>
          </w:p>
        </w:tc>
        <w:tc>
          <w:tcPr>
            <w:tcW w:w="120" w:type="dxa"/>
            <w:vAlign w:val="bottom"/>
            <w:tcBorders>
              <w:bottom w:val="single" w:sz="8" w:color="auto"/>
            </w:tcBorders>
          </w:tcPr>
          <w:p>
            <w:pPr>
              <w:spacing w:after="0"/>
              <w:rPr>
                <w:sz w:val="24"/>
                <w:szCs w:val="24"/>
                <w:color w:val="auto"/>
              </w:rPr>
            </w:pPr>
          </w:p>
        </w:tc>
        <w:tc>
          <w:tcPr>
            <w:tcW w:w="11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60" w:type="dxa"/>
            <w:vAlign w:val="bottom"/>
            <w:tcBorders>
              <w:bottom w:val="single" w:sz="8" w:color="CCEEFF"/>
            </w:tcBorders>
          </w:tcPr>
          <w:p>
            <w:pPr>
              <w:spacing w:after="0"/>
              <w:rPr>
                <w:sz w:val="24"/>
                <w:szCs w:val="24"/>
                <w:color w:val="auto"/>
              </w:rPr>
            </w:pPr>
          </w:p>
        </w:tc>
        <w:tc>
          <w:tcPr>
            <w:tcW w:w="8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 Change</w:t>
            </w:r>
          </w:p>
        </w:tc>
        <w:tc>
          <w:tcPr>
            <w:tcW w:w="1220" w:type="dxa"/>
            <w:vAlign w:val="bottom"/>
            <w:tcBorders>
              <w:bottom w:val="single" w:sz="8" w:color="CCEEFF"/>
            </w:tcBorders>
          </w:tcPr>
          <w:p>
            <w:pPr>
              <w:spacing w:after="0"/>
              <w:rPr>
                <w:sz w:val="24"/>
                <w:szCs w:val="24"/>
                <w:color w:val="auto"/>
              </w:rPr>
            </w:pPr>
          </w:p>
        </w:tc>
      </w:tr>
      <w:tr>
        <w:trPr>
          <w:trHeight w:val="224"/>
        </w:trPr>
        <w:tc>
          <w:tcPr>
            <w:tcW w:w="59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Decrease in operations</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gridSpan w:val="3"/>
            <w:shd w:val="clear" w:color="auto" w:fill="CCEEFF"/>
          </w:tcPr>
          <w:p>
            <w:pPr>
              <w:jc w:val="center"/>
              <w:ind w:left="331"/>
              <w:spacing w:after="0"/>
              <w:rPr>
                <w:sz w:val="20"/>
                <w:szCs w:val="20"/>
                <w:color w:val="auto"/>
              </w:rPr>
            </w:pPr>
            <w:r>
              <w:rPr>
                <w:rFonts w:ascii="Arial" w:cs="Arial" w:eastAsia="Arial" w:hAnsi="Arial"/>
                <w:sz w:val="18"/>
                <w:szCs w:val="18"/>
                <w:color w:val="auto"/>
              </w:rPr>
              <w:t>(0.63)</w:t>
            </w:r>
          </w:p>
        </w:tc>
        <w:tc>
          <w:tcPr>
            <w:tcW w:w="1220" w:type="dxa"/>
            <w:vAlign w:val="bottom"/>
            <w:shd w:val="clear" w:color="auto" w:fill="CCEEFF"/>
          </w:tcPr>
          <w:p>
            <w:pPr>
              <w:spacing w:after="0"/>
              <w:rPr>
                <w:sz w:val="19"/>
                <w:szCs w:val="19"/>
                <w:color w:val="auto"/>
              </w:rPr>
            </w:pPr>
          </w:p>
        </w:tc>
      </w:tr>
      <w:tr>
        <w:trPr>
          <w:trHeight w:val="230"/>
        </w:trPr>
        <w:tc>
          <w:tcPr>
            <w:tcW w:w="5940" w:type="dxa"/>
            <w:vAlign w:val="bottom"/>
          </w:tcPr>
          <w:p>
            <w:pPr>
              <w:ind w:left="380"/>
              <w:spacing w:after="0"/>
              <w:rPr>
                <w:sz w:val="20"/>
                <w:szCs w:val="20"/>
                <w:color w:val="auto"/>
              </w:rPr>
            </w:pPr>
            <w:r>
              <w:rPr>
                <w:rFonts w:ascii="Arial" w:cs="Arial" w:eastAsia="Arial" w:hAnsi="Arial"/>
                <w:sz w:val="18"/>
                <w:szCs w:val="18"/>
                <w:color w:val="auto"/>
              </w:rPr>
              <w:t>Impact from acquisitions</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center"/>
              <w:ind w:left="391"/>
              <w:spacing w:after="0"/>
              <w:rPr>
                <w:sz w:val="20"/>
                <w:szCs w:val="20"/>
                <w:color w:val="auto"/>
              </w:rPr>
            </w:pPr>
            <w:r>
              <w:rPr>
                <w:rFonts w:ascii="Arial" w:cs="Arial" w:eastAsia="Arial" w:hAnsi="Arial"/>
                <w:sz w:val="18"/>
                <w:szCs w:val="18"/>
                <w:color w:val="auto"/>
                <w:w w:val="96"/>
              </w:rPr>
              <w:t>0.02</w:t>
            </w:r>
          </w:p>
        </w:tc>
        <w:tc>
          <w:tcPr>
            <w:tcW w:w="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59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Change in benefit plan non-service income</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center"/>
              <w:ind w:left="331"/>
              <w:spacing w:after="0"/>
              <w:rPr>
                <w:sz w:val="20"/>
                <w:szCs w:val="20"/>
                <w:color w:val="auto"/>
              </w:rPr>
            </w:pPr>
            <w:r>
              <w:rPr>
                <w:rFonts w:ascii="Arial" w:cs="Arial" w:eastAsia="Arial" w:hAnsi="Arial"/>
                <w:sz w:val="18"/>
                <w:szCs w:val="18"/>
                <w:color w:val="auto"/>
              </w:rPr>
              <w:t>(0.01)</w:t>
            </w:r>
          </w:p>
        </w:tc>
        <w:tc>
          <w:tcPr>
            <w:tcW w:w="1220" w:type="dxa"/>
            <w:vAlign w:val="bottom"/>
            <w:shd w:val="clear" w:color="auto" w:fill="CCEEFF"/>
          </w:tcPr>
          <w:p>
            <w:pPr>
              <w:spacing w:after="0"/>
              <w:rPr>
                <w:sz w:val="19"/>
                <w:szCs w:val="19"/>
                <w:color w:val="auto"/>
              </w:rPr>
            </w:pPr>
          </w:p>
        </w:tc>
      </w:tr>
      <w:tr>
        <w:trPr>
          <w:trHeight w:val="230"/>
        </w:trPr>
        <w:tc>
          <w:tcPr>
            <w:tcW w:w="5940" w:type="dxa"/>
            <w:vAlign w:val="bottom"/>
          </w:tcPr>
          <w:p>
            <w:pPr>
              <w:ind w:left="380"/>
              <w:spacing w:after="0"/>
              <w:rPr>
                <w:sz w:val="20"/>
                <w:szCs w:val="20"/>
                <w:color w:val="auto"/>
              </w:rPr>
            </w:pPr>
            <w:r>
              <w:rPr>
                <w:rFonts w:ascii="Arial" w:cs="Arial" w:eastAsia="Arial" w:hAnsi="Arial"/>
                <w:sz w:val="18"/>
                <w:szCs w:val="18"/>
                <w:color w:val="auto"/>
              </w:rPr>
              <w:t>Change in interest and other expense, net</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3"/>
          </w:tcPr>
          <w:p>
            <w:pPr>
              <w:jc w:val="center"/>
              <w:ind w:left="331"/>
              <w:spacing w:after="0"/>
              <w:rPr>
                <w:sz w:val="20"/>
                <w:szCs w:val="20"/>
                <w:color w:val="auto"/>
              </w:rPr>
            </w:pPr>
            <w:r>
              <w:rPr>
                <w:rFonts w:ascii="Arial" w:cs="Arial" w:eastAsia="Arial" w:hAnsi="Arial"/>
                <w:sz w:val="18"/>
                <w:szCs w:val="18"/>
                <w:color w:val="auto"/>
              </w:rPr>
              <w:t>(0.05)</w:t>
            </w:r>
          </w:p>
        </w:tc>
        <w:tc>
          <w:tcPr>
            <w:tcW w:w="1220" w:type="dxa"/>
            <w:vAlign w:val="bottom"/>
          </w:tcPr>
          <w:p>
            <w:pPr>
              <w:spacing w:after="0"/>
              <w:rPr>
                <w:sz w:val="19"/>
                <w:szCs w:val="19"/>
                <w:color w:val="auto"/>
              </w:rPr>
            </w:pPr>
          </w:p>
        </w:tc>
      </w:tr>
      <w:tr>
        <w:trPr>
          <w:trHeight w:val="229"/>
        </w:trPr>
        <w:tc>
          <w:tcPr>
            <w:tcW w:w="59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Change in income taxes</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center"/>
              <w:ind w:left="391"/>
              <w:spacing w:after="0"/>
              <w:rPr>
                <w:sz w:val="20"/>
                <w:szCs w:val="20"/>
                <w:color w:val="auto"/>
              </w:rPr>
            </w:pPr>
            <w:r>
              <w:rPr>
                <w:rFonts w:ascii="Arial" w:cs="Arial" w:eastAsia="Arial" w:hAnsi="Arial"/>
                <w:sz w:val="18"/>
                <w:szCs w:val="18"/>
                <w:color w:val="auto"/>
                <w:w w:val="96"/>
              </w:rPr>
              <w:t>0.07</w:t>
            </w:r>
          </w:p>
        </w:tc>
        <w:tc>
          <w:tcPr>
            <w:tcW w:w="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594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Change in shares outstanding</w:t>
            </w:r>
          </w:p>
        </w:tc>
        <w:tc>
          <w:tcPr>
            <w:tcW w:w="12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center"/>
              <w:ind w:left="391"/>
              <w:spacing w:after="0"/>
              <w:rPr>
                <w:sz w:val="20"/>
                <w:szCs w:val="20"/>
                <w:color w:val="auto"/>
              </w:rPr>
            </w:pPr>
            <w:r>
              <w:rPr>
                <w:rFonts w:ascii="Arial" w:cs="Arial" w:eastAsia="Arial" w:hAnsi="Arial"/>
                <w:sz w:val="18"/>
                <w:szCs w:val="18"/>
                <w:color w:val="auto"/>
                <w:w w:val="96"/>
              </w:rPr>
              <w:t>0.07</w:t>
            </w:r>
          </w:p>
        </w:tc>
        <w:tc>
          <w:tcPr>
            <w:tcW w:w="40" w:type="dxa"/>
            <w:vAlign w:val="bottom"/>
            <w:tcBorders>
              <w:bottom w:val="single" w:sz="8" w:color="auto"/>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r>
      <w:tr>
        <w:trPr>
          <w:trHeight w:val="248"/>
        </w:trPr>
        <w:tc>
          <w:tcPr>
            <w:tcW w:w="5940" w:type="dxa"/>
            <w:vAlign w:val="bottom"/>
            <w:tcBorders>
              <w:bottom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b w:val="1"/>
                <w:bCs w:val="1"/>
                <w:color w:val="auto"/>
              </w:rPr>
              <w:t xml:space="preserve">Total change in Adjusted EPS (constant currency) </w:t>
            </w:r>
            <w:r>
              <w:rPr>
                <w:rFonts w:ascii="Arial" w:cs="Arial" w:eastAsia="Arial" w:hAnsi="Arial"/>
                <w:sz w:val="23"/>
                <w:szCs w:val="23"/>
                <w:b w:val="1"/>
                <w:bCs w:val="1"/>
                <w:color w:val="auto"/>
                <w:vertAlign w:val="superscript"/>
              </w:rPr>
              <w:t>(1)</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gridSpan w:val="3"/>
            <w:shd w:val="clear" w:color="auto" w:fill="CCEEFF"/>
          </w:tcPr>
          <w:p>
            <w:pPr>
              <w:jc w:val="center"/>
              <w:ind w:left="331"/>
              <w:spacing w:after="0"/>
              <w:rPr>
                <w:sz w:val="20"/>
                <w:szCs w:val="20"/>
                <w:color w:val="auto"/>
              </w:rPr>
            </w:pPr>
            <w:r>
              <w:rPr>
                <w:rFonts w:ascii="Arial" w:cs="Arial" w:eastAsia="Arial" w:hAnsi="Arial"/>
                <w:sz w:val="18"/>
                <w:szCs w:val="18"/>
                <w:b w:val="1"/>
                <w:bCs w:val="1"/>
                <w:color w:val="auto"/>
              </w:rPr>
              <w:t>(0.53)</w:t>
            </w:r>
          </w:p>
        </w:tc>
        <w:tc>
          <w:tcPr>
            <w:tcW w:w="1220" w:type="dxa"/>
            <w:vAlign w:val="bottom"/>
            <w:tcBorders>
              <w:bottom w:val="single" w:sz="8" w:color="CCEEFF"/>
            </w:tcBorders>
            <w:shd w:val="clear" w:color="auto" w:fill="CCEEFF"/>
          </w:tcPr>
          <w:p>
            <w:pPr>
              <w:spacing w:after="0"/>
              <w:rPr>
                <w:sz w:val="21"/>
                <w:szCs w:val="21"/>
                <w:color w:val="auto"/>
              </w:rPr>
            </w:pP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r>
    </w:tbl>
    <w:p>
      <w:pPr>
        <w:spacing w:after="0" w:line="85" w:lineRule="exact"/>
        <w:rPr>
          <w:sz w:val="20"/>
          <w:szCs w:val="20"/>
          <w:color w:val="auto"/>
        </w:rPr>
      </w:pPr>
    </w:p>
    <w:p>
      <w:pPr>
        <w:ind w:left="340" w:hanging="332"/>
        <w:spacing w:after="0" w:line="261" w:lineRule="auto"/>
        <w:tabs>
          <w:tab w:leader="none" w:pos="327" w:val="left"/>
        </w:tabs>
        <w:numPr>
          <w:ilvl w:val="0"/>
          <w:numId w:val="23"/>
        </w:numPr>
        <w:rPr>
          <w:rFonts w:ascii="Arial" w:cs="Arial" w:eastAsia="Arial" w:hAnsi="Arial"/>
          <w:sz w:val="14"/>
          <w:szCs w:val="14"/>
          <w:color w:val="auto"/>
        </w:rPr>
      </w:pPr>
      <w:r>
        <w:rPr>
          <w:rFonts w:ascii="Arial" w:cs="Arial" w:eastAsia="Arial" w:hAnsi="Arial"/>
          <w:sz w:val="14"/>
          <w:szCs w:val="14"/>
          <w:color w:val="auto"/>
        </w:rPr>
        <w:t xml:space="preserve">Refer to the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section above for additional information. The tax expense/(benefit) of each of the pre-tax items excluded from our U.S. GAAP results was computed based on the facts and tax assumptions associated with each item, and such impacts have also been excluded from Adjusted EPS.</w:t>
      </w:r>
    </w:p>
    <w:p>
      <w:pPr>
        <w:spacing w:after="0" w:line="1" w:lineRule="exact"/>
        <w:rPr>
          <w:rFonts w:ascii="Arial" w:cs="Arial" w:eastAsia="Arial" w:hAnsi="Arial"/>
          <w:sz w:val="14"/>
          <w:szCs w:val="14"/>
          <w:color w:val="auto"/>
        </w:rPr>
      </w:pPr>
    </w:p>
    <w:p>
      <w:pPr>
        <w:jc w:val="both"/>
        <w:ind w:left="660" w:hanging="328"/>
        <w:spacing w:after="0" w:line="256" w:lineRule="auto"/>
        <w:tabs>
          <w:tab w:leader="none" w:pos="656" w:val="left"/>
        </w:tabs>
        <w:numPr>
          <w:ilvl w:val="1"/>
          <w:numId w:val="23"/>
        </w:numPr>
        <w:rPr>
          <w:rFonts w:ascii="Arial" w:cs="Arial" w:eastAsia="Arial" w:hAnsi="Arial"/>
          <w:sz w:val="14"/>
          <w:szCs w:val="14"/>
          <w:color w:val="auto"/>
        </w:rPr>
      </w:pPr>
      <w:r>
        <w:rPr>
          <w:rFonts w:ascii="Arial" w:cs="Arial" w:eastAsia="Arial" w:hAnsi="Arial"/>
          <w:sz w:val="14"/>
          <w:szCs w:val="14"/>
          <w:color w:val="auto"/>
        </w:rPr>
        <w:t>For the nine months ended September 30, 2025, taxes for the: Simplify to Grow Program were $3 million, intangible asset impairment charges were $(9) million, mark-to-market losses from derivatives were $(223) million, acquisition-related items were $19 million, ERP System Implementation program were $(28) million, remeasurement of net monetary position were zero, impact from pension participation changes was $(87) million, impact from resolution of tax matters was $10 million and gain on equity method investment transactions was zero.</w:t>
      </w:r>
    </w:p>
    <w:p>
      <w:pPr>
        <w:spacing w:after="0" w:line="1" w:lineRule="exact"/>
        <w:rPr>
          <w:rFonts w:ascii="Arial" w:cs="Arial" w:eastAsia="Arial" w:hAnsi="Arial"/>
          <w:sz w:val="14"/>
          <w:szCs w:val="14"/>
          <w:color w:val="auto"/>
        </w:rPr>
      </w:pPr>
    </w:p>
    <w:p>
      <w:pPr>
        <w:jc w:val="both"/>
        <w:ind w:left="660" w:hanging="328"/>
        <w:spacing w:after="0" w:line="269" w:lineRule="auto"/>
        <w:tabs>
          <w:tab w:leader="none" w:pos="656" w:val="left"/>
        </w:tabs>
        <w:numPr>
          <w:ilvl w:val="1"/>
          <w:numId w:val="23"/>
        </w:numPr>
        <w:rPr>
          <w:rFonts w:ascii="Arial" w:cs="Arial" w:eastAsia="Arial" w:hAnsi="Arial"/>
          <w:sz w:val="14"/>
          <w:szCs w:val="14"/>
          <w:color w:val="auto"/>
        </w:rPr>
      </w:pPr>
      <w:r>
        <w:rPr>
          <w:rFonts w:ascii="Arial" w:cs="Arial" w:eastAsia="Arial" w:hAnsi="Arial"/>
          <w:sz w:val="14"/>
          <w:szCs w:val="14"/>
          <w:color w:val="auto"/>
        </w:rPr>
        <w:t>For the nine months ended September 30, 2024, taxes for the: Simplify to Grow Program were $(19) million, intangible asset impairment charges were $(40) million, mark-to-market losses from derivatives were $(28) million, acquisition-related items were $67 million, divestiture-related items were zero, ERP System Implementation program were $(8) million, remeasurement of net monetary position were zero, initial impacts from enacted tax law changes were $12 million and loss on equity method investment transactions was zero.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6845935</wp:posOffset>
            </wp:positionH>
            <wp:positionV relativeFrom="paragraph">
              <wp:posOffset>473075</wp:posOffset>
            </wp:positionV>
            <wp:extent cx="282575" cy="18859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287655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by Reportable Segment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Our operations and management structure are organized into four operating segments:</w:t>
      </w:r>
    </w:p>
    <w:p>
      <w:pPr>
        <w:spacing w:after="0" w:line="27"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Latin America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AMEA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Europe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North America</w:t>
      </w:r>
    </w:p>
    <w:p>
      <w:pPr>
        <w:spacing w:after="0" w:line="23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manage our operations by region to leverage regional operating scale, manage different and changing business environments more effectively and pursue growth opportunities as they arise across our key markets. Our regional management teams have responsibility for the business, product categories and financial results in the regions.</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We use segment operating income to evaluate segment performance and allocate resources. We believe it is appropriate to disclose this measure to help investors analyze segment performance and trends. See Note 16, </w:t>
      </w:r>
      <w:r>
        <w:rPr>
          <w:rFonts w:ascii="Arial" w:cs="Arial" w:eastAsia="Arial" w:hAnsi="Arial"/>
          <w:sz w:val="18"/>
          <w:szCs w:val="18"/>
          <w:i w:val="1"/>
          <w:iCs w:val="1"/>
          <w:color w:val="auto"/>
        </w:rPr>
        <w:t>Segment Reporting,</w:t>
      </w:r>
      <w:r>
        <w:rPr>
          <w:rFonts w:ascii="Arial" w:cs="Arial" w:eastAsia="Arial" w:hAnsi="Arial"/>
          <w:sz w:val="18"/>
          <w:szCs w:val="18"/>
          <w:color w:val="auto"/>
        </w:rPr>
        <w:t xml:space="preserve"> for additional information on our segments and </w:t>
      </w:r>
      <w:r>
        <w:rPr>
          <w:rFonts w:ascii="Arial" w:cs="Arial" w:eastAsia="Arial" w:hAnsi="Arial"/>
          <w:sz w:val="18"/>
          <w:szCs w:val="18"/>
          <w:i w:val="1"/>
          <w:iCs w:val="1"/>
          <w:color w:val="auto"/>
        </w:rPr>
        <w:t>Items Affecting Comparability of Financial Results</w:t>
      </w:r>
      <w:r>
        <w:rPr>
          <w:rFonts w:ascii="Arial" w:cs="Arial" w:eastAsia="Arial" w:hAnsi="Arial"/>
          <w:sz w:val="18"/>
          <w:szCs w:val="18"/>
          <w:color w:val="auto"/>
        </w:rPr>
        <w:t xml:space="preserve"> earlier in this section for items affecting our segment operating results.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Our reconciliation of segment net revenues and earnings to consolidated financial statement totals were:</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3060" w:type="dxa"/>
            <w:vAlign w:val="bottom"/>
            <w:gridSpan w:val="6"/>
          </w:tcPr>
          <w:p>
            <w:pPr>
              <w:ind w:left="500"/>
              <w:spacing w:after="0"/>
              <w:rPr>
                <w:sz w:val="20"/>
                <w:szCs w:val="20"/>
                <w:color w:val="auto"/>
              </w:rPr>
            </w:pPr>
            <w:r>
              <w:rPr>
                <w:rFonts w:ascii="Arial" w:cs="Arial" w:eastAsia="Arial" w:hAnsi="Arial"/>
                <w:sz w:val="14"/>
                <w:szCs w:val="14"/>
                <w:b w:val="1"/>
                <w:bCs w:val="1"/>
                <w:color w:val="auto"/>
              </w:rPr>
              <w:t>For the Three Months Ended</w:t>
            </w:r>
          </w:p>
        </w:tc>
        <w:tc>
          <w:tcPr>
            <w:tcW w:w="460" w:type="dxa"/>
            <w:vAlign w:val="bottom"/>
          </w:tcPr>
          <w:p>
            <w:pPr>
              <w:spacing w:after="0"/>
              <w:rPr>
                <w:sz w:val="14"/>
                <w:szCs w:val="14"/>
                <w:color w:val="auto"/>
              </w:rPr>
            </w:pPr>
          </w:p>
        </w:tc>
        <w:tc>
          <w:tcPr>
            <w:tcW w:w="2520" w:type="dxa"/>
            <w:vAlign w:val="bottom"/>
            <w:gridSpan w:val="4"/>
          </w:tcPr>
          <w:p>
            <w:pPr>
              <w:jc w:val="right"/>
              <w:ind w:right="451"/>
              <w:spacing w:after="0"/>
              <w:rPr>
                <w:sz w:val="20"/>
                <w:szCs w:val="20"/>
                <w:color w:val="auto"/>
              </w:rPr>
            </w:pPr>
            <w:r>
              <w:rPr>
                <w:rFonts w:ascii="Arial" w:cs="Arial" w:eastAsia="Arial" w:hAnsi="Arial"/>
                <w:sz w:val="14"/>
                <w:szCs w:val="14"/>
                <w:b w:val="1"/>
                <w:bCs w:val="1"/>
                <w:color w:val="auto"/>
              </w:rPr>
              <w:t>For the Nine Months Ended</w:t>
            </w:r>
          </w:p>
        </w:tc>
      </w:tr>
      <w:tr>
        <w:trPr>
          <w:trHeight w:val="189"/>
        </w:trPr>
        <w:tc>
          <w:tcPr>
            <w:tcW w:w="520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Borders>
              <w:bottom w:val="single" w:sz="8" w:color="auto"/>
            </w:tcBorders>
          </w:tcPr>
          <w:p>
            <w:pPr>
              <w:spacing w:after="0"/>
              <w:rPr>
                <w:sz w:val="16"/>
                <w:szCs w:val="16"/>
                <w:color w:val="auto"/>
              </w:rPr>
            </w:pPr>
          </w:p>
        </w:tc>
      </w:tr>
      <w:tr>
        <w:trPr>
          <w:trHeight w:val="195"/>
        </w:trPr>
        <w:tc>
          <w:tcPr>
            <w:tcW w:w="520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2024</w:t>
            </w:r>
          </w:p>
        </w:tc>
      </w:tr>
      <w:tr>
        <w:trPr>
          <w:trHeight w:val="196"/>
        </w:trPr>
        <w:tc>
          <w:tcPr>
            <w:tcW w:w="5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50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millions)</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31"/>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8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r>
      <w:tr>
        <w:trPr>
          <w:trHeight w:val="229"/>
        </w:trPr>
        <w:tc>
          <w:tcPr>
            <w:tcW w:w="5200" w:type="dxa"/>
            <w:vAlign w:val="bottom"/>
          </w:tcPr>
          <w:p>
            <w:pPr>
              <w:ind w:left="140"/>
              <w:spacing w:after="0"/>
              <w:rPr>
                <w:sz w:val="20"/>
                <w:szCs w:val="20"/>
                <w:color w:val="auto"/>
              </w:rPr>
            </w:pPr>
            <w:r>
              <w:rPr>
                <w:rFonts w:ascii="Arial" w:cs="Arial" w:eastAsia="Arial" w:hAnsi="Arial"/>
                <w:sz w:val="18"/>
                <w:szCs w:val="18"/>
                <w:color w:val="auto"/>
              </w:rPr>
              <w:t>Latin America</w:t>
            </w:r>
          </w:p>
        </w:tc>
        <w:tc>
          <w:tcPr>
            <w:tcW w:w="880" w:type="dxa"/>
            <w:vAlign w:val="bottom"/>
          </w:tcPr>
          <w:p>
            <w:pPr>
              <w:jc w:val="right"/>
              <w:ind w:right="676"/>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7"/>
              </w:rPr>
              <w:t>1,238</w:t>
            </w:r>
          </w:p>
        </w:tc>
        <w:tc>
          <w:tcPr>
            <w:tcW w:w="12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1,204</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3,635</w:t>
            </w:r>
          </w:p>
        </w:tc>
        <w:tc>
          <w:tcPr>
            <w:tcW w:w="10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3,755</w:t>
            </w:r>
          </w:p>
        </w:tc>
      </w:tr>
      <w:tr>
        <w:trPr>
          <w:trHeight w:val="230"/>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AMEA</w:t>
            </w: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2,017</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5,388</w:t>
            </w:r>
          </w:p>
        </w:tc>
      </w:tr>
      <w:tr>
        <w:trPr>
          <w:trHeight w:val="229"/>
        </w:trPr>
        <w:tc>
          <w:tcPr>
            <w:tcW w:w="5200" w:type="dxa"/>
            <w:vAlign w:val="bottom"/>
          </w:tcPr>
          <w:p>
            <w:pPr>
              <w:ind w:left="140"/>
              <w:spacing w:after="0"/>
              <w:rPr>
                <w:sz w:val="20"/>
                <w:szCs w:val="20"/>
                <w:color w:val="auto"/>
              </w:rPr>
            </w:pPr>
            <w:r>
              <w:rPr>
                <w:rFonts w:ascii="Arial" w:cs="Arial" w:eastAsia="Arial" w:hAnsi="Arial"/>
                <w:sz w:val="18"/>
                <w:szCs w:val="18"/>
                <w:color w:val="auto"/>
              </w:rPr>
              <w:t>Europe</w:t>
            </w:r>
          </w:p>
        </w:tc>
        <w:tc>
          <w:tcPr>
            <w:tcW w:w="8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7"/>
              </w:rPr>
              <w:t>3,674</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3,323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10,636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9,565</w:t>
            </w:r>
          </w:p>
        </w:tc>
      </w:tr>
      <w:tr>
        <w:trPr>
          <w:trHeight w:val="230"/>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North America</w:t>
            </w:r>
          </w:p>
        </w:tc>
        <w:tc>
          <w:tcPr>
            <w:tcW w:w="8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2,815</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2,826</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7,916</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8,129</w:t>
            </w:r>
          </w:p>
        </w:tc>
      </w:tr>
      <w:tr>
        <w:trPr>
          <w:trHeight w:val="196"/>
        </w:trPr>
        <w:tc>
          <w:tcPr>
            <w:tcW w:w="5200" w:type="dxa"/>
            <w:vAlign w:val="bottom"/>
          </w:tcPr>
          <w:p>
            <w:pPr>
              <w:ind w:left="20"/>
              <w:spacing w:after="0" w:line="196" w:lineRule="exact"/>
              <w:rPr>
                <w:sz w:val="20"/>
                <w:szCs w:val="20"/>
                <w:color w:val="auto"/>
              </w:rPr>
            </w:pPr>
            <w:r>
              <w:rPr>
                <w:rFonts w:ascii="Arial" w:cs="Arial" w:eastAsia="Arial" w:hAnsi="Arial"/>
                <w:sz w:val="18"/>
                <w:szCs w:val="18"/>
                <w:color w:val="auto"/>
              </w:rPr>
              <w:t>Net revenues</w:t>
            </w:r>
          </w:p>
        </w:tc>
        <w:tc>
          <w:tcPr>
            <w:tcW w:w="880" w:type="dxa"/>
            <w:vAlign w:val="bottom"/>
            <w:tcBorders>
              <w:bottom w:val="single" w:sz="8" w:color="auto"/>
            </w:tcBorders>
          </w:tcPr>
          <w:p>
            <w:pPr>
              <w:jc w:val="right"/>
              <w:ind w:right="676"/>
              <w:spacing w:after="0" w:line="196" w:lineRule="exact"/>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7"/>
              </w:rPr>
              <w:t>9,744</w:t>
            </w:r>
          </w:p>
        </w:tc>
        <w:tc>
          <w:tcPr>
            <w:tcW w:w="120" w:type="dxa"/>
            <w:vAlign w:val="bottom"/>
          </w:tcPr>
          <w:p>
            <w:pPr>
              <w:spacing w:after="0"/>
              <w:rPr>
                <w:sz w:val="17"/>
                <w:szCs w:val="17"/>
                <w:color w:val="auto"/>
              </w:rPr>
            </w:pPr>
          </w:p>
        </w:tc>
        <w:tc>
          <w:tcPr>
            <w:tcW w:w="48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9,204</w:t>
            </w:r>
          </w:p>
        </w:tc>
        <w:tc>
          <w:tcPr>
            <w:tcW w:w="100" w:type="dxa"/>
            <w:vAlign w:val="bottom"/>
          </w:tcPr>
          <w:p>
            <w:pPr>
              <w:spacing w:after="0"/>
              <w:rPr>
                <w:sz w:val="17"/>
                <w:szCs w:val="17"/>
                <w:color w:val="auto"/>
              </w:rPr>
            </w:pPr>
          </w:p>
        </w:tc>
        <w:tc>
          <w:tcPr>
            <w:tcW w:w="46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28,041</w:t>
            </w:r>
          </w:p>
        </w:tc>
        <w:tc>
          <w:tcPr>
            <w:tcW w:w="100" w:type="dxa"/>
            <w:vAlign w:val="bottom"/>
          </w:tcPr>
          <w:p>
            <w:pPr>
              <w:spacing w:after="0"/>
              <w:rPr>
                <w:sz w:val="17"/>
                <w:szCs w:val="17"/>
                <w:color w:val="auto"/>
              </w:rPr>
            </w:pPr>
          </w:p>
        </w:tc>
        <w:tc>
          <w:tcPr>
            <w:tcW w:w="50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26,837</w:t>
            </w: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97"/>
        </w:trPr>
        <w:tc>
          <w:tcPr>
            <w:tcW w:w="5200" w:type="dxa"/>
            <w:vAlign w:val="bottom"/>
            <w:shd w:val="clear" w:color="auto" w:fill="CCEEFF"/>
          </w:tcPr>
          <w:p>
            <w:pPr>
              <w:ind w:left="140"/>
              <w:spacing w:after="0" w:line="196" w:lineRule="exact"/>
              <w:rPr>
                <w:sz w:val="20"/>
                <w:szCs w:val="20"/>
                <w:color w:val="auto"/>
              </w:rPr>
            </w:pPr>
            <w:r>
              <w:rPr>
                <w:rFonts w:ascii="Arial" w:cs="Arial" w:eastAsia="Arial" w:hAnsi="Arial"/>
                <w:sz w:val="18"/>
                <w:szCs w:val="18"/>
                <w:color w:val="auto"/>
              </w:rPr>
              <w:t>Segment operating income:</w:t>
            </w:r>
          </w:p>
        </w:tc>
        <w:tc>
          <w:tcPr>
            <w:tcW w:w="8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30"/>
        </w:trPr>
        <w:tc>
          <w:tcPr>
            <w:tcW w:w="5200" w:type="dxa"/>
            <w:vAlign w:val="bottom"/>
          </w:tcPr>
          <w:p>
            <w:pPr>
              <w:ind w:left="360"/>
              <w:spacing w:after="0"/>
              <w:rPr>
                <w:sz w:val="20"/>
                <w:szCs w:val="20"/>
                <w:color w:val="auto"/>
              </w:rPr>
            </w:pPr>
            <w:r>
              <w:rPr>
                <w:rFonts w:ascii="Arial" w:cs="Arial" w:eastAsia="Arial" w:hAnsi="Arial"/>
                <w:sz w:val="18"/>
                <w:szCs w:val="18"/>
                <w:color w:val="auto"/>
              </w:rPr>
              <w:t>Latin America</w:t>
            </w:r>
          </w:p>
        </w:tc>
        <w:tc>
          <w:tcPr>
            <w:tcW w:w="880" w:type="dxa"/>
            <w:vAlign w:val="bottom"/>
          </w:tcPr>
          <w:p>
            <w:pPr>
              <w:jc w:val="right"/>
              <w:ind w:right="676"/>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147</w:t>
            </w:r>
          </w:p>
        </w:tc>
        <w:tc>
          <w:tcPr>
            <w:tcW w:w="12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419</w:t>
            </w:r>
          </w:p>
        </w:tc>
        <w:tc>
          <w:tcPr>
            <w:tcW w:w="10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426</w:t>
            </w:r>
          </w:p>
        </w:tc>
      </w:tr>
      <w:tr>
        <w:trPr>
          <w:trHeight w:val="229"/>
        </w:trPr>
        <w:tc>
          <w:tcPr>
            <w:tcW w:w="5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AMEA</w:t>
            </w: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w:t>
            </w:r>
          </w:p>
        </w:tc>
      </w:tr>
      <w:tr>
        <w:trPr>
          <w:trHeight w:val="230"/>
        </w:trPr>
        <w:tc>
          <w:tcPr>
            <w:tcW w:w="5200" w:type="dxa"/>
            <w:vAlign w:val="bottom"/>
          </w:tcPr>
          <w:p>
            <w:pPr>
              <w:ind w:left="360"/>
              <w:spacing w:after="0"/>
              <w:rPr>
                <w:sz w:val="20"/>
                <w:szCs w:val="20"/>
                <w:color w:val="auto"/>
              </w:rPr>
            </w:pPr>
            <w:r>
              <w:rPr>
                <w:rFonts w:ascii="Arial" w:cs="Arial" w:eastAsia="Arial" w:hAnsi="Arial"/>
                <w:sz w:val="18"/>
                <w:szCs w:val="18"/>
                <w:color w:val="auto"/>
              </w:rPr>
              <w:t>Europe</w:t>
            </w:r>
          </w:p>
        </w:tc>
        <w:tc>
          <w:tcPr>
            <w:tcW w:w="8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275</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605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1,251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1,746</w:t>
            </w:r>
          </w:p>
        </w:tc>
      </w:tr>
      <w:tr>
        <w:trPr>
          <w:trHeight w:val="230"/>
        </w:trPr>
        <w:tc>
          <w:tcPr>
            <w:tcW w:w="5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North America</w:t>
            </w: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2,012</w:t>
            </w:r>
          </w:p>
        </w:tc>
      </w:tr>
      <w:tr>
        <w:trPr>
          <w:trHeight w:val="230"/>
        </w:trPr>
        <w:tc>
          <w:tcPr>
            <w:tcW w:w="5200" w:type="dxa"/>
            <w:vAlign w:val="bottom"/>
          </w:tcPr>
          <w:p>
            <w:pPr>
              <w:ind w:left="140"/>
              <w:spacing w:after="0"/>
              <w:rPr>
                <w:sz w:val="20"/>
                <w:szCs w:val="20"/>
                <w:color w:val="auto"/>
              </w:rPr>
            </w:pPr>
            <w:r>
              <w:rPr>
                <w:rFonts w:ascii="Arial" w:cs="Arial" w:eastAsia="Arial" w:hAnsi="Arial"/>
                <w:sz w:val="18"/>
                <w:szCs w:val="18"/>
                <w:color w:val="auto"/>
              </w:rPr>
              <w:t>Mark-to-market losses from derivatives</w:t>
            </w:r>
          </w:p>
        </w:tc>
        <w:tc>
          <w:tcPr>
            <w:tcW w:w="8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(348)</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(710)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(1,110)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(157)</w:t>
            </w:r>
          </w:p>
        </w:tc>
      </w:tr>
      <w:tr>
        <w:trPr>
          <w:trHeight w:val="229"/>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General corporate expenses</w:t>
            </w: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r>
      <w:tr>
        <w:trPr>
          <w:trHeight w:val="230"/>
        </w:trPr>
        <w:tc>
          <w:tcPr>
            <w:tcW w:w="5200" w:type="dxa"/>
            <w:vAlign w:val="bottom"/>
          </w:tcPr>
          <w:p>
            <w:pPr>
              <w:ind w:left="140"/>
              <w:spacing w:after="0"/>
              <w:rPr>
                <w:sz w:val="20"/>
                <w:szCs w:val="20"/>
                <w:color w:val="auto"/>
              </w:rPr>
            </w:pPr>
            <w:r>
              <w:rPr>
                <w:rFonts w:ascii="Arial" w:cs="Arial" w:eastAsia="Arial" w:hAnsi="Arial"/>
                <w:sz w:val="18"/>
                <w:szCs w:val="18"/>
                <w:color w:val="auto"/>
              </w:rPr>
              <w:t>Amortization of intangible assets</w:t>
            </w:r>
          </w:p>
        </w:tc>
        <w:tc>
          <w:tcPr>
            <w:tcW w:w="8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30"/>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Acquisition-related costs</w:t>
            </w:r>
          </w:p>
        </w:tc>
        <w:tc>
          <w:tcPr>
            <w:tcW w:w="8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5200" w:type="dxa"/>
            <w:vAlign w:val="bottom"/>
          </w:tcPr>
          <w:p>
            <w:pPr>
              <w:ind w:left="260"/>
              <w:spacing w:after="0"/>
              <w:rPr>
                <w:sz w:val="20"/>
                <w:szCs w:val="20"/>
                <w:color w:val="auto"/>
              </w:rPr>
            </w:pPr>
            <w:r>
              <w:rPr>
                <w:rFonts w:ascii="Arial" w:cs="Arial" w:eastAsia="Arial" w:hAnsi="Arial"/>
                <w:sz w:val="18"/>
                <w:szCs w:val="18"/>
                <w:color w:val="auto"/>
              </w:rPr>
              <w:t>Operating income</w:t>
            </w:r>
          </w:p>
        </w:tc>
        <w:tc>
          <w:tcPr>
            <w:tcW w:w="880" w:type="dxa"/>
            <w:vAlign w:val="bottom"/>
            <w:tcBorders>
              <w:top w:val="single" w:sz="8" w:color="auto"/>
              <w:bottom w:val="single" w:sz="8" w:color="auto"/>
            </w:tcBorders>
          </w:tcPr>
          <w:p>
            <w:pPr>
              <w:jc w:val="right"/>
              <w:ind w:right="676"/>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744</w:t>
            </w:r>
          </w:p>
        </w:tc>
        <w:tc>
          <w:tcPr>
            <w:tcW w:w="12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1,153</w:t>
            </w:r>
          </w:p>
        </w:tc>
        <w:tc>
          <w:tcPr>
            <w:tcW w:w="10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2,596</w:t>
            </w:r>
          </w:p>
        </w:tc>
        <w:tc>
          <w:tcPr>
            <w:tcW w:w="10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4,734</w:t>
            </w:r>
          </w:p>
        </w:tc>
      </w:tr>
      <w:tr>
        <w:trPr>
          <w:trHeight w:val="20"/>
        </w:trPr>
        <w:tc>
          <w:tcPr>
            <w:tcW w:w="52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6845935</wp:posOffset>
            </wp:positionH>
            <wp:positionV relativeFrom="paragraph">
              <wp:posOffset>548640</wp:posOffset>
            </wp:positionV>
            <wp:extent cx="282575" cy="18859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279400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Latin America</w:t>
      </w:r>
    </w:p>
    <w:p>
      <w:pPr>
        <w:spacing w:after="0" w:line="140" w:lineRule="exact"/>
        <w:rPr>
          <w:sz w:val="20"/>
          <w:szCs w:val="20"/>
          <w:color w:val="auto"/>
        </w:rPr>
      </w:pPr>
    </w:p>
    <w:p>
      <w:pPr>
        <w:jc w:val="center"/>
        <w:ind w:left="1800"/>
        <w:spacing w:after="0"/>
        <w:rPr>
          <w:sz w:val="20"/>
          <w:szCs w:val="20"/>
          <w:color w:val="auto"/>
        </w:rPr>
      </w:pPr>
      <w:r>
        <w:rPr>
          <w:rFonts w:ascii="Arial" w:cs="Arial" w:eastAsia="Arial" w:hAnsi="Arial"/>
          <w:sz w:val="14"/>
          <w:szCs w:val="14"/>
          <w:b w:val="1"/>
          <w:bCs w:val="1"/>
          <w:color w:val="auto"/>
        </w:rPr>
        <w:t>For the Three Months Ended</w:t>
      </w:r>
    </w:p>
    <w:p>
      <w:pPr>
        <w:jc w:val="center"/>
        <w:ind w:left="1800"/>
        <w:spacing w:after="0"/>
        <w:rPr>
          <w:sz w:val="20"/>
          <w:szCs w:val="20"/>
          <w:color w:val="auto"/>
        </w:rPr>
      </w:pPr>
      <w:r>
        <w:rPr>
          <w:rFonts w:ascii="Arial" w:cs="Arial" w:eastAsia="Arial" w:hAnsi="Arial"/>
          <w:sz w:val="14"/>
          <w:szCs w:val="14"/>
          <w:b w:val="1"/>
          <w:bCs w:val="1"/>
          <w:color w:val="auto"/>
        </w:rPr>
        <w:t>September 30,</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060" w:type="dxa"/>
            <w:vAlign w:val="bottom"/>
          </w:tcPr>
          <w:p>
            <w:pPr>
              <w:spacing w:after="0"/>
              <w:rPr>
                <w:sz w:val="17"/>
                <w:szCs w:val="17"/>
                <w:color w:val="auto"/>
              </w:rPr>
            </w:pPr>
          </w:p>
        </w:tc>
        <w:tc>
          <w:tcPr>
            <w:tcW w:w="880" w:type="dxa"/>
            <w:vAlign w:val="bottom"/>
            <w:tcBorders>
              <w:top w:val="single" w:sz="8" w:color="auto"/>
            </w:tcBorders>
          </w:tcPr>
          <w:p>
            <w:pPr>
              <w:ind w:left="540"/>
              <w:spacing w:after="0"/>
              <w:rPr>
                <w:sz w:val="20"/>
                <w:szCs w:val="20"/>
                <w:color w:val="auto"/>
              </w:rPr>
            </w:pPr>
            <w:r>
              <w:rPr>
                <w:rFonts w:ascii="Arial" w:cs="Arial" w:eastAsia="Arial" w:hAnsi="Arial"/>
                <w:sz w:val="14"/>
                <w:szCs w:val="14"/>
                <w:b w:val="1"/>
                <w:bCs w:val="1"/>
                <w:color w:val="auto"/>
              </w:rPr>
              <w:t>2025</w:t>
            </w:r>
          </w:p>
        </w:tc>
        <w:tc>
          <w:tcPr>
            <w:tcW w:w="56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rPr>
              <w:t>2024</w:t>
            </w:r>
          </w:p>
        </w:tc>
        <w:tc>
          <w:tcPr>
            <w:tcW w:w="360" w:type="dxa"/>
            <w:vAlign w:val="bottom"/>
          </w:tcPr>
          <w:p>
            <w:pPr>
              <w:spacing w:after="0"/>
              <w:rPr>
                <w:sz w:val="17"/>
                <w:szCs w:val="17"/>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 Change</w:t>
            </w:r>
          </w:p>
        </w:tc>
        <w:tc>
          <w:tcPr>
            <w:tcW w:w="1580" w:type="dxa"/>
            <w:vAlign w:val="bottom"/>
          </w:tcPr>
          <w:p>
            <w:pPr>
              <w:jc w:val="right"/>
              <w:ind w:right="356"/>
              <w:spacing w:after="0"/>
              <w:rPr>
                <w:sz w:val="20"/>
                <w:szCs w:val="20"/>
                <w:color w:val="auto"/>
              </w:rPr>
            </w:pPr>
            <w:r>
              <w:rPr>
                <w:rFonts w:ascii="Arial" w:cs="Arial" w:eastAsia="Arial" w:hAnsi="Arial"/>
                <w:sz w:val="14"/>
                <w:szCs w:val="14"/>
                <w:b w:val="1"/>
                <w:bCs w:val="1"/>
                <w:color w:val="auto"/>
              </w:rPr>
              <w:t>% Change</w:t>
            </w:r>
          </w:p>
        </w:tc>
      </w:tr>
      <w:tr>
        <w:trPr>
          <w:trHeight w:val="196"/>
        </w:trPr>
        <w:tc>
          <w:tcPr>
            <w:tcW w:w="506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r>
      <w:tr>
        <w:trPr>
          <w:trHeight w:val="231"/>
        </w:trPr>
        <w:tc>
          <w:tcPr>
            <w:tcW w:w="50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Net revenues</w:t>
            </w:r>
          </w:p>
        </w:tc>
        <w:tc>
          <w:tcPr>
            <w:tcW w:w="880" w:type="dxa"/>
            <w:vAlign w:val="bottom"/>
            <w:shd w:val="clear" w:color="auto" w:fill="CCEEFF"/>
          </w:tcPr>
          <w:p>
            <w:pPr>
              <w:jc w:val="right"/>
              <w:ind w:right="681"/>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97"/>
              </w:rPr>
              <w:t>1,238</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2.8 %</w:t>
            </w:r>
          </w:p>
        </w:tc>
      </w:tr>
      <w:tr>
        <w:trPr>
          <w:trHeight w:val="239"/>
        </w:trPr>
        <w:tc>
          <w:tcPr>
            <w:tcW w:w="5060" w:type="dxa"/>
            <w:vAlign w:val="bottom"/>
          </w:tcPr>
          <w:p>
            <w:pPr>
              <w:ind w:left="560"/>
              <w:spacing w:after="0"/>
              <w:rPr>
                <w:sz w:val="20"/>
                <w:szCs w:val="20"/>
                <w:color w:val="auto"/>
              </w:rPr>
            </w:pPr>
            <w:r>
              <w:rPr>
                <w:rFonts w:ascii="Arial" w:cs="Arial" w:eastAsia="Arial" w:hAnsi="Arial"/>
                <w:sz w:val="18"/>
                <w:szCs w:val="18"/>
                <w:color w:val="auto"/>
              </w:rPr>
              <w:t>Segment operating income</w:t>
            </w:r>
          </w:p>
        </w:tc>
        <w:tc>
          <w:tcPr>
            <w:tcW w:w="880" w:type="dxa"/>
            <w:vAlign w:val="bottom"/>
          </w:tcPr>
          <w:p>
            <w:pPr>
              <w:spacing w:after="0"/>
              <w:rPr>
                <w:sz w:val="20"/>
                <w:szCs w:val="20"/>
                <w:color w:val="auto"/>
              </w:rPr>
            </w:pPr>
          </w:p>
        </w:tc>
        <w:tc>
          <w:tcPr>
            <w:tcW w:w="560" w:type="dxa"/>
            <w:vAlign w:val="bottom"/>
          </w:tcPr>
          <w:p>
            <w:pPr>
              <w:jc w:val="right"/>
              <w:ind w:right="14"/>
              <w:spacing w:after="0"/>
              <w:rPr>
                <w:sz w:val="20"/>
                <w:szCs w:val="20"/>
                <w:color w:val="auto"/>
              </w:rPr>
            </w:pPr>
            <w:r>
              <w:rPr>
                <w:rFonts w:ascii="Arial" w:cs="Arial" w:eastAsia="Arial" w:hAnsi="Arial"/>
                <w:sz w:val="18"/>
                <w:szCs w:val="18"/>
                <w:color w:val="auto"/>
              </w:rPr>
              <w:t>147</w:t>
            </w: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125</w:t>
            </w: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17.6 %</w:t>
            </w:r>
          </w:p>
        </w:tc>
      </w:tr>
      <w:tr>
        <w:trPr>
          <w:trHeight w:val="409"/>
        </w:trPr>
        <w:tc>
          <w:tcPr>
            <w:tcW w:w="5060" w:type="dxa"/>
            <w:vAlign w:val="bottom"/>
          </w:tcPr>
          <w:p>
            <w:pPr>
              <w:spacing w:after="0"/>
              <w:rPr>
                <w:sz w:val="24"/>
                <w:szCs w:val="24"/>
                <w:color w:val="auto"/>
              </w:rPr>
            </w:pPr>
          </w:p>
        </w:tc>
        <w:tc>
          <w:tcPr>
            <w:tcW w:w="2940" w:type="dxa"/>
            <w:vAlign w:val="bottom"/>
            <w:gridSpan w:val="4"/>
          </w:tcPr>
          <w:p>
            <w:pPr>
              <w:ind w:left="540"/>
              <w:spacing w:after="0"/>
              <w:rPr>
                <w:sz w:val="20"/>
                <w:szCs w:val="20"/>
                <w:color w:val="auto"/>
              </w:rPr>
            </w:pPr>
            <w:r>
              <w:rPr>
                <w:rFonts w:ascii="Arial" w:cs="Arial" w:eastAsia="Arial" w:hAnsi="Arial"/>
                <w:sz w:val="14"/>
                <w:szCs w:val="14"/>
                <w:b w:val="1"/>
                <w:bCs w:val="1"/>
                <w:color w:val="auto"/>
              </w:rPr>
              <w:t>For the Nine Months Ended</w:t>
            </w: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89"/>
        </w:trPr>
        <w:tc>
          <w:tcPr>
            <w:tcW w:w="506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jc w:val="right"/>
              <w:ind w:right="899"/>
              <w:spacing w:after="0"/>
              <w:rPr>
                <w:sz w:val="20"/>
                <w:szCs w:val="20"/>
                <w:color w:val="auto"/>
              </w:rPr>
            </w:pPr>
            <w:r>
              <w:rPr>
                <w:rFonts w:ascii="Arial" w:cs="Arial" w:eastAsia="Arial" w:hAnsi="Arial"/>
                <w:sz w:val="14"/>
                <w:szCs w:val="14"/>
                <w:b w:val="1"/>
                <w:bCs w:val="1"/>
                <w:color w:val="auto"/>
              </w:rPr>
              <w:t>September 30,</w:t>
            </w: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195"/>
        </w:trPr>
        <w:tc>
          <w:tcPr>
            <w:tcW w:w="5060" w:type="dxa"/>
            <w:vAlign w:val="bottom"/>
          </w:tcPr>
          <w:p>
            <w:pPr>
              <w:spacing w:after="0"/>
              <w:rPr>
                <w:sz w:val="16"/>
                <w:szCs w:val="16"/>
                <w:color w:val="auto"/>
              </w:rPr>
            </w:pPr>
          </w:p>
        </w:tc>
        <w:tc>
          <w:tcPr>
            <w:tcW w:w="880" w:type="dxa"/>
            <w:vAlign w:val="bottom"/>
          </w:tcPr>
          <w:p>
            <w:pPr>
              <w:ind w:left="540"/>
              <w:spacing w:after="0"/>
              <w:rPr>
                <w:sz w:val="20"/>
                <w:szCs w:val="20"/>
                <w:color w:val="auto"/>
              </w:rPr>
            </w:pPr>
            <w:r>
              <w:rPr>
                <w:rFonts w:ascii="Arial" w:cs="Arial" w:eastAsia="Arial" w:hAnsi="Arial"/>
                <w:sz w:val="14"/>
                <w:szCs w:val="14"/>
                <w:b w:val="1"/>
                <w:bCs w:val="1"/>
                <w:color w:val="auto"/>
              </w:rPr>
              <w:t>2025</w:t>
            </w: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jc w:val="center"/>
              <w:ind w:right="119"/>
              <w:spacing w:after="0"/>
              <w:rPr>
                <w:sz w:val="20"/>
                <w:szCs w:val="20"/>
                <w:color w:val="auto"/>
              </w:rPr>
            </w:pPr>
            <w:r>
              <w:rPr>
                <w:rFonts w:ascii="Arial" w:cs="Arial" w:eastAsia="Arial" w:hAnsi="Arial"/>
                <w:sz w:val="14"/>
                <w:szCs w:val="14"/>
                <w:b w:val="1"/>
                <w:bCs w:val="1"/>
                <w:color w:val="auto"/>
              </w:rPr>
              <w:t>2024</w:t>
            </w:r>
          </w:p>
        </w:tc>
        <w:tc>
          <w:tcPr>
            <w:tcW w:w="360" w:type="dxa"/>
            <w:vAlign w:val="bottom"/>
          </w:tcPr>
          <w:p>
            <w:pPr>
              <w:spacing w:after="0"/>
              <w:rPr>
                <w:sz w:val="16"/>
                <w:szCs w:val="16"/>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 Change</w:t>
            </w:r>
          </w:p>
        </w:tc>
        <w:tc>
          <w:tcPr>
            <w:tcW w:w="1580" w:type="dxa"/>
            <w:vAlign w:val="bottom"/>
          </w:tcPr>
          <w:p>
            <w:pPr>
              <w:jc w:val="right"/>
              <w:ind w:right="356"/>
              <w:spacing w:after="0"/>
              <w:rPr>
                <w:sz w:val="20"/>
                <w:szCs w:val="20"/>
                <w:color w:val="auto"/>
              </w:rPr>
            </w:pPr>
            <w:r>
              <w:rPr>
                <w:rFonts w:ascii="Arial" w:cs="Arial" w:eastAsia="Arial" w:hAnsi="Arial"/>
                <w:sz w:val="14"/>
                <w:szCs w:val="14"/>
                <w:b w:val="1"/>
                <w:bCs w:val="1"/>
                <w:color w:val="auto"/>
              </w:rPr>
              <w:t>% Change</w:t>
            </w:r>
          </w:p>
        </w:tc>
      </w:tr>
      <w:tr>
        <w:trPr>
          <w:trHeight w:val="196"/>
        </w:trPr>
        <w:tc>
          <w:tcPr>
            <w:tcW w:w="506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r>
      <w:tr>
        <w:trPr>
          <w:trHeight w:val="231"/>
        </w:trPr>
        <w:tc>
          <w:tcPr>
            <w:tcW w:w="50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Net revenues</w:t>
            </w:r>
          </w:p>
        </w:tc>
        <w:tc>
          <w:tcPr>
            <w:tcW w:w="880" w:type="dxa"/>
            <w:vAlign w:val="bottom"/>
            <w:shd w:val="clear" w:color="auto" w:fill="CCEEFF"/>
          </w:tcPr>
          <w:p>
            <w:pPr>
              <w:jc w:val="right"/>
              <w:ind w:right="681"/>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97"/>
              </w:rPr>
              <w:t>3,635</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3,755</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2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39"/>
        </w:trPr>
        <w:tc>
          <w:tcPr>
            <w:tcW w:w="5060" w:type="dxa"/>
            <w:vAlign w:val="bottom"/>
          </w:tcPr>
          <w:p>
            <w:pPr>
              <w:ind w:left="560"/>
              <w:spacing w:after="0"/>
              <w:rPr>
                <w:sz w:val="20"/>
                <w:szCs w:val="20"/>
                <w:color w:val="auto"/>
              </w:rPr>
            </w:pPr>
            <w:r>
              <w:rPr>
                <w:rFonts w:ascii="Arial" w:cs="Arial" w:eastAsia="Arial" w:hAnsi="Arial"/>
                <w:sz w:val="18"/>
                <w:szCs w:val="18"/>
                <w:color w:val="auto"/>
              </w:rPr>
              <w:t>Segment operating income</w:t>
            </w:r>
          </w:p>
        </w:tc>
        <w:tc>
          <w:tcPr>
            <w:tcW w:w="880" w:type="dxa"/>
            <w:vAlign w:val="bottom"/>
          </w:tcPr>
          <w:p>
            <w:pPr>
              <w:spacing w:after="0"/>
              <w:rPr>
                <w:sz w:val="20"/>
                <w:szCs w:val="20"/>
                <w:color w:val="auto"/>
              </w:rPr>
            </w:pPr>
          </w:p>
        </w:tc>
        <w:tc>
          <w:tcPr>
            <w:tcW w:w="560" w:type="dxa"/>
            <w:vAlign w:val="bottom"/>
          </w:tcPr>
          <w:p>
            <w:pPr>
              <w:jc w:val="right"/>
              <w:ind w:right="14"/>
              <w:spacing w:after="0"/>
              <w:rPr>
                <w:sz w:val="20"/>
                <w:szCs w:val="20"/>
                <w:color w:val="auto"/>
              </w:rPr>
            </w:pPr>
            <w:r>
              <w:rPr>
                <w:rFonts w:ascii="Arial" w:cs="Arial" w:eastAsia="Arial" w:hAnsi="Arial"/>
                <w:sz w:val="18"/>
                <w:szCs w:val="18"/>
                <w:color w:val="auto"/>
              </w:rPr>
              <w:t>419</w:t>
            </w: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426</w:t>
            </w: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(1.6)%</w:t>
            </w:r>
          </w:p>
        </w:tc>
      </w:tr>
    </w:tbl>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w:t>
      </w:r>
    </w:p>
    <w:p>
      <w:pPr>
        <w:spacing w:after="0" w:line="2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Net revenues increased $34 million (2.8%), due to higher net pricing (8.7 pp), partially offset by unfavorable volume/mix (4.0 pp) and an unfavorable impact of currency-related items (1.9 pp). Higher net pricing, net of extreme pricing in Argentina, was driven by input cost-driven pricing actions and reflected across all categories, primarily in Brazil, Argentina and Mexico. Unfavorable volume/mix reflected volume declines due to pricing elasticity impacts, primarily in Argentina. Overall, unfavorable volume/mix was driven by declines in refreshment beverages, biscuits &amp; baked snacks and candy, partially offset by gains in chocolate, grocery &amp; cheese and gum. Currency-related items were unfavorable due to currency translation rate changes, partially offset by the impact of extreme pricing in Argentina. Unfavorable currency translation impacts were primarily due to the strength of the U.S. dollar relative to a few currencies in the region, primarily the Argentinean peso, partially offset by the strength of several currencies relative to the U.S. dollar, including the Brazilian real and Mexican peso.</w:t>
      </w:r>
    </w:p>
    <w:p>
      <w:pPr>
        <w:spacing w:after="0" w:line="20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Segment operating income increased $22 million (17.6%), primarily due to higher pricing, lower advertising and consumer promotion costs, a favorable impact from the resolution of an indirect tax matter, lower manufacturing costs driven by productivity and lower other selling, general and administrative expenses. These favorable items were partially offset by higher raw material costs, unfavorable volume/mix and higher costs incurred for the ERP System Implementation program.</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w:t>
      </w:r>
    </w:p>
    <w:p>
      <w:pPr>
        <w:spacing w:after="0" w:line="2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Net revenues decreased $ 120 million (3.2%), due to an unfavorable impact of currency-related items (7.9 pp) and unfavorable volume/mix (2.8 pp), partially offset by higher net pricing (7.5 pp). Currency-related items were unfavorable due to currency translation rate changes, partially offset by the impact of extreme pricing in Argentina. Unfavorable currency translation impacts were primarily due to the strength of the U.S. dollar relative to most currencies in the region, including the Argentinean peso, Mexican peso and Brazilian real. Unfavorable volume/mix reflected volume declines due to pricing elasticity impacts, primarily in Argentina and Mexico. Overall, unfavorable volume/mix was driven by declines in refreshment beverages, candy, biscuits &amp; baked snacks and cheese &amp; grocery, partially offset by gains in chocolate and gum. Higher net pricing, net of extreme pricing in Argentina, was driven by input cost-driven pricing actions and reflected across all categories, primarily in Brazil, Argentina and Mexico.</w:t>
      </w:r>
    </w:p>
    <w:p>
      <w:pPr>
        <w:spacing w:after="0" w:line="21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Segment operating income decreased $7 million (1.6%), primarily due to higher raw material costs, unfavorable volume/mix, higher costs incurred for the ERP System Implementation program, unfavorable currency-related items and higher other selling, general and administrative expenses. These unfavorable items were mostly offset by higher pricing, lower manufacturing costs driven by productivity, lower advertising and consumer promotion costs, lower acquisition-related items, a favorable impact from the resolution of an indirect tax matter, lower losses on remeasurement of net monetary position in highly inflationary countries and lapping prior-year costs for the completed Simplify to Grow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6845935</wp:posOffset>
            </wp:positionH>
            <wp:positionV relativeFrom="paragraph">
              <wp:posOffset>333375</wp:posOffset>
            </wp:positionV>
            <wp:extent cx="282575" cy="18859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279400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FF"/>
        </w:rPr>
        <w:t>Table of Contents</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AMEA</w:t>
      </w:r>
    </w:p>
    <w:p>
      <w:pPr>
        <w:spacing w:after="0" w:line="140" w:lineRule="exact"/>
        <w:rPr>
          <w:sz w:val="20"/>
          <w:szCs w:val="20"/>
          <w:color w:val="auto"/>
        </w:rPr>
      </w:pPr>
    </w:p>
    <w:p>
      <w:pPr>
        <w:jc w:val="center"/>
        <w:ind w:left="1800"/>
        <w:spacing w:after="0"/>
        <w:rPr>
          <w:sz w:val="20"/>
          <w:szCs w:val="20"/>
          <w:color w:val="auto"/>
        </w:rPr>
      </w:pPr>
      <w:r>
        <w:rPr>
          <w:rFonts w:ascii="Arial" w:cs="Arial" w:eastAsia="Arial" w:hAnsi="Arial"/>
          <w:sz w:val="14"/>
          <w:szCs w:val="14"/>
          <w:b w:val="1"/>
          <w:bCs w:val="1"/>
          <w:color w:val="auto"/>
        </w:rPr>
        <w:t>For the Three Months Ended</w:t>
      </w:r>
    </w:p>
    <w:p>
      <w:pPr>
        <w:jc w:val="center"/>
        <w:ind w:left="1800"/>
        <w:spacing w:after="0"/>
        <w:rPr>
          <w:sz w:val="20"/>
          <w:szCs w:val="20"/>
          <w:color w:val="auto"/>
        </w:rPr>
      </w:pPr>
      <w:r>
        <w:rPr>
          <w:rFonts w:ascii="Arial" w:cs="Arial" w:eastAsia="Arial" w:hAnsi="Arial"/>
          <w:sz w:val="14"/>
          <w:szCs w:val="14"/>
          <w:b w:val="1"/>
          <w:bCs w:val="1"/>
          <w:color w:val="auto"/>
        </w:rPr>
        <w:t>September 30,</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060" w:type="dxa"/>
            <w:vAlign w:val="bottom"/>
          </w:tcPr>
          <w:p>
            <w:pPr>
              <w:spacing w:after="0"/>
              <w:rPr>
                <w:sz w:val="17"/>
                <w:szCs w:val="17"/>
                <w:color w:val="auto"/>
              </w:rPr>
            </w:pPr>
          </w:p>
        </w:tc>
        <w:tc>
          <w:tcPr>
            <w:tcW w:w="880" w:type="dxa"/>
            <w:vAlign w:val="bottom"/>
            <w:tcBorders>
              <w:top w:val="single" w:sz="8" w:color="auto"/>
            </w:tcBorders>
          </w:tcPr>
          <w:p>
            <w:pPr>
              <w:ind w:left="540"/>
              <w:spacing w:after="0"/>
              <w:rPr>
                <w:sz w:val="20"/>
                <w:szCs w:val="20"/>
                <w:color w:val="auto"/>
              </w:rPr>
            </w:pPr>
            <w:r>
              <w:rPr>
                <w:rFonts w:ascii="Arial" w:cs="Arial" w:eastAsia="Arial" w:hAnsi="Arial"/>
                <w:sz w:val="14"/>
                <w:szCs w:val="14"/>
                <w:b w:val="1"/>
                <w:bCs w:val="1"/>
                <w:color w:val="auto"/>
              </w:rPr>
              <w:t>2025</w:t>
            </w:r>
          </w:p>
        </w:tc>
        <w:tc>
          <w:tcPr>
            <w:tcW w:w="56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rPr>
              <w:t>2024</w:t>
            </w:r>
          </w:p>
        </w:tc>
        <w:tc>
          <w:tcPr>
            <w:tcW w:w="360" w:type="dxa"/>
            <w:vAlign w:val="bottom"/>
          </w:tcPr>
          <w:p>
            <w:pPr>
              <w:spacing w:after="0"/>
              <w:rPr>
                <w:sz w:val="17"/>
                <w:szCs w:val="17"/>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 Change</w:t>
            </w:r>
          </w:p>
        </w:tc>
        <w:tc>
          <w:tcPr>
            <w:tcW w:w="1580" w:type="dxa"/>
            <w:vAlign w:val="bottom"/>
          </w:tcPr>
          <w:p>
            <w:pPr>
              <w:jc w:val="right"/>
              <w:ind w:right="356"/>
              <w:spacing w:after="0"/>
              <w:rPr>
                <w:sz w:val="20"/>
                <w:szCs w:val="20"/>
                <w:color w:val="auto"/>
              </w:rPr>
            </w:pPr>
            <w:r>
              <w:rPr>
                <w:rFonts w:ascii="Arial" w:cs="Arial" w:eastAsia="Arial" w:hAnsi="Arial"/>
                <w:sz w:val="14"/>
                <w:szCs w:val="14"/>
                <w:b w:val="1"/>
                <w:bCs w:val="1"/>
                <w:color w:val="auto"/>
              </w:rPr>
              <w:t>% Change</w:t>
            </w:r>
          </w:p>
        </w:tc>
      </w:tr>
      <w:tr>
        <w:trPr>
          <w:trHeight w:val="196"/>
        </w:trPr>
        <w:tc>
          <w:tcPr>
            <w:tcW w:w="506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r>
      <w:tr>
        <w:trPr>
          <w:trHeight w:val="231"/>
        </w:trPr>
        <w:tc>
          <w:tcPr>
            <w:tcW w:w="50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Net revenues</w:t>
            </w:r>
          </w:p>
        </w:tc>
        <w:tc>
          <w:tcPr>
            <w:tcW w:w="880" w:type="dxa"/>
            <w:vAlign w:val="bottom"/>
            <w:shd w:val="clear" w:color="auto" w:fill="CCEEFF"/>
          </w:tcPr>
          <w:p>
            <w:pPr>
              <w:jc w:val="right"/>
              <w:ind w:right="681"/>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97"/>
              </w:rPr>
              <w:t>2,017</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1,851</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center"/>
              <w:ind w:left="616"/>
              <w:spacing w:after="0"/>
              <w:rPr>
                <w:sz w:val="20"/>
                <w:szCs w:val="20"/>
                <w:color w:val="auto"/>
              </w:rPr>
            </w:pPr>
            <w:r>
              <w:rPr>
                <w:rFonts w:ascii="Arial" w:cs="Arial" w:eastAsia="Arial" w:hAnsi="Arial"/>
                <w:sz w:val="18"/>
                <w:szCs w:val="18"/>
                <w:color w:val="auto"/>
                <w:w w:val="99"/>
              </w:rPr>
              <w:t>166</w:t>
            </w:r>
          </w:p>
        </w:tc>
        <w:tc>
          <w:tcPr>
            <w:tcW w:w="12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9.0 %</w:t>
            </w:r>
          </w:p>
        </w:tc>
      </w:tr>
      <w:tr>
        <w:trPr>
          <w:trHeight w:val="239"/>
        </w:trPr>
        <w:tc>
          <w:tcPr>
            <w:tcW w:w="5060" w:type="dxa"/>
            <w:vAlign w:val="bottom"/>
          </w:tcPr>
          <w:p>
            <w:pPr>
              <w:ind w:left="560"/>
              <w:spacing w:after="0"/>
              <w:rPr>
                <w:sz w:val="20"/>
                <w:szCs w:val="20"/>
                <w:color w:val="auto"/>
              </w:rPr>
            </w:pPr>
            <w:r>
              <w:rPr>
                <w:rFonts w:ascii="Arial" w:cs="Arial" w:eastAsia="Arial" w:hAnsi="Arial"/>
                <w:sz w:val="18"/>
                <w:szCs w:val="18"/>
                <w:color w:val="auto"/>
              </w:rPr>
              <w:t>Segment operating income</w:t>
            </w:r>
          </w:p>
        </w:tc>
        <w:tc>
          <w:tcPr>
            <w:tcW w:w="880" w:type="dxa"/>
            <w:vAlign w:val="bottom"/>
          </w:tcPr>
          <w:p>
            <w:pPr>
              <w:spacing w:after="0"/>
              <w:rPr>
                <w:sz w:val="20"/>
                <w:szCs w:val="20"/>
                <w:color w:val="auto"/>
              </w:rPr>
            </w:pPr>
          </w:p>
        </w:tc>
        <w:tc>
          <w:tcPr>
            <w:tcW w:w="560" w:type="dxa"/>
            <w:vAlign w:val="bottom"/>
          </w:tcPr>
          <w:p>
            <w:pPr>
              <w:jc w:val="right"/>
              <w:ind w:right="14"/>
              <w:spacing w:after="0"/>
              <w:rPr>
                <w:sz w:val="20"/>
                <w:szCs w:val="20"/>
                <w:color w:val="auto"/>
              </w:rPr>
            </w:pPr>
            <w:r>
              <w:rPr>
                <w:rFonts w:ascii="Arial" w:cs="Arial" w:eastAsia="Arial" w:hAnsi="Arial"/>
                <w:sz w:val="18"/>
                <w:szCs w:val="18"/>
                <w:color w:val="auto"/>
              </w:rPr>
              <w:t>199</w:t>
            </w: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335</w:t>
            </w:r>
          </w:p>
        </w:tc>
        <w:tc>
          <w:tcPr>
            <w:tcW w:w="360" w:type="dxa"/>
            <w:vAlign w:val="bottom"/>
          </w:tcPr>
          <w:p>
            <w:pPr>
              <w:spacing w:after="0"/>
              <w:rPr>
                <w:sz w:val="20"/>
                <w:szCs w:val="20"/>
                <w:color w:val="auto"/>
              </w:rPr>
            </w:pPr>
          </w:p>
        </w:tc>
        <w:tc>
          <w:tcPr>
            <w:tcW w:w="1160" w:type="dxa"/>
            <w:vAlign w:val="bottom"/>
          </w:tcPr>
          <w:p>
            <w:pPr>
              <w:jc w:val="center"/>
              <w:ind w:left="616"/>
              <w:spacing w:after="0"/>
              <w:rPr>
                <w:sz w:val="20"/>
                <w:szCs w:val="20"/>
                <w:color w:val="auto"/>
              </w:rPr>
            </w:pPr>
            <w:r>
              <w:rPr>
                <w:rFonts w:ascii="Arial" w:cs="Arial" w:eastAsia="Arial" w:hAnsi="Arial"/>
                <w:sz w:val="18"/>
                <w:szCs w:val="18"/>
                <w:color w:val="auto"/>
                <w:w w:val="99"/>
              </w:rPr>
              <w:t>(136)</w:t>
            </w:r>
          </w:p>
        </w:tc>
        <w:tc>
          <w:tcPr>
            <w:tcW w:w="12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(40.6)%</w:t>
            </w:r>
          </w:p>
        </w:tc>
      </w:tr>
      <w:tr>
        <w:trPr>
          <w:trHeight w:val="342"/>
        </w:trPr>
        <w:tc>
          <w:tcPr>
            <w:tcW w:w="5060" w:type="dxa"/>
            <w:vAlign w:val="bottom"/>
          </w:tcPr>
          <w:p>
            <w:pPr>
              <w:spacing w:after="0"/>
              <w:rPr>
                <w:sz w:val="24"/>
                <w:szCs w:val="24"/>
                <w:color w:val="auto"/>
              </w:rPr>
            </w:pPr>
          </w:p>
        </w:tc>
        <w:tc>
          <w:tcPr>
            <w:tcW w:w="2940" w:type="dxa"/>
            <w:vAlign w:val="bottom"/>
            <w:gridSpan w:val="4"/>
          </w:tcPr>
          <w:p>
            <w:pPr>
              <w:ind w:left="540"/>
              <w:spacing w:after="0"/>
              <w:rPr>
                <w:sz w:val="20"/>
                <w:szCs w:val="20"/>
                <w:color w:val="auto"/>
              </w:rPr>
            </w:pPr>
            <w:r>
              <w:rPr>
                <w:rFonts w:ascii="Arial" w:cs="Arial" w:eastAsia="Arial" w:hAnsi="Arial"/>
                <w:sz w:val="14"/>
                <w:szCs w:val="14"/>
                <w:b w:val="1"/>
                <w:bCs w:val="1"/>
                <w:color w:val="auto"/>
              </w:rPr>
              <w:t>For the Nine Months Ended</w:t>
            </w: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89"/>
        </w:trPr>
        <w:tc>
          <w:tcPr>
            <w:tcW w:w="506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jc w:val="right"/>
              <w:ind w:right="899"/>
              <w:spacing w:after="0"/>
              <w:rPr>
                <w:sz w:val="20"/>
                <w:szCs w:val="20"/>
                <w:color w:val="auto"/>
              </w:rPr>
            </w:pPr>
            <w:r>
              <w:rPr>
                <w:rFonts w:ascii="Arial" w:cs="Arial" w:eastAsia="Arial" w:hAnsi="Arial"/>
                <w:sz w:val="14"/>
                <w:szCs w:val="14"/>
                <w:b w:val="1"/>
                <w:bCs w:val="1"/>
                <w:color w:val="auto"/>
              </w:rPr>
              <w:t>September 30,</w:t>
            </w: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195"/>
        </w:trPr>
        <w:tc>
          <w:tcPr>
            <w:tcW w:w="5060" w:type="dxa"/>
            <w:vAlign w:val="bottom"/>
          </w:tcPr>
          <w:p>
            <w:pPr>
              <w:spacing w:after="0"/>
              <w:rPr>
                <w:sz w:val="16"/>
                <w:szCs w:val="16"/>
                <w:color w:val="auto"/>
              </w:rPr>
            </w:pPr>
          </w:p>
        </w:tc>
        <w:tc>
          <w:tcPr>
            <w:tcW w:w="880" w:type="dxa"/>
            <w:vAlign w:val="bottom"/>
          </w:tcPr>
          <w:p>
            <w:pPr>
              <w:ind w:left="540"/>
              <w:spacing w:after="0"/>
              <w:rPr>
                <w:sz w:val="20"/>
                <w:szCs w:val="20"/>
                <w:color w:val="auto"/>
              </w:rPr>
            </w:pPr>
            <w:r>
              <w:rPr>
                <w:rFonts w:ascii="Arial" w:cs="Arial" w:eastAsia="Arial" w:hAnsi="Arial"/>
                <w:sz w:val="14"/>
                <w:szCs w:val="14"/>
                <w:b w:val="1"/>
                <w:bCs w:val="1"/>
                <w:color w:val="auto"/>
              </w:rPr>
              <w:t>2025</w:t>
            </w: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jc w:val="center"/>
              <w:ind w:right="119"/>
              <w:spacing w:after="0"/>
              <w:rPr>
                <w:sz w:val="20"/>
                <w:szCs w:val="20"/>
                <w:color w:val="auto"/>
              </w:rPr>
            </w:pPr>
            <w:r>
              <w:rPr>
                <w:rFonts w:ascii="Arial" w:cs="Arial" w:eastAsia="Arial" w:hAnsi="Arial"/>
                <w:sz w:val="14"/>
                <w:szCs w:val="14"/>
                <w:b w:val="1"/>
                <w:bCs w:val="1"/>
                <w:color w:val="auto"/>
              </w:rPr>
              <w:t>2024</w:t>
            </w:r>
          </w:p>
        </w:tc>
        <w:tc>
          <w:tcPr>
            <w:tcW w:w="360" w:type="dxa"/>
            <w:vAlign w:val="bottom"/>
          </w:tcPr>
          <w:p>
            <w:pPr>
              <w:spacing w:after="0"/>
              <w:rPr>
                <w:sz w:val="16"/>
                <w:szCs w:val="16"/>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 Change</w:t>
            </w:r>
          </w:p>
        </w:tc>
        <w:tc>
          <w:tcPr>
            <w:tcW w:w="1580" w:type="dxa"/>
            <w:vAlign w:val="bottom"/>
          </w:tcPr>
          <w:p>
            <w:pPr>
              <w:jc w:val="right"/>
              <w:ind w:right="356"/>
              <w:spacing w:after="0"/>
              <w:rPr>
                <w:sz w:val="20"/>
                <w:szCs w:val="20"/>
                <w:color w:val="auto"/>
              </w:rPr>
            </w:pPr>
            <w:r>
              <w:rPr>
                <w:rFonts w:ascii="Arial" w:cs="Arial" w:eastAsia="Arial" w:hAnsi="Arial"/>
                <w:sz w:val="14"/>
                <w:szCs w:val="14"/>
                <w:b w:val="1"/>
                <w:bCs w:val="1"/>
                <w:color w:val="auto"/>
              </w:rPr>
              <w:t>% Change</w:t>
            </w:r>
          </w:p>
        </w:tc>
      </w:tr>
      <w:tr>
        <w:trPr>
          <w:trHeight w:val="196"/>
        </w:trPr>
        <w:tc>
          <w:tcPr>
            <w:tcW w:w="506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r>
      <w:tr>
        <w:trPr>
          <w:trHeight w:val="231"/>
        </w:trPr>
        <w:tc>
          <w:tcPr>
            <w:tcW w:w="50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Net revenues</w:t>
            </w:r>
          </w:p>
        </w:tc>
        <w:tc>
          <w:tcPr>
            <w:tcW w:w="880" w:type="dxa"/>
            <w:vAlign w:val="bottom"/>
            <w:shd w:val="clear" w:color="auto" w:fill="CCEEFF"/>
          </w:tcPr>
          <w:p>
            <w:pPr>
              <w:jc w:val="right"/>
              <w:ind w:right="681"/>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97"/>
              </w:rPr>
              <w:t>5,854</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5,388</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center"/>
              <w:ind w:left="616"/>
              <w:spacing w:after="0"/>
              <w:rPr>
                <w:sz w:val="20"/>
                <w:szCs w:val="20"/>
                <w:color w:val="auto"/>
              </w:rPr>
            </w:pPr>
            <w:r>
              <w:rPr>
                <w:rFonts w:ascii="Arial" w:cs="Arial" w:eastAsia="Arial" w:hAnsi="Arial"/>
                <w:sz w:val="18"/>
                <w:szCs w:val="18"/>
                <w:color w:val="auto"/>
                <w:w w:val="99"/>
              </w:rPr>
              <w:t>466</w:t>
            </w:r>
          </w:p>
        </w:tc>
        <w:tc>
          <w:tcPr>
            <w:tcW w:w="12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8.6 %</w:t>
            </w:r>
          </w:p>
        </w:tc>
      </w:tr>
      <w:tr>
        <w:trPr>
          <w:trHeight w:val="239"/>
        </w:trPr>
        <w:tc>
          <w:tcPr>
            <w:tcW w:w="5060" w:type="dxa"/>
            <w:vAlign w:val="bottom"/>
          </w:tcPr>
          <w:p>
            <w:pPr>
              <w:ind w:left="560"/>
              <w:spacing w:after="0"/>
              <w:rPr>
                <w:sz w:val="20"/>
                <w:szCs w:val="20"/>
                <w:color w:val="auto"/>
              </w:rPr>
            </w:pPr>
            <w:r>
              <w:rPr>
                <w:rFonts w:ascii="Arial" w:cs="Arial" w:eastAsia="Arial" w:hAnsi="Arial"/>
                <w:sz w:val="18"/>
                <w:szCs w:val="18"/>
                <w:color w:val="auto"/>
              </w:rPr>
              <w:t>Segment operating income</w:t>
            </w:r>
          </w:p>
        </w:tc>
        <w:tc>
          <w:tcPr>
            <w:tcW w:w="880" w:type="dxa"/>
            <w:vAlign w:val="bottom"/>
          </w:tcPr>
          <w:p>
            <w:pPr>
              <w:spacing w:after="0"/>
              <w:rPr>
                <w:sz w:val="20"/>
                <w:szCs w:val="20"/>
                <w:color w:val="auto"/>
              </w:rPr>
            </w:pPr>
          </w:p>
        </w:tc>
        <w:tc>
          <w:tcPr>
            <w:tcW w:w="560" w:type="dxa"/>
            <w:vAlign w:val="bottom"/>
          </w:tcPr>
          <w:p>
            <w:pPr>
              <w:jc w:val="right"/>
              <w:ind w:right="14"/>
              <w:spacing w:after="0"/>
              <w:rPr>
                <w:sz w:val="20"/>
                <w:szCs w:val="20"/>
                <w:color w:val="auto"/>
              </w:rPr>
            </w:pPr>
            <w:r>
              <w:rPr>
                <w:rFonts w:ascii="Arial" w:cs="Arial" w:eastAsia="Arial" w:hAnsi="Arial"/>
                <w:sz w:val="18"/>
                <w:szCs w:val="18"/>
                <w:color w:val="auto"/>
              </w:rPr>
              <w:t>813</w:t>
            </w: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1,036</w:t>
            </w:r>
          </w:p>
        </w:tc>
        <w:tc>
          <w:tcPr>
            <w:tcW w:w="360" w:type="dxa"/>
            <w:vAlign w:val="bottom"/>
          </w:tcPr>
          <w:p>
            <w:pPr>
              <w:spacing w:after="0"/>
              <w:rPr>
                <w:sz w:val="20"/>
                <w:szCs w:val="20"/>
                <w:color w:val="auto"/>
              </w:rPr>
            </w:pPr>
          </w:p>
        </w:tc>
        <w:tc>
          <w:tcPr>
            <w:tcW w:w="1160" w:type="dxa"/>
            <w:vAlign w:val="bottom"/>
          </w:tcPr>
          <w:p>
            <w:pPr>
              <w:jc w:val="center"/>
              <w:ind w:left="616"/>
              <w:spacing w:after="0"/>
              <w:rPr>
                <w:sz w:val="20"/>
                <w:szCs w:val="20"/>
                <w:color w:val="auto"/>
              </w:rPr>
            </w:pPr>
            <w:r>
              <w:rPr>
                <w:rFonts w:ascii="Arial" w:cs="Arial" w:eastAsia="Arial" w:hAnsi="Arial"/>
                <w:sz w:val="18"/>
                <w:szCs w:val="18"/>
                <w:color w:val="auto"/>
                <w:w w:val="99"/>
              </w:rPr>
              <w:t>(223)</w:t>
            </w:r>
          </w:p>
        </w:tc>
        <w:tc>
          <w:tcPr>
            <w:tcW w:w="12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(21.5)%</w:t>
            </w:r>
          </w:p>
        </w:tc>
      </w:tr>
    </w:tbl>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w:t>
      </w:r>
    </w:p>
    <w:p>
      <w:pPr>
        <w:spacing w:after="0" w:line="25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Net revenues increased $166 million (9.0%), due to higher net pricing (9.3 pp) and the impact of an acquisition (4.7 pp), partially offset by unfavorable volume/mix (4.0 pp) and unfavorable currency translation rate changes (1.0 pp). Higher net pricing, driven by input cost-driven pricing actions, was reflected across all categories. The November 1, 2024 acquisition of Evirth added incremental net revenues of $87 million (constant currency basis) in the third quarter of 2025. Unfavorable volume/mix reflected pricing elasticity impacts, driven by declines in chocolate, gum, refreshment beverages and biscuits &amp; baked snacks, partially offset by gains in cheese &amp; grocery and candy. Unfavorable currency translation impacts were due to the strength of the U.S. dollar relative to several currencies in the region, primarily the Indian rupee, Australian dollar and Vietnam dong.</w:t>
      </w:r>
    </w:p>
    <w:p>
      <w:pPr>
        <w:spacing w:after="0" w:line="21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Segment operating income decreased $136 million (40.6%), primarily due to higher raw material costs, unfavorable volume/mix, higher acquisition-related items and higher intangible asset impairments. These unfavorable items were partially offset by higher net pricing, lower advertising and consumer promotion costs, lower manufacturing costs driven by productivity and the impact from our Evirth acquisition.</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w:t>
      </w:r>
    </w:p>
    <w:p>
      <w:pPr>
        <w:spacing w:after="0" w:line="25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Net revenues increased $466 million (8.6%), due to higher net pricing (7.3 pp) and the impact of an acquisition (5.4 pp), partially offset by unfavorable volume/mix (2.3 pp) and unfavorable currency translation rate changes (1.8 pp). Higher net pricing, driven by input cost-driven pricing actions, was reflected across all categories. The November 1, 2024 acquisition of Evirth added incremental net revenues of $288 million (constant currency basis) in the first nine months of 2025. Unfavorable volume/mix reflected pricing elasticity impacts, driven by declines in chocolate and refreshment beverages, partially offset by gains in cheese &amp; grocery, gum, candy and biscuits &amp; baked snacks. Unfavorable currency translation impacts were due to the strength of the U.S. dollar relative to several currencies in the region, including the Indian rupee, Australian dollar, Egyptian pound, Vietnam dong, Chinese yuan, New Zealand dollar and Nigerian naira.</w:t>
      </w:r>
    </w:p>
    <w:p>
      <w:pPr>
        <w:spacing w:after="0" w:line="2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Segment operating income decreased $223 million (21.5%), primarily due to higher raw material costs, unfavorable volume/mix, higher acquisition-related items, unfavorable currency translation rate changes and higher intangible asset impairment costs. These unfavorable items were partially offset by higher net pricing, lower manufacturing costs driven by productivity, lower advertising and consumer promotion costs, the impact from our Evirth acquisition, lower fixed asset impairments and lapping prior-year costs for the completed Simplify to Grow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6845935</wp:posOffset>
            </wp:positionH>
            <wp:positionV relativeFrom="paragraph">
              <wp:posOffset>331470</wp:posOffset>
            </wp:positionV>
            <wp:extent cx="282575" cy="18859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279400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FF"/>
        </w:rPr>
        <w:t>Table of Contents</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w:t>
      </w:r>
    </w:p>
    <w:p>
      <w:pPr>
        <w:spacing w:after="0" w:line="140" w:lineRule="exact"/>
        <w:rPr>
          <w:sz w:val="20"/>
          <w:szCs w:val="20"/>
          <w:color w:val="auto"/>
        </w:rPr>
      </w:pPr>
    </w:p>
    <w:p>
      <w:pPr>
        <w:jc w:val="center"/>
        <w:ind w:left="1820"/>
        <w:spacing w:after="0"/>
        <w:rPr>
          <w:sz w:val="20"/>
          <w:szCs w:val="20"/>
          <w:color w:val="auto"/>
        </w:rPr>
      </w:pPr>
      <w:r>
        <w:rPr>
          <w:rFonts w:ascii="Arial" w:cs="Arial" w:eastAsia="Arial" w:hAnsi="Arial"/>
          <w:sz w:val="14"/>
          <w:szCs w:val="14"/>
          <w:b w:val="1"/>
          <w:bCs w:val="1"/>
          <w:color w:val="auto"/>
        </w:rPr>
        <w:t>For the Three Months Ended</w:t>
      </w:r>
    </w:p>
    <w:p>
      <w:pPr>
        <w:jc w:val="center"/>
        <w:ind w:left="1820"/>
        <w:spacing w:after="0"/>
        <w:rPr>
          <w:sz w:val="20"/>
          <w:szCs w:val="20"/>
          <w:color w:val="auto"/>
        </w:rPr>
      </w:pPr>
      <w:r>
        <w:rPr>
          <w:rFonts w:ascii="Arial" w:cs="Arial" w:eastAsia="Arial" w:hAnsi="Arial"/>
          <w:sz w:val="14"/>
          <w:szCs w:val="14"/>
          <w:b w:val="1"/>
          <w:bCs w:val="1"/>
          <w:color w:val="auto"/>
        </w:rPr>
        <w:t>September 30,</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08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2025</w:t>
            </w:r>
          </w:p>
        </w:tc>
        <w:tc>
          <w:tcPr>
            <w:tcW w:w="2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rPr>
              <w:t>2024</w:t>
            </w:r>
          </w:p>
        </w:tc>
        <w:tc>
          <w:tcPr>
            <w:tcW w:w="360" w:type="dxa"/>
            <w:vAlign w:val="bottom"/>
          </w:tcPr>
          <w:p>
            <w:pPr>
              <w:spacing w:after="0"/>
              <w:rPr>
                <w:sz w:val="17"/>
                <w:szCs w:val="17"/>
                <w:color w:val="auto"/>
              </w:rPr>
            </w:pPr>
          </w:p>
        </w:tc>
        <w:tc>
          <w:tcPr>
            <w:tcW w:w="1260" w:type="dxa"/>
            <w:vAlign w:val="bottom"/>
            <w:gridSpan w:val="2"/>
          </w:tcPr>
          <w:p>
            <w:pPr>
              <w:ind w:left="120"/>
              <w:spacing w:after="0"/>
              <w:rPr>
                <w:sz w:val="20"/>
                <w:szCs w:val="20"/>
                <w:color w:val="auto"/>
              </w:rPr>
            </w:pPr>
            <w:r>
              <w:rPr>
                <w:rFonts w:ascii="Arial" w:cs="Arial" w:eastAsia="Arial" w:hAnsi="Arial"/>
                <w:sz w:val="14"/>
                <w:szCs w:val="14"/>
                <w:b w:val="1"/>
                <w:bCs w:val="1"/>
                <w:color w:val="auto"/>
              </w:rPr>
              <w:t>$ Change</w:t>
            </w:r>
          </w:p>
        </w:tc>
        <w:tc>
          <w:tcPr>
            <w:tcW w:w="1580" w:type="dxa"/>
            <w:vAlign w:val="bottom"/>
          </w:tcPr>
          <w:p>
            <w:pPr>
              <w:jc w:val="right"/>
              <w:ind w:right="356"/>
              <w:spacing w:after="0"/>
              <w:rPr>
                <w:sz w:val="20"/>
                <w:szCs w:val="20"/>
                <w:color w:val="auto"/>
              </w:rPr>
            </w:pPr>
            <w:r>
              <w:rPr>
                <w:rFonts w:ascii="Arial" w:cs="Arial" w:eastAsia="Arial" w:hAnsi="Arial"/>
                <w:sz w:val="14"/>
                <w:szCs w:val="14"/>
                <w:b w:val="1"/>
                <w:bCs w:val="1"/>
                <w:color w:val="auto"/>
              </w:rPr>
              <w:t>% Change</w:t>
            </w:r>
          </w:p>
        </w:tc>
      </w:tr>
      <w:tr>
        <w:trPr>
          <w:trHeight w:val="196"/>
        </w:trPr>
        <w:tc>
          <w:tcPr>
            <w:tcW w:w="508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r>
      <w:tr>
        <w:trPr>
          <w:trHeight w:val="231"/>
        </w:trPr>
        <w:tc>
          <w:tcPr>
            <w:tcW w:w="50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Net revenues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3,674</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3,323</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10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10.6 %</w:t>
            </w:r>
          </w:p>
        </w:tc>
      </w:tr>
      <w:tr>
        <w:trPr>
          <w:trHeight w:val="239"/>
        </w:trPr>
        <w:tc>
          <w:tcPr>
            <w:tcW w:w="5080" w:type="dxa"/>
            <w:vAlign w:val="bottom"/>
          </w:tcPr>
          <w:p>
            <w:pPr>
              <w:ind w:left="560"/>
              <w:spacing w:after="0"/>
              <w:rPr>
                <w:sz w:val="20"/>
                <w:szCs w:val="20"/>
                <w:color w:val="auto"/>
              </w:rPr>
            </w:pPr>
            <w:r>
              <w:rPr>
                <w:rFonts w:ascii="Arial" w:cs="Arial" w:eastAsia="Arial" w:hAnsi="Arial"/>
                <w:sz w:val="18"/>
                <w:szCs w:val="18"/>
                <w:color w:val="auto"/>
              </w:rPr>
              <w:t>Segment operating income</w:t>
            </w:r>
          </w:p>
        </w:tc>
        <w:tc>
          <w:tcPr>
            <w:tcW w:w="3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8"/>
                <w:szCs w:val="18"/>
                <w:color w:val="auto"/>
              </w:rPr>
              <w:t>275</w:t>
            </w: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605</w:t>
            </w: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(330)</w:t>
            </w:r>
          </w:p>
        </w:tc>
        <w:tc>
          <w:tcPr>
            <w:tcW w:w="1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(54.5)%</w:t>
            </w:r>
          </w:p>
        </w:tc>
      </w:tr>
      <w:tr>
        <w:trPr>
          <w:trHeight w:val="598"/>
        </w:trPr>
        <w:tc>
          <w:tcPr>
            <w:tcW w:w="5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20" w:type="dxa"/>
            <w:vAlign w:val="bottom"/>
            <w:gridSpan w:val="3"/>
          </w:tcPr>
          <w:p>
            <w:pPr>
              <w:jc w:val="right"/>
              <w:ind w:right="459"/>
              <w:spacing w:after="0"/>
              <w:rPr>
                <w:sz w:val="20"/>
                <w:szCs w:val="20"/>
                <w:color w:val="auto"/>
              </w:rPr>
            </w:pPr>
            <w:r>
              <w:rPr>
                <w:rFonts w:ascii="Arial" w:cs="Arial" w:eastAsia="Arial" w:hAnsi="Arial"/>
                <w:sz w:val="14"/>
                <w:szCs w:val="14"/>
                <w:b w:val="1"/>
                <w:bCs w:val="1"/>
                <w:color w:val="auto"/>
              </w:rPr>
              <w:t>For the Nine Months Ended</w:t>
            </w: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89"/>
        </w:trPr>
        <w:tc>
          <w:tcPr>
            <w:tcW w:w="50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3"/>
          </w:tcPr>
          <w:p>
            <w:pPr>
              <w:jc w:val="right"/>
              <w:ind w:right="899"/>
              <w:spacing w:after="0"/>
              <w:rPr>
                <w:sz w:val="20"/>
                <w:szCs w:val="20"/>
                <w:color w:val="auto"/>
              </w:rPr>
            </w:pPr>
            <w:r>
              <w:rPr>
                <w:rFonts w:ascii="Arial" w:cs="Arial" w:eastAsia="Arial" w:hAnsi="Arial"/>
                <w:sz w:val="14"/>
                <w:szCs w:val="14"/>
                <w:b w:val="1"/>
                <w:bCs w:val="1"/>
                <w:color w:val="auto"/>
              </w:rPr>
              <w:t>September 30,</w:t>
            </w: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195"/>
        </w:trPr>
        <w:tc>
          <w:tcPr>
            <w:tcW w:w="5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ind w:right="499"/>
              <w:spacing w:after="0"/>
              <w:rPr>
                <w:sz w:val="20"/>
                <w:szCs w:val="20"/>
                <w:color w:val="auto"/>
              </w:rPr>
            </w:pPr>
            <w:r>
              <w:rPr>
                <w:rFonts w:ascii="Arial" w:cs="Arial" w:eastAsia="Arial" w:hAnsi="Arial"/>
                <w:sz w:val="14"/>
                <w:szCs w:val="14"/>
                <w:b w:val="1"/>
                <w:bCs w:val="1"/>
                <w:color w:val="auto"/>
              </w:rPr>
              <w:t>2025</w:t>
            </w:r>
          </w:p>
        </w:tc>
        <w:tc>
          <w:tcPr>
            <w:tcW w:w="280" w:type="dxa"/>
            <w:vAlign w:val="bottom"/>
          </w:tcPr>
          <w:p>
            <w:pPr>
              <w:spacing w:after="0"/>
              <w:rPr>
                <w:sz w:val="16"/>
                <w:szCs w:val="16"/>
                <w:color w:val="auto"/>
              </w:rPr>
            </w:pPr>
          </w:p>
        </w:tc>
        <w:tc>
          <w:tcPr>
            <w:tcW w:w="1220" w:type="dxa"/>
            <w:vAlign w:val="bottom"/>
          </w:tcPr>
          <w:p>
            <w:pPr>
              <w:jc w:val="center"/>
              <w:ind w:right="139"/>
              <w:spacing w:after="0"/>
              <w:rPr>
                <w:sz w:val="20"/>
                <w:szCs w:val="20"/>
                <w:color w:val="auto"/>
              </w:rPr>
            </w:pPr>
            <w:r>
              <w:rPr>
                <w:rFonts w:ascii="Arial" w:cs="Arial" w:eastAsia="Arial" w:hAnsi="Arial"/>
                <w:sz w:val="14"/>
                <w:szCs w:val="14"/>
                <w:b w:val="1"/>
                <w:bCs w:val="1"/>
                <w:color w:val="auto"/>
              </w:rPr>
              <w:t>2024</w:t>
            </w:r>
          </w:p>
        </w:tc>
        <w:tc>
          <w:tcPr>
            <w:tcW w:w="360" w:type="dxa"/>
            <w:vAlign w:val="bottom"/>
          </w:tcPr>
          <w:p>
            <w:pPr>
              <w:spacing w:after="0"/>
              <w:rPr>
                <w:sz w:val="16"/>
                <w:szCs w:val="16"/>
                <w:color w:val="auto"/>
              </w:rPr>
            </w:pPr>
          </w:p>
        </w:tc>
        <w:tc>
          <w:tcPr>
            <w:tcW w:w="1260" w:type="dxa"/>
            <w:vAlign w:val="bottom"/>
            <w:gridSpan w:val="2"/>
          </w:tcPr>
          <w:p>
            <w:pPr>
              <w:ind w:left="120"/>
              <w:spacing w:after="0"/>
              <w:rPr>
                <w:sz w:val="20"/>
                <w:szCs w:val="20"/>
                <w:color w:val="auto"/>
              </w:rPr>
            </w:pPr>
            <w:r>
              <w:rPr>
                <w:rFonts w:ascii="Arial" w:cs="Arial" w:eastAsia="Arial" w:hAnsi="Arial"/>
                <w:sz w:val="14"/>
                <w:szCs w:val="14"/>
                <w:b w:val="1"/>
                <w:bCs w:val="1"/>
                <w:color w:val="auto"/>
              </w:rPr>
              <w:t>$ Change</w:t>
            </w:r>
          </w:p>
        </w:tc>
        <w:tc>
          <w:tcPr>
            <w:tcW w:w="1580" w:type="dxa"/>
            <w:vAlign w:val="bottom"/>
          </w:tcPr>
          <w:p>
            <w:pPr>
              <w:jc w:val="right"/>
              <w:ind w:right="356"/>
              <w:spacing w:after="0"/>
              <w:rPr>
                <w:sz w:val="20"/>
                <w:szCs w:val="20"/>
                <w:color w:val="auto"/>
              </w:rPr>
            </w:pPr>
            <w:r>
              <w:rPr>
                <w:rFonts w:ascii="Arial" w:cs="Arial" w:eastAsia="Arial" w:hAnsi="Arial"/>
                <w:sz w:val="14"/>
                <w:szCs w:val="14"/>
                <w:b w:val="1"/>
                <w:bCs w:val="1"/>
                <w:color w:val="auto"/>
              </w:rPr>
              <w:t>% Change</w:t>
            </w:r>
          </w:p>
        </w:tc>
      </w:tr>
      <w:tr>
        <w:trPr>
          <w:trHeight w:val="196"/>
        </w:trPr>
        <w:tc>
          <w:tcPr>
            <w:tcW w:w="508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r>
      <w:tr>
        <w:trPr>
          <w:trHeight w:val="231"/>
        </w:trPr>
        <w:tc>
          <w:tcPr>
            <w:tcW w:w="50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Net revenues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10,636</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9,565</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1,071</w:t>
            </w:r>
          </w:p>
        </w:tc>
        <w:tc>
          <w:tcPr>
            <w:tcW w:w="10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11.2 %</w:t>
            </w:r>
          </w:p>
        </w:tc>
      </w:tr>
      <w:tr>
        <w:trPr>
          <w:trHeight w:val="239"/>
        </w:trPr>
        <w:tc>
          <w:tcPr>
            <w:tcW w:w="5080" w:type="dxa"/>
            <w:vAlign w:val="bottom"/>
          </w:tcPr>
          <w:p>
            <w:pPr>
              <w:ind w:left="560"/>
              <w:spacing w:after="0"/>
              <w:rPr>
                <w:sz w:val="20"/>
                <w:szCs w:val="20"/>
                <w:color w:val="auto"/>
              </w:rPr>
            </w:pPr>
            <w:r>
              <w:rPr>
                <w:rFonts w:ascii="Arial" w:cs="Arial" w:eastAsia="Arial" w:hAnsi="Arial"/>
                <w:sz w:val="18"/>
                <w:szCs w:val="18"/>
                <w:color w:val="auto"/>
              </w:rPr>
              <w:t>Segment operating income</w:t>
            </w:r>
          </w:p>
        </w:tc>
        <w:tc>
          <w:tcPr>
            <w:tcW w:w="3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8"/>
                <w:szCs w:val="18"/>
                <w:color w:val="auto"/>
              </w:rPr>
              <w:t>1,251</w:t>
            </w: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1,746</w:t>
            </w: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(495)</w:t>
            </w:r>
          </w:p>
        </w:tc>
        <w:tc>
          <w:tcPr>
            <w:tcW w:w="1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(28.4)%</w:t>
            </w:r>
          </w:p>
        </w:tc>
      </w:tr>
    </w:tbl>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w:t>
      </w:r>
    </w:p>
    <w:p>
      <w:pPr>
        <w:spacing w:after="0" w:line="25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Net revenues increased $351 million (10.6%), due to higher net pricing (12.6 pp) and favorable currency translation rate changes (5.5 pp), partially offset by unfavorable volume/mix (7.5 pp). Higher net pricing, driven by input cost-driven pricing actions, was reflected across all categories except cheese &amp; grocery. Favorable currency translation rate changes reflected the strength of most currencies across the region relative to the U.S. dollar, primarily the euro, Russian ruble, British pound sterling, Polish zloty and Swedish krona. Unfavorable volume/mix reflected volume declines due to pricing elasticity impacts. Overall, unfavorable volume/mix was driven by declines in chocolate, gum, biscuits &amp; baked snacks and candy, partially offset by gains in cheese &amp; grocery and refreshment beverages.</w:t>
      </w:r>
    </w:p>
    <w:p>
      <w:pPr>
        <w:spacing w:after="0" w:line="20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Segment operating income decreased $ 330 million (54.5%), primarily due to higher raw material costs, unfavorable volume/mix and higher other selling, general and administrative expenses. These unfavorable items were partially offset by higher net pricing, lower intangible asset impairment charges, lower advertising and consumer promotion costs, lower manufacturing costs driven by productivity, favorable currency translation rate changes, lower acquisition-related items and lower costs incurred for the ERP System Implementation program.</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w:t>
      </w:r>
    </w:p>
    <w:p>
      <w:pPr>
        <w:spacing w:after="0" w:line="25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Net revenues increased $1,071 million (11.2%), due to higher net pricing (13.2 pp) and favorable currency translation rate changes (2.8 pp), partially offset by unfavorable volume/mix (4.5 pp</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and lapping the prior-year net revenue from a short-term distributor agreement (0.3 pp</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Higher net pricing, driven by input cost-driven pricing actions, was reflected across all categories. Favorable currency translation rate changes reflected the strength of most currencies across the region relative to the U.S. dollar, primarily the euro, Russian ruble, British pound sterling, Polish zloty and Swedish krona. Unfavorable volume/mix reflected volume declines due to pricing elasticity impacts. Overall, unfavorable volume/mix was driven by declines in chocolate, candy, gum and refreshment beverages, partially offset by gains in biscuits &amp; baked snacks and cheese &amp; grocery. The lapping of the prior-year short-term distributor agreement related to the sale of our developed market gum business, which ended in the first quarter of 2024, resulted in a year-over-year incremental reduction in net revenue of $25 million.</w:t>
      </w: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Segment operating income decreased $ 495 million (28.4%), primarily due to higher raw material costs, unfavorable volume/mix and higher other selling, general and administrative expenses. These unfavorable items were partially offset by higher net pricing, lower intangible asset impairment charges, lower advertising and consumer promotion costs, lower manufacturing costs driven by productivity, favorable currency translation rate changes, lapping prior-year costs for the completed Simplify to Grow program, lower fixed asset impairment charges, lower acquisition-related items and lower divestiture-related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6845935</wp:posOffset>
            </wp:positionH>
            <wp:positionV relativeFrom="paragraph">
              <wp:posOffset>177165</wp:posOffset>
            </wp:positionV>
            <wp:extent cx="282575" cy="18859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279400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FF"/>
        </w:rPr>
        <w:t>Table of Contents</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North America</w:t>
      </w:r>
    </w:p>
    <w:p>
      <w:pPr>
        <w:spacing w:after="0" w:line="140" w:lineRule="exact"/>
        <w:rPr>
          <w:sz w:val="20"/>
          <w:szCs w:val="20"/>
          <w:color w:val="auto"/>
        </w:rPr>
      </w:pPr>
    </w:p>
    <w:p>
      <w:pPr>
        <w:jc w:val="center"/>
        <w:ind w:left="1800"/>
        <w:spacing w:after="0"/>
        <w:rPr>
          <w:sz w:val="20"/>
          <w:szCs w:val="20"/>
          <w:color w:val="auto"/>
        </w:rPr>
      </w:pPr>
      <w:r>
        <w:rPr>
          <w:rFonts w:ascii="Arial" w:cs="Arial" w:eastAsia="Arial" w:hAnsi="Arial"/>
          <w:sz w:val="14"/>
          <w:szCs w:val="14"/>
          <w:b w:val="1"/>
          <w:bCs w:val="1"/>
          <w:color w:val="auto"/>
        </w:rPr>
        <w:t>For the Three Months Ended</w:t>
      </w:r>
    </w:p>
    <w:p>
      <w:pPr>
        <w:jc w:val="center"/>
        <w:ind w:left="1800"/>
        <w:spacing w:after="0"/>
        <w:rPr>
          <w:sz w:val="20"/>
          <w:szCs w:val="20"/>
          <w:color w:val="auto"/>
        </w:rPr>
      </w:pPr>
      <w:r>
        <w:rPr>
          <w:rFonts w:ascii="Arial" w:cs="Arial" w:eastAsia="Arial" w:hAnsi="Arial"/>
          <w:sz w:val="14"/>
          <w:szCs w:val="14"/>
          <w:b w:val="1"/>
          <w:bCs w:val="1"/>
          <w:color w:val="auto"/>
        </w:rPr>
        <w:t>September 30,</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060" w:type="dxa"/>
            <w:vAlign w:val="bottom"/>
          </w:tcPr>
          <w:p>
            <w:pPr>
              <w:spacing w:after="0"/>
              <w:rPr>
                <w:sz w:val="17"/>
                <w:szCs w:val="17"/>
                <w:color w:val="auto"/>
              </w:rPr>
            </w:pPr>
          </w:p>
        </w:tc>
        <w:tc>
          <w:tcPr>
            <w:tcW w:w="880" w:type="dxa"/>
            <w:vAlign w:val="bottom"/>
            <w:tcBorders>
              <w:top w:val="single" w:sz="8" w:color="auto"/>
            </w:tcBorders>
          </w:tcPr>
          <w:p>
            <w:pPr>
              <w:ind w:left="540"/>
              <w:spacing w:after="0"/>
              <w:rPr>
                <w:sz w:val="20"/>
                <w:szCs w:val="20"/>
                <w:color w:val="auto"/>
              </w:rPr>
            </w:pPr>
            <w:r>
              <w:rPr>
                <w:rFonts w:ascii="Arial" w:cs="Arial" w:eastAsia="Arial" w:hAnsi="Arial"/>
                <w:sz w:val="14"/>
                <w:szCs w:val="14"/>
                <w:b w:val="1"/>
                <w:bCs w:val="1"/>
                <w:color w:val="auto"/>
              </w:rPr>
              <w:t>2025</w:t>
            </w:r>
          </w:p>
        </w:tc>
        <w:tc>
          <w:tcPr>
            <w:tcW w:w="56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rPr>
              <w:t>2024</w:t>
            </w:r>
          </w:p>
        </w:tc>
        <w:tc>
          <w:tcPr>
            <w:tcW w:w="360" w:type="dxa"/>
            <w:vAlign w:val="bottom"/>
          </w:tcPr>
          <w:p>
            <w:pPr>
              <w:spacing w:after="0"/>
              <w:rPr>
                <w:sz w:val="17"/>
                <w:szCs w:val="17"/>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 Change</w:t>
            </w:r>
          </w:p>
        </w:tc>
        <w:tc>
          <w:tcPr>
            <w:tcW w:w="1580" w:type="dxa"/>
            <w:vAlign w:val="bottom"/>
          </w:tcPr>
          <w:p>
            <w:pPr>
              <w:jc w:val="right"/>
              <w:ind w:right="356"/>
              <w:spacing w:after="0"/>
              <w:rPr>
                <w:sz w:val="20"/>
                <w:szCs w:val="20"/>
                <w:color w:val="auto"/>
              </w:rPr>
            </w:pPr>
            <w:r>
              <w:rPr>
                <w:rFonts w:ascii="Arial" w:cs="Arial" w:eastAsia="Arial" w:hAnsi="Arial"/>
                <w:sz w:val="14"/>
                <w:szCs w:val="14"/>
                <w:b w:val="1"/>
                <w:bCs w:val="1"/>
                <w:color w:val="auto"/>
              </w:rPr>
              <w:t>% Change</w:t>
            </w:r>
          </w:p>
        </w:tc>
      </w:tr>
      <w:tr>
        <w:trPr>
          <w:trHeight w:val="196"/>
        </w:trPr>
        <w:tc>
          <w:tcPr>
            <w:tcW w:w="506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r>
      <w:tr>
        <w:trPr>
          <w:trHeight w:val="231"/>
        </w:trPr>
        <w:tc>
          <w:tcPr>
            <w:tcW w:w="50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Net revenues</w:t>
            </w:r>
          </w:p>
        </w:tc>
        <w:tc>
          <w:tcPr>
            <w:tcW w:w="880" w:type="dxa"/>
            <w:vAlign w:val="bottom"/>
            <w:shd w:val="clear" w:color="auto" w:fill="CCEEFF"/>
          </w:tcPr>
          <w:p>
            <w:pPr>
              <w:jc w:val="right"/>
              <w:ind w:right="681"/>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97"/>
              </w:rPr>
              <w:t>2,815</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2,826</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39"/>
        </w:trPr>
        <w:tc>
          <w:tcPr>
            <w:tcW w:w="5060" w:type="dxa"/>
            <w:vAlign w:val="bottom"/>
          </w:tcPr>
          <w:p>
            <w:pPr>
              <w:ind w:left="560"/>
              <w:spacing w:after="0"/>
              <w:rPr>
                <w:sz w:val="20"/>
                <w:szCs w:val="20"/>
                <w:color w:val="auto"/>
              </w:rPr>
            </w:pPr>
            <w:r>
              <w:rPr>
                <w:rFonts w:ascii="Arial" w:cs="Arial" w:eastAsia="Arial" w:hAnsi="Arial"/>
                <w:sz w:val="18"/>
                <w:szCs w:val="18"/>
                <w:color w:val="auto"/>
              </w:rPr>
              <w:t>Segment operating income</w:t>
            </w:r>
          </w:p>
        </w:tc>
        <w:tc>
          <w:tcPr>
            <w:tcW w:w="880" w:type="dxa"/>
            <w:vAlign w:val="bottom"/>
          </w:tcPr>
          <w:p>
            <w:pPr>
              <w:spacing w:after="0"/>
              <w:rPr>
                <w:sz w:val="20"/>
                <w:szCs w:val="20"/>
                <w:color w:val="auto"/>
              </w:rPr>
            </w:pPr>
          </w:p>
        </w:tc>
        <w:tc>
          <w:tcPr>
            <w:tcW w:w="560" w:type="dxa"/>
            <w:vAlign w:val="bottom"/>
          </w:tcPr>
          <w:p>
            <w:pPr>
              <w:jc w:val="right"/>
              <w:ind w:right="14"/>
              <w:spacing w:after="0"/>
              <w:rPr>
                <w:sz w:val="20"/>
                <w:szCs w:val="20"/>
                <w:color w:val="auto"/>
              </w:rPr>
            </w:pPr>
            <w:r>
              <w:rPr>
                <w:rFonts w:ascii="Arial" w:cs="Arial" w:eastAsia="Arial" w:hAnsi="Arial"/>
                <w:sz w:val="18"/>
                <w:szCs w:val="18"/>
                <w:color w:val="auto"/>
              </w:rPr>
              <w:t>547</w:t>
            </w: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918</w:t>
            </w: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(371)</w:t>
            </w:r>
          </w:p>
        </w:tc>
        <w:tc>
          <w:tcPr>
            <w:tcW w:w="12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(40.4)%</w:t>
            </w:r>
          </w:p>
        </w:tc>
      </w:tr>
      <w:tr>
        <w:trPr>
          <w:trHeight w:val="598"/>
        </w:trPr>
        <w:tc>
          <w:tcPr>
            <w:tcW w:w="5060" w:type="dxa"/>
            <w:vAlign w:val="bottom"/>
          </w:tcPr>
          <w:p>
            <w:pPr>
              <w:spacing w:after="0"/>
              <w:rPr>
                <w:sz w:val="24"/>
                <w:szCs w:val="24"/>
                <w:color w:val="auto"/>
              </w:rPr>
            </w:pPr>
          </w:p>
        </w:tc>
        <w:tc>
          <w:tcPr>
            <w:tcW w:w="2940" w:type="dxa"/>
            <w:vAlign w:val="bottom"/>
            <w:gridSpan w:val="4"/>
          </w:tcPr>
          <w:p>
            <w:pPr>
              <w:ind w:left="540"/>
              <w:spacing w:after="0"/>
              <w:rPr>
                <w:sz w:val="20"/>
                <w:szCs w:val="20"/>
                <w:color w:val="auto"/>
              </w:rPr>
            </w:pPr>
            <w:r>
              <w:rPr>
                <w:rFonts w:ascii="Arial" w:cs="Arial" w:eastAsia="Arial" w:hAnsi="Arial"/>
                <w:sz w:val="14"/>
                <w:szCs w:val="14"/>
                <w:b w:val="1"/>
                <w:bCs w:val="1"/>
                <w:color w:val="auto"/>
              </w:rPr>
              <w:t>For the Nine Months Ended</w:t>
            </w: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89"/>
        </w:trPr>
        <w:tc>
          <w:tcPr>
            <w:tcW w:w="506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jc w:val="right"/>
              <w:ind w:right="899"/>
              <w:spacing w:after="0"/>
              <w:rPr>
                <w:sz w:val="20"/>
                <w:szCs w:val="20"/>
                <w:color w:val="auto"/>
              </w:rPr>
            </w:pPr>
            <w:r>
              <w:rPr>
                <w:rFonts w:ascii="Arial" w:cs="Arial" w:eastAsia="Arial" w:hAnsi="Arial"/>
                <w:sz w:val="14"/>
                <w:szCs w:val="14"/>
                <w:b w:val="1"/>
                <w:bCs w:val="1"/>
                <w:color w:val="auto"/>
              </w:rPr>
              <w:t>September 30,</w:t>
            </w: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195"/>
        </w:trPr>
        <w:tc>
          <w:tcPr>
            <w:tcW w:w="5060" w:type="dxa"/>
            <w:vAlign w:val="bottom"/>
          </w:tcPr>
          <w:p>
            <w:pPr>
              <w:spacing w:after="0"/>
              <w:rPr>
                <w:sz w:val="16"/>
                <w:szCs w:val="16"/>
                <w:color w:val="auto"/>
              </w:rPr>
            </w:pPr>
          </w:p>
        </w:tc>
        <w:tc>
          <w:tcPr>
            <w:tcW w:w="880" w:type="dxa"/>
            <w:vAlign w:val="bottom"/>
          </w:tcPr>
          <w:p>
            <w:pPr>
              <w:ind w:left="540"/>
              <w:spacing w:after="0"/>
              <w:rPr>
                <w:sz w:val="20"/>
                <w:szCs w:val="20"/>
                <w:color w:val="auto"/>
              </w:rPr>
            </w:pPr>
            <w:r>
              <w:rPr>
                <w:rFonts w:ascii="Arial" w:cs="Arial" w:eastAsia="Arial" w:hAnsi="Arial"/>
                <w:sz w:val="14"/>
                <w:szCs w:val="14"/>
                <w:b w:val="1"/>
                <w:bCs w:val="1"/>
                <w:color w:val="auto"/>
              </w:rPr>
              <w:t>2025</w:t>
            </w: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jc w:val="center"/>
              <w:ind w:right="119"/>
              <w:spacing w:after="0"/>
              <w:rPr>
                <w:sz w:val="20"/>
                <w:szCs w:val="20"/>
                <w:color w:val="auto"/>
              </w:rPr>
            </w:pPr>
            <w:r>
              <w:rPr>
                <w:rFonts w:ascii="Arial" w:cs="Arial" w:eastAsia="Arial" w:hAnsi="Arial"/>
                <w:sz w:val="14"/>
                <w:szCs w:val="14"/>
                <w:b w:val="1"/>
                <w:bCs w:val="1"/>
                <w:color w:val="auto"/>
              </w:rPr>
              <w:t>2024</w:t>
            </w:r>
          </w:p>
        </w:tc>
        <w:tc>
          <w:tcPr>
            <w:tcW w:w="360" w:type="dxa"/>
            <w:vAlign w:val="bottom"/>
          </w:tcPr>
          <w:p>
            <w:pPr>
              <w:spacing w:after="0"/>
              <w:rPr>
                <w:sz w:val="16"/>
                <w:szCs w:val="16"/>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 Change</w:t>
            </w:r>
          </w:p>
        </w:tc>
        <w:tc>
          <w:tcPr>
            <w:tcW w:w="1580" w:type="dxa"/>
            <w:vAlign w:val="bottom"/>
          </w:tcPr>
          <w:p>
            <w:pPr>
              <w:jc w:val="right"/>
              <w:ind w:right="356"/>
              <w:spacing w:after="0"/>
              <w:rPr>
                <w:sz w:val="20"/>
                <w:szCs w:val="20"/>
                <w:color w:val="auto"/>
              </w:rPr>
            </w:pPr>
            <w:r>
              <w:rPr>
                <w:rFonts w:ascii="Arial" w:cs="Arial" w:eastAsia="Arial" w:hAnsi="Arial"/>
                <w:sz w:val="14"/>
                <w:szCs w:val="14"/>
                <w:b w:val="1"/>
                <w:bCs w:val="1"/>
                <w:color w:val="auto"/>
              </w:rPr>
              <w:t>% Change</w:t>
            </w:r>
          </w:p>
        </w:tc>
      </w:tr>
      <w:tr>
        <w:trPr>
          <w:trHeight w:val="196"/>
        </w:trPr>
        <w:tc>
          <w:tcPr>
            <w:tcW w:w="506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r>
      <w:tr>
        <w:trPr>
          <w:trHeight w:val="230"/>
        </w:trPr>
        <w:tc>
          <w:tcPr>
            <w:tcW w:w="50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Net revenues</w:t>
            </w:r>
          </w:p>
        </w:tc>
        <w:tc>
          <w:tcPr>
            <w:tcW w:w="880" w:type="dxa"/>
            <w:vAlign w:val="bottom"/>
            <w:shd w:val="clear" w:color="auto" w:fill="CCEEFF"/>
          </w:tcPr>
          <w:p>
            <w:pPr>
              <w:jc w:val="right"/>
              <w:ind w:right="681"/>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97"/>
              </w:rPr>
              <w:t>7,916</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8,129</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2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39"/>
        </w:trPr>
        <w:tc>
          <w:tcPr>
            <w:tcW w:w="5060" w:type="dxa"/>
            <w:vAlign w:val="bottom"/>
          </w:tcPr>
          <w:p>
            <w:pPr>
              <w:ind w:left="560"/>
              <w:spacing w:after="0"/>
              <w:rPr>
                <w:sz w:val="20"/>
                <w:szCs w:val="20"/>
                <w:color w:val="auto"/>
              </w:rPr>
            </w:pPr>
            <w:r>
              <w:rPr>
                <w:rFonts w:ascii="Arial" w:cs="Arial" w:eastAsia="Arial" w:hAnsi="Arial"/>
                <w:sz w:val="18"/>
                <w:szCs w:val="18"/>
                <w:color w:val="auto"/>
              </w:rPr>
              <w:t>Segment operating income</w:t>
            </w:r>
          </w:p>
        </w:tc>
        <w:tc>
          <w:tcPr>
            <w:tcW w:w="880" w:type="dxa"/>
            <w:vAlign w:val="bottom"/>
          </w:tcPr>
          <w:p>
            <w:pPr>
              <w:spacing w:after="0"/>
              <w:rPr>
                <w:sz w:val="20"/>
                <w:szCs w:val="20"/>
                <w:color w:val="auto"/>
              </w:rPr>
            </w:pPr>
          </w:p>
        </w:tc>
        <w:tc>
          <w:tcPr>
            <w:tcW w:w="560" w:type="dxa"/>
            <w:vAlign w:val="bottom"/>
          </w:tcPr>
          <w:p>
            <w:pPr>
              <w:jc w:val="right"/>
              <w:ind w:right="14"/>
              <w:spacing w:after="0"/>
              <w:rPr>
                <w:sz w:val="20"/>
                <w:szCs w:val="20"/>
                <w:color w:val="auto"/>
              </w:rPr>
            </w:pPr>
            <w:r>
              <w:rPr>
                <w:rFonts w:ascii="Arial" w:cs="Arial" w:eastAsia="Arial" w:hAnsi="Arial"/>
                <w:sz w:val="18"/>
                <w:szCs w:val="18"/>
                <w:color w:val="auto"/>
                <w:w w:val="97"/>
              </w:rPr>
              <w:t>1,486</w:t>
            </w: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2,012</w:t>
            </w: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(526)</w:t>
            </w:r>
          </w:p>
        </w:tc>
        <w:tc>
          <w:tcPr>
            <w:tcW w:w="12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(26.1)%</w:t>
            </w:r>
          </w:p>
        </w:tc>
      </w:tr>
    </w:tbl>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w:t>
      </w:r>
    </w:p>
    <w:p>
      <w:pPr>
        <w:spacing w:after="0" w:line="25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revenues decreased $11 million (0.4%), due to unfavorable volume/mix (1.8 pp) and unfavorable currency translation rate changes (0.1 pp), partially offset by higher net pricing (1.5 pp). Unfavorable volume/mix was driven by declines in biscuits &amp; baked snacks and candy, primarily due to soft consumption in the U.S., partially offset by a gain in chocolate. Unfavorable currency translation rate changes were due to the strength of the U.S. dollar relative to the Canadian dollar. Higher net pricing, driven by input cost-driven pricing actions, was reflected across all categories.</w:t>
      </w:r>
    </w:p>
    <w:p>
      <w:pPr>
        <w:spacing w:after="0" w:line="20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Segment operating income decreased $371 million (40.4%), primarily due to a lower year-over-year benefit from contingent consideration adjustments related to Clif Bar net of lower acquisition integration costs, higher raw material costs, unfavorable volume/mix and higher costs incurred for the ERP System Implementation program. These unfavorable items were partially offset by lower advertising and consumer promotion costs, higher net pricing, lower manufacturing costs due to productivity, lower other selling, general and administrative expenses and lapping prior-year costs for the completed Simplify to Grow program.</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w:t>
      </w:r>
    </w:p>
    <w:p>
      <w:pPr>
        <w:spacing w:after="0" w:line="25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revenues decreased $213 million (2.6%), due to unfavorable volume/mix (2.4 pp) and unfavorable currency translation rate changes (0.2 pp), as net pricing was essentially flat for the first nine months of the year. Unfavorable volume/mix was driven by declines in biscuits &amp; baked snacks and candy, primarily due to soft consumption in the U.S., slightly offset by a gain in chocolate. Net pricing was essentially flat as higher net pricing in chocolate and candy was offset by lower net pricing in biscuits &amp; baked snacks. Unfavorable currency translation rate changes were due to the strength of the U.S. dollar relative to the Canadian dollar.</w:t>
      </w:r>
    </w:p>
    <w:p>
      <w:pPr>
        <w:spacing w:after="0" w:line="20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Segment operating income decreased $526 million (26.1%), primarily due to higher raw material costs, unfavorable volume/mix, a lower year-over-year benefit from contingent consideration adjustments related to Clif Bar net of lower acquisition integration costs and higher costs incurred for the ERP System Implementation program. These unfavorable items were partially offset by lower advertising and consumer promotion costs, lower manufacturing costs due to productivity, lower other selling, general and administrative expenses and lapping prior-year costs for the completed Simplify to Grow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6845935</wp:posOffset>
            </wp:positionH>
            <wp:positionV relativeFrom="paragraph">
              <wp:posOffset>177165</wp:posOffset>
            </wp:positionV>
            <wp:extent cx="282575" cy="18859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279400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believe that cash from operations, our revolving credit facilities, short-term borrowings and long-term debt financing will continue to provide sufficient liquidity for our working capital needs, planned capital expenditures and future payments of our contractual, tax and benefit plan obligations and payments for acquisitions, share repurchases and quarterly dividends. We expect to continue to utilize our commercial paper program and international credit lines as needed. We continually evaluate long-term debt issuances to meet our short- and longer-term funding requirements. We also use intercompany loans with our international subsidiaries to improve financial flexibility. Overall, we do not expect negative effects to our funding sources that would have a material effect on our liquidity, and we continue to monitor our global operations including the impact of developments in Ukraine and the Middle East. To date, we have been successful in generating cash and raising financing as needed. However, if a serious economic or credit market crisis ensues or other adverse developments arise, it could have a material adverse effect on our liquidity, results of operations and financial condition.</w:t>
      </w:r>
    </w:p>
    <w:p>
      <w:pPr>
        <w:spacing w:after="0" w:line="20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most significant ongoing short-term cash requirements relate primarily to funding operations (including expenditures for raw materials, labor, manufacturing and distribution, trade and promotions, advertising and marketing, tax liabilities, benefit plan obligations and lease expenses) as well as periodic expenditures for acquisitions, shareholder returns (such as dividend payments and share repurchases), property, plant and equipment and any significant non-operating items.</w:t>
      </w:r>
    </w:p>
    <w:p>
      <w:pPr>
        <w:spacing w:after="0" w:line="2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Long-term cash requirements primarily relate to funding long-term debt repayments (refer to Note 7, </w:t>
      </w:r>
      <w:r>
        <w:rPr>
          <w:rFonts w:ascii="Arial" w:cs="Arial" w:eastAsia="Arial" w:hAnsi="Arial"/>
          <w:sz w:val="18"/>
          <w:szCs w:val="18"/>
          <w:i w:val="1"/>
          <w:iCs w:val="1"/>
          <w:color w:val="auto"/>
        </w:rPr>
        <w:t>Debt and Borrowing Arrangements</w:t>
      </w:r>
      <w:r>
        <w:rPr>
          <w:rFonts w:ascii="Arial" w:cs="Arial" w:eastAsia="Arial" w:hAnsi="Arial"/>
          <w:sz w:val="18"/>
          <w:szCs w:val="18"/>
          <w:color w:val="auto"/>
        </w:rPr>
        <w:t xml:space="preserve">), our U.S. tax reform transition tax liability and deferred taxes (refer to Note 16,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in our Annual Report on Form 10-K for the year ended December 31, 2024), our long-term benefit plan obligations (refer to Note 9, </w:t>
      </w:r>
      <w:r>
        <w:rPr>
          <w:rFonts w:ascii="Arial" w:cs="Arial" w:eastAsia="Arial" w:hAnsi="Arial"/>
          <w:sz w:val="18"/>
          <w:szCs w:val="18"/>
          <w:i w:val="1"/>
          <w:iCs w:val="1"/>
          <w:color w:val="auto"/>
        </w:rPr>
        <w:t>Benefit Plans,</w:t>
      </w:r>
      <w:r>
        <w:rPr>
          <w:rFonts w:ascii="Arial" w:cs="Arial" w:eastAsia="Arial" w:hAnsi="Arial"/>
          <w:sz w:val="18"/>
          <w:szCs w:val="18"/>
          <w:color w:val="auto"/>
        </w:rPr>
        <w:t xml:space="preserve"> in Item 1 herein and Note 11</w:t>
      </w:r>
      <w:r>
        <w:rPr>
          <w:rFonts w:ascii="Arial" w:cs="Arial" w:eastAsia="Arial" w:hAnsi="Arial"/>
          <w:sz w:val="18"/>
          <w:szCs w:val="18"/>
          <w:i w:val="1"/>
          <w:iCs w:val="1"/>
          <w:color w:val="auto"/>
        </w:rPr>
        <w:t>, Benefit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Plans, </w:t>
      </w:r>
      <w:r>
        <w:rPr>
          <w:rFonts w:ascii="Arial" w:cs="Arial" w:eastAsia="Arial" w:hAnsi="Arial"/>
          <w:sz w:val="18"/>
          <w:szCs w:val="18"/>
          <w:color w:val="auto"/>
        </w:rPr>
        <w:t>in our Annual report on Form 10-K for the year ended December 31, 2024) and commodity-related purchase commitments and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derivative contracts (refer to Note 8, </w:t>
      </w:r>
      <w:r>
        <w:rPr>
          <w:rFonts w:ascii="Arial" w:cs="Arial" w:eastAsia="Arial" w:hAnsi="Arial"/>
          <w:sz w:val="18"/>
          <w:szCs w:val="18"/>
          <w:i w:val="1"/>
          <w:iCs w:val="1"/>
          <w:color w:val="auto"/>
        </w:rPr>
        <w:t>Financial Instruments</w:t>
      </w:r>
      <w:r>
        <w:rPr>
          <w:rFonts w:ascii="Arial" w:cs="Arial" w:eastAsia="Arial" w:hAnsi="Arial"/>
          <w:sz w:val="18"/>
          <w:szCs w:val="18"/>
          <w:color w:val="auto"/>
        </w:rPr>
        <w:t>).</w:t>
      </w:r>
    </w:p>
    <w:p>
      <w:pPr>
        <w:spacing w:after="0" w:line="20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We generally fund short- and long-term cash requirements with cash from operating activities as well as cash proceeds from short- and long-term debt financing (refer to </w:t>
      </w:r>
      <w:r>
        <w:rPr>
          <w:rFonts w:ascii="Arial" w:cs="Arial" w:eastAsia="Arial" w:hAnsi="Arial"/>
          <w:sz w:val="18"/>
          <w:szCs w:val="18"/>
          <w:i w:val="1"/>
          <w:iCs w:val="1"/>
          <w:color w:val="auto"/>
        </w:rPr>
        <w:t>Debt</w:t>
      </w:r>
      <w:r>
        <w:rPr>
          <w:rFonts w:ascii="Arial" w:cs="Arial" w:eastAsia="Arial" w:hAnsi="Arial"/>
          <w:sz w:val="18"/>
          <w:szCs w:val="18"/>
          <w:color w:val="auto"/>
        </w:rPr>
        <w:t xml:space="preserve"> below). We generally do not use equity to fund our ongoing obligations.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w:t>
      </w:r>
    </w:p>
    <w:p>
      <w:pPr>
        <w:spacing w:after="0" w:line="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believe our ability to generate substantial cash from operating activities and readily access capital markets and secure financing at competitive rates are key strengths and give us significant flexibility to meet our short- and long-term financial commitments. Our cash flow activity is noted below:</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cash provided by/(used in):</w:t>
      </w:r>
    </w:p>
    <w:p>
      <w:pPr>
        <w:spacing w:after="0" w:line="50" w:lineRule="exact"/>
        <w:rPr>
          <w:sz w:val="20"/>
          <w:szCs w:val="20"/>
          <w:color w:val="auto"/>
        </w:rPr>
      </w:pPr>
    </w:p>
    <w:p>
      <w:pPr>
        <w:ind w:left="160"/>
        <w:spacing w:after="0"/>
        <w:rPr>
          <w:sz w:val="20"/>
          <w:szCs w:val="20"/>
          <w:color w:val="auto"/>
        </w:rPr>
      </w:pPr>
      <w:r>
        <w:rPr>
          <w:rFonts w:ascii="Arial" w:cs="Arial" w:eastAsia="Arial" w:hAnsi="Arial"/>
          <w:sz w:val="18"/>
          <w:szCs w:val="18"/>
          <w:color w:val="auto"/>
        </w:rPr>
        <w:t>Operating activities</w:t>
      </w:r>
    </w:p>
    <w:p>
      <w:pPr>
        <w:spacing w:after="0" w:line="50" w:lineRule="exact"/>
        <w:rPr>
          <w:sz w:val="20"/>
          <w:szCs w:val="20"/>
          <w:color w:val="auto"/>
        </w:rPr>
      </w:pPr>
    </w:p>
    <w:p>
      <w:pPr>
        <w:ind w:left="160"/>
        <w:spacing w:after="0"/>
        <w:rPr>
          <w:sz w:val="20"/>
          <w:szCs w:val="20"/>
          <w:color w:val="auto"/>
        </w:rPr>
      </w:pPr>
      <w:r>
        <w:rPr>
          <w:rFonts w:ascii="Arial" w:cs="Arial" w:eastAsia="Arial" w:hAnsi="Arial"/>
          <w:sz w:val="18"/>
          <w:szCs w:val="18"/>
          <w:color w:val="auto"/>
        </w:rPr>
        <w:t>Investing activities</w:t>
      </w:r>
    </w:p>
    <w:p>
      <w:pPr>
        <w:spacing w:after="0" w:line="50" w:lineRule="exact"/>
        <w:rPr>
          <w:sz w:val="20"/>
          <w:szCs w:val="20"/>
          <w:color w:val="auto"/>
        </w:rPr>
      </w:pPr>
    </w:p>
    <w:p>
      <w:pPr>
        <w:ind w:left="160"/>
        <w:spacing w:after="0"/>
        <w:rPr>
          <w:sz w:val="20"/>
          <w:szCs w:val="20"/>
          <w:color w:val="auto"/>
        </w:rPr>
      </w:pPr>
      <w:r>
        <w:rPr>
          <w:rFonts w:ascii="Arial" w:cs="Arial" w:eastAsia="Arial" w:hAnsi="Arial"/>
          <w:sz w:val="18"/>
          <w:szCs w:val="18"/>
          <w:color w:val="auto"/>
        </w:rPr>
        <w:t>Financing activities</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For the Nine Months Ended</w:t>
      </w:r>
    </w:p>
    <w:p>
      <w:pPr>
        <w:spacing w:after="0" w:line="2"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wp:posOffset>
            </wp:positionV>
            <wp:extent cx="189420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894205" cy="8890"/>
                    </a:xfrm>
                    <a:prstGeom prst="rect">
                      <a:avLst/>
                    </a:prstGeom>
                    <a:noFill/>
                  </pic:spPr>
                </pic:pic>
              </a:graphicData>
            </a:graphic>
          </wp:anchor>
        </w:drawing>
      </w:r>
    </w:p>
    <w:p>
      <w:pPr>
        <w:spacing w:after="0" w:line="1" w:lineRule="exact"/>
        <w:rPr>
          <w:sz w:val="20"/>
          <w:szCs w:val="20"/>
          <w:color w:val="auto"/>
        </w:rPr>
      </w:pPr>
    </w:p>
    <w:p>
      <w:pPr>
        <w:ind w:left="540"/>
        <w:spacing w:after="0"/>
        <w:tabs>
          <w:tab w:leader="none" w:pos="2340" w:val="left"/>
        </w:tabs>
        <w:rPr>
          <w:sz w:val="20"/>
          <w:szCs w:val="20"/>
          <w:color w:val="auto"/>
        </w:rPr>
      </w:pPr>
      <w:r>
        <w:rPr>
          <w:rFonts w:ascii="Arial" w:cs="Arial" w:eastAsia="Arial" w:hAnsi="Arial"/>
          <w:sz w:val="14"/>
          <w:szCs w:val="14"/>
          <w:b w:val="1"/>
          <w:bCs w:val="1"/>
          <w:color w:val="auto"/>
        </w:rPr>
        <w:t>2025</w:t>
      </w:r>
      <w:r>
        <w:rPr>
          <w:sz w:val="20"/>
          <w:szCs w:val="20"/>
          <w:color w:val="auto"/>
        </w:rPr>
        <w:tab/>
      </w:r>
      <w:r>
        <w:rPr>
          <w:rFonts w:ascii="Arial" w:cs="Arial" w:eastAsia="Arial" w:hAnsi="Arial"/>
          <w:sz w:val="14"/>
          <w:szCs w:val="14"/>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19050</wp:posOffset>
            </wp:positionV>
            <wp:extent cx="189420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894205" cy="8890"/>
                    </a:xfrm>
                    <a:prstGeom prst="rect">
                      <a:avLst/>
                    </a:prstGeom>
                    <a:noFill/>
                  </pic:spPr>
                </pic:pic>
              </a:graphicData>
            </a:graphic>
          </wp:anchor>
        </w:drawing>
      </w:r>
    </w:p>
    <w:p>
      <w:pPr>
        <w:spacing w:after="0" w:line="28" w:lineRule="exact"/>
        <w:rPr>
          <w:sz w:val="20"/>
          <w:szCs w:val="20"/>
          <w:color w:val="auto"/>
        </w:rPr>
      </w:pPr>
    </w:p>
    <w:p>
      <w:pPr>
        <w:ind w:left="106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-5252085</wp:posOffset>
            </wp:positionH>
            <wp:positionV relativeFrom="paragraph">
              <wp:posOffset>23495</wp:posOffset>
            </wp:positionV>
            <wp:extent cx="7132320" cy="16256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95" w:lineRule="exact"/>
        <w:rPr>
          <w:sz w:val="20"/>
          <w:szCs w:val="20"/>
          <w:color w:val="auto"/>
        </w:rPr>
      </w:pPr>
    </w:p>
    <w:p>
      <w:pPr>
        <w:spacing w:after="0"/>
        <w:tabs>
          <w:tab w:leader="none" w:pos="880" w:val="left"/>
          <w:tab w:leader="none" w:pos="1520" w:val="left"/>
          <w:tab w:leader="none" w:pos="24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2,117</w:t>
        <w:tab/>
        <w:t>$</w:t>
      </w:r>
      <w:r>
        <w:rPr>
          <w:sz w:val="20"/>
          <w:szCs w:val="20"/>
          <w:color w:val="auto"/>
        </w:rPr>
        <w:tab/>
      </w:r>
      <w:r>
        <w:rPr>
          <w:rFonts w:ascii="Arial" w:cs="Arial" w:eastAsia="Arial" w:hAnsi="Arial"/>
          <w:sz w:val="17"/>
          <w:szCs w:val="17"/>
          <w:color w:val="auto"/>
        </w:rPr>
        <w:t>3,451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-5252085</wp:posOffset>
            </wp:positionH>
            <wp:positionV relativeFrom="paragraph">
              <wp:posOffset>17780</wp:posOffset>
            </wp:positionV>
            <wp:extent cx="7132320" cy="1625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30" w:lineRule="exact"/>
        <w:rPr>
          <w:sz w:val="20"/>
          <w:szCs w:val="20"/>
          <w:color w:val="auto"/>
        </w:rPr>
      </w:pPr>
    </w:p>
    <w:p>
      <w:pPr>
        <w:ind w:left="2360" w:hanging="1386"/>
        <w:spacing w:after="0"/>
        <w:tabs>
          <w:tab w:leader="none" w:pos="23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(1,170)</w:t>
      </w:r>
    </w:p>
    <w:p>
      <w:pPr>
        <w:spacing w:after="0" w:line="49" w:lineRule="exact"/>
        <w:rPr>
          <w:rFonts w:ascii="Arial" w:cs="Arial" w:eastAsia="Arial" w:hAnsi="Arial"/>
          <w:sz w:val="18"/>
          <w:szCs w:val="18"/>
          <w:color w:val="auto"/>
        </w:rPr>
      </w:pPr>
    </w:p>
    <w:p>
      <w:pPr>
        <w:ind w:left="820"/>
        <w:spacing w:after="0"/>
        <w:rPr>
          <w:rFonts w:ascii="Arial" w:cs="Arial" w:eastAsia="Arial" w:hAnsi="Arial"/>
          <w:sz w:val="18"/>
          <w:szCs w:val="18"/>
          <w:color w:val="auto"/>
        </w:rPr>
      </w:pPr>
      <w:r>
        <w:rPr>
          <w:rFonts w:ascii="Arial" w:cs="Arial" w:eastAsia="Arial" w:hAnsi="Arial"/>
          <w:sz w:val="18"/>
          <w:szCs w:val="18"/>
          <w:color w:val="auto"/>
        </w:rPr>
        <w:t>(1,346)(2,558)</w:t>
      </w:r>
    </w:p>
    <w:p>
      <w:pPr>
        <w:spacing w:after="0" w:line="200" w:lineRule="exact"/>
        <w:rPr>
          <w:sz w:val="20"/>
          <w:szCs w:val="20"/>
          <w:color w:val="auto"/>
        </w:rPr>
      </w:pPr>
    </w:p>
    <w:p>
      <w:pPr>
        <w:sectPr>
          <w:pgSz w:w="11900" w:h="16838" w:orient="portrait"/>
          <w:cols w:equalWidth="0" w:num="2">
            <w:col w:w="7560" w:space="720"/>
            <w:col w:w="2960"/>
          </w:cols>
          <w:pgMar w:left="320" w:top="364" w:right="339" w:bottom="1440" w:gutter="0" w:footer="0" w:header="0"/>
          <w:type w:val="continuous"/>
        </w:sectPr>
      </w:pP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Operating Activities</w:t>
      </w:r>
    </w:p>
    <w:p>
      <w:pPr>
        <w:spacing w:after="0" w:line="12" w:lineRule="exact"/>
        <w:rPr>
          <w:sz w:val="20"/>
          <w:szCs w:val="20"/>
          <w:color w:val="auto"/>
        </w:rPr>
      </w:pPr>
    </w:p>
    <w:p>
      <w:pPr>
        <w:jc w:val="both"/>
        <w:ind w:right="20"/>
        <w:spacing w:after="0" w:line="250" w:lineRule="auto"/>
        <w:rPr>
          <w:sz w:val="20"/>
          <w:szCs w:val="20"/>
          <w:color w:val="auto"/>
        </w:rPr>
      </w:pPr>
      <w:r>
        <w:rPr>
          <w:rFonts w:ascii="Arial" w:cs="Arial" w:eastAsia="Arial" w:hAnsi="Arial"/>
          <w:sz w:val="18"/>
          <w:szCs w:val="18"/>
          <w:color w:val="auto"/>
        </w:rPr>
        <w:t>The reduction in net cash provided by operating activities was primarily due to lower cash-basis net earnings, combined with higher year-over-year working capital movements.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reduction in net cash used in investing activities was largely driven by net proceeds from investments in the current year as compared to net contributions in the prior year and lower capital expenditures, partially offset by lower proceeds from derivative settlements. We continue to make capital expenditures primarily to modernize manufacturing facilities, implement new product manufacturing and support productivity initiatives. We expect 2025 capital expenditures to be up to $1.3 billion, including capital expenditures in connection with funding our strategic priorities. We expect to continue to fund these expenditures with cash from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6845935</wp:posOffset>
            </wp:positionH>
            <wp:positionV relativeFrom="paragraph">
              <wp:posOffset>170815</wp:posOffset>
            </wp:positionV>
            <wp:extent cx="282575" cy="18859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287655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50" w:name="page51"/>
    <w:bookmarkEnd w:id="50"/>
    <w:p>
      <w:pPr>
        <w:spacing w:after="0"/>
        <w:rPr>
          <w:sz w:val="20"/>
          <w:szCs w:val="20"/>
          <w:color w:val="auto"/>
        </w:rPr>
      </w:pPr>
      <w:r>
        <w:rPr>
          <w:rFonts w:ascii="Arial" w:cs="Arial" w:eastAsia="Arial" w:hAnsi="Arial"/>
          <w:sz w:val="18"/>
          <w:szCs w:val="18"/>
          <w:u w:val="single" w:color="auto"/>
          <w:color w:val="0000FF"/>
        </w:rPr>
        <w:t>Table of Contents</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Financing Activities</w:t>
      </w:r>
    </w:p>
    <w:p>
      <w:pPr>
        <w:spacing w:after="0" w:line="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The reduction in cash used in financing activities was primarily due to higher debt proceeds combined with lower debt repayments, partially offset by higher share repurchases and higher dividends paid in the first nine months of 2025 compared to the same prior year period.</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paid dividends of $ 1,842 million in the first nine months of 2025 and $1,722 million in the first nine months of 2024. The third quarter 2025 dividend of $0.50 per share, declared on July 29, 2025 for shareholders of record as of September 30, 2025, was paid on October 14, 2025. The declaration of dividends is subject to the discretion of our Board of Directors and depends on various factors, including our net earnings, financial condition, cash requirements, future prospects and other factors that our Board of Directors deems relevant to its analysis and decision making.</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Guarantees</w:t>
      </w:r>
    </w:p>
    <w:p>
      <w:pPr>
        <w:spacing w:after="0" w:line="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As discussed in Note 10,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we enter into third-party guarantees primarily to cover the long-term obligations of our vendors. As part of these transactions, we guarantee that third parties will make contractual payments or achieve performance measures. As of September 30, 2025 and December 31, 2024, we had no material third-party guarantees recorded on our condensed consolidated balance sheets. Guarantees do not have, and we do not expect them to have, a material effect on our liquidity.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w:t>
      </w:r>
    </w:p>
    <w:p>
      <w:pPr>
        <w:spacing w:after="0" w:line="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nature and amount of our long-term and short-term debt and the proportionate amount of each varies as a result of current and expected business requirements, market conditions and other factors. As such, we may issue commercial paper or secure other forms of financing throughout the year to meet our short-term working capital or other financing needs.</w:t>
      </w:r>
    </w:p>
    <w:p>
      <w:pPr>
        <w:spacing w:after="0" w:line="20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At its December 2024 meeting, the Board of Directors approved a new $4 billion long-term financing authorization that replaced the prior long-term financing authorization of $2 billion. As of September 30, 2025, $2.4 billion of the long-term financing authorization remained available.</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total debt was $21.3 billion as of September 30, 2025 and $ 17.7 billion as of December 31, 2024. Our debt-to-capitalization ratio was 0.45 at September 30, 2025 and 0.40 at December 31, 2024. At September 30, 2025, the weighted-average term of our outstanding long-term debt was 7.4 years. Our average daily commercial paper borrowings outstanding were $2.2 billion in the first nine months of 2025 and $1.0 billion in the first nine months of 2024.</w:t>
      </w:r>
    </w:p>
    <w:p>
      <w:pPr>
        <w:spacing w:after="0" w:line="20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One of our subsidiaries, Mondelez International Holdings Netherlands B.V. (“MIHN”), has outstanding debt. The operations held by MIHN generated approximately 74.3% (or $20.8 billion) of the $28.0 billion of consolidated net revenue for the nine months ended September 30, 2025. The operations held by MIHN represented approximately 96.2% (or $25.2 billion) of the $26.2 billion of consolidated net assets as of September 30, 2025.</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Refer to Note 7, </w:t>
      </w:r>
      <w:r>
        <w:rPr>
          <w:rFonts w:ascii="Arial" w:cs="Arial" w:eastAsia="Arial" w:hAnsi="Arial"/>
          <w:sz w:val="18"/>
          <w:szCs w:val="18"/>
          <w:i w:val="1"/>
          <w:iCs w:val="1"/>
          <w:color w:val="auto"/>
        </w:rPr>
        <w:t>Debt and Borrowing Arrangements,</w:t>
      </w:r>
      <w:r>
        <w:rPr>
          <w:rFonts w:ascii="Arial" w:cs="Arial" w:eastAsia="Arial" w:hAnsi="Arial"/>
          <w:sz w:val="18"/>
          <w:szCs w:val="18"/>
          <w:color w:val="auto"/>
        </w:rPr>
        <w:t xml:space="preserve"> for additional information on our debt and debt covenants.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Trends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regularly monitor worldwide supply, commodity cost and currency trends so we can cost-effectively secure ingredients, packaging and fuel required for production. During the first nine months of 2025, the primary drivers of the increase in our aggregate commodity costs were higher cocoa, dairy, packaging, edible oils, nuts, energy and other ingredient costs, as well as unfavorable year-over-year currency exchange transaction costs on imported materials, partially offset by lower sugar and grains costs. While the costs of our principal raw materials fluctuate, generally we believe there will continue to be an adequate supply of the raw materials we use and that they will broadly remain available.</w:t>
      </w:r>
    </w:p>
    <w:p>
      <w:pPr>
        <w:spacing w:after="0" w:line="20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number of external factors such as the current macroeconomic environment, including global inflation, effects of geopolitical uncertainty, climate, weather and other conditions affecting plant health and crop yield, commodity, transportation and labor market conditions, exchange rate volatility and the effects of local and global regulations, including trade policies, governmental agricultural or other programs affect the availability and cost of raw materials and agricultural materials used in our products. In particular, the supply of cocoa is exposed to many of these factors, including climate change, weather and other events affecting plant health and crop yield, local regulations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6845935</wp:posOffset>
            </wp:positionH>
            <wp:positionV relativeFrom="paragraph">
              <wp:posOffset>13970</wp:posOffset>
            </wp:positionV>
            <wp:extent cx="282575" cy="18859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pacing w:after="0" w:line="15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287655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cocoa-producing countries, and global regulations such as the EU Deforestation Regulation (which requires companies to ensure that the products they place on the EU market or export from it are not associated with deforestation). These factors could impact the supply of cocoa, which could potentially limit our ability to produce our products and significantly impact profitability.</w:t>
      </w:r>
    </w:p>
    <w:p>
      <w:pPr>
        <w:spacing w:after="0" w:line="19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During the first nine months of 2025, price volatility and the higher aggregate cost environment increased due to international supply chain and labor market disruptions and generally higher commodity, transportation and labor costs. We expect these conditions to continue to impact our aggregate commodity costs. In particular, while we expect cocoa costs to be lower in 2026 compared to the current year, we expect to continue to face elevated cocoa costs as compared to historical levels in the near- and medium-term due to these factors. It is possible that we may not be able to increase prices sufficiently to fully cover the incremental costs of cocoa prices in this environment and/or our hedging strategies may not protect us from increases in cocoa costs, which could result in a significant adverse impact on our profitability.</w:t>
      </w:r>
    </w:p>
    <w:p>
      <w:pPr>
        <w:spacing w:after="0" w:line="19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address higher commodity costs and currency impacts primarily through hedging, higher pricing and manufacturing and overhead cost control. We use hedging techniques to limit the impact of fluctuations in the cost of our principal raw materials; however, we may not be able to fully hedge against commodity cost changes, such as dairy, where there is a limited ability to hedge, and our hedging strategies may not protect us from increases in specific raw material costs. Our commodity procurement practices are intended to mitigate price volatility and provide visibility to future costs, but also may potentially limit our ability to benefit from possible future price decreases. Additionally, our costs for major raw materials will not necessarily reflect market price fluctuations because of our forward purchasing and hedging practices. Due to competitive or market conditions, planned trade or promotional incentives, fluctuations in currency exchange rates or other factors, our pricing actions may also lag commodity cost changes temporarily.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Estimates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We prepare our condensed consolidated financial statements in conformity with U.S. GAAP. The preparation of these financial statements requires the use of estimates, judgments and assumptions that affect the reported amounts of assets and liabilities at the date of the financial statements and reported amounts of revenues and expenses during the periods presented. Actual results could differ from those estimates and assumptions. Our significant accounting policies and estimates are described in Note 1 to our consolidated financial statements and </w:t>
      </w:r>
      <w:r>
        <w:rPr>
          <w:rFonts w:ascii="Arial" w:cs="Arial" w:eastAsia="Arial" w:hAnsi="Arial"/>
          <w:sz w:val="18"/>
          <w:szCs w:val="18"/>
          <w:i w:val="1"/>
          <w:iCs w:val="1"/>
          <w:color w:val="auto"/>
        </w:rPr>
        <w:t xml:space="preserve">Management’s Discussion and Analysis of Financial Condition and Results of Operations, </w:t>
      </w:r>
      <w:r>
        <w:rPr>
          <w:rFonts w:ascii="Arial" w:cs="Arial" w:eastAsia="Arial" w:hAnsi="Arial"/>
          <w:sz w:val="18"/>
          <w:szCs w:val="18"/>
          <w:color w:val="auto"/>
        </w:rPr>
        <w:t>respectively, in our Annual Report on Form 10-K</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for the year ended December 31, 2024. Also refer to Note 1, </w:t>
      </w:r>
      <w:r>
        <w:rPr>
          <w:rFonts w:ascii="Arial" w:cs="Arial" w:eastAsia="Arial" w:hAnsi="Arial"/>
          <w:sz w:val="18"/>
          <w:szCs w:val="18"/>
          <w:i w:val="1"/>
          <w:iCs w:val="1"/>
          <w:color w:val="auto"/>
        </w:rPr>
        <w:t>Basis of Presentation</w:t>
      </w:r>
      <w:r>
        <w:rPr>
          <w:rFonts w:ascii="Arial" w:cs="Arial" w:eastAsia="Arial" w:hAnsi="Arial"/>
          <w:sz w:val="18"/>
          <w:szCs w:val="18"/>
          <w:color w:val="auto"/>
        </w:rPr>
        <w:t>, in this report.</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This report contains “forward-looking statements” within the meaning of Section 27A of the Securities Act of 1933, as amended, and Section 21E of the Securities Exchange Act of 1934, as amended (the "Exchange Act"). All statements other than statements of historical fact are “forward-looking statements” for purposes of federal and state securities laws, including any projections of earnings, revenue or other financial items; any statements of the plans, strategies and objectives of management, including for future operations, capital expenditures or share repurchases; any statements concerning proposed new products, services, or developments; any statements regarding future economic conditions or performance; any statements of belief or expectation; and any statements of assumptions underlying any of the foregoing or other future events. Forward-looking statements may include, among others, the words, and variations of words, “will,” “may,” “expect,” “would,” “could,” “might,” “intend,” “plan,” “believe,” “likely,” “estimate,” “anticipate,” “objective,” “predict,” “project,” “drive,” “seek,” “aim,” “target,” "remain," “potential,” “commitment,” “outlook,” “continue” or any other similar words.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6845935</wp:posOffset>
            </wp:positionH>
            <wp:positionV relativeFrom="paragraph">
              <wp:posOffset>1403985</wp:posOffset>
            </wp:positionV>
            <wp:extent cx="282575" cy="18859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287655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Although we believe that the expectations reflected in any of our forward-looking statements are reasonable, actual results or outcomes could differ materially from those projected or assumed in any of our forward-looking statements. Our future financial condition and results of operations, as well as any forward-looking statements, are subject to change and to inherent risks and uncertainties, many of which are beyond our control and are amplified by ongoing macroeconomic volatility and uncertainty, including current and potential trade and tariff actions affecting the countries where we operate. Important factors that could cause our actual results or performance to differ materially from those contained in or implied by our forward-looking statements include, but are not limited to, the following:</w:t>
      </w:r>
    </w:p>
    <w:p>
      <w:pPr>
        <w:spacing w:after="0" w:line="5" w:lineRule="exact"/>
        <w:rPr>
          <w:sz w:val="20"/>
          <w:szCs w:val="20"/>
          <w:color w:val="auto"/>
        </w:rPr>
      </w:pPr>
    </w:p>
    <w:p>
      <w:pPr>
        <w:ind w:left="660" w:hanging="328"/>
        <w:spacing w:after="0" w:line="250"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weakness and/or volatility in macroeconomic conditions in our markets, including as a result of inflation (and related monetary policy actions by governments in response to inflation) and the instability of certain financial institutions;</w:t>
      </w:r>
    </w:p>
    <w:p>
      <w:pPr>
        <w:ind w:left="660" w:hanging="328"/>
        <w:spacing w:after="0" w:line="250"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risks from operating globally including geopolitical, trade, tariff and regulatory uncertainties affecting developed and emerging markets;</w:t>
      </w: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volatility of cocoa and other commodity input costs, our ability to effectively hedge such costs and the availability of commodities;</w:t>
      </w:r>
    </w:p>
    <w:p>
      <w:pPr>
        <w:spacing w:after="0" w:line="9" w:lineRule="exact"/>
        <w:rPr>
          <w:rFonts w:ascii="Arial" w:cs="Arial" w:eastAsia="Arial" w:hAnsi="Arial"/>
          <w:sz w:val="18"/>
          <w:szCs w:val="18"/>
          <w:color w:val="auto"/>
        </w:rPr>
      </w:pPr>
    </w:p>
    <w:p>
      <w:pPr>
        <w:jc w:val="both"/>
        <w:ind w:left="660" w:hanging="328"/>
        <w:spacing w:after="0" w:line="250"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geopolitical uncertainty, including the impact of ongoing or new developments in Ukraine and the Middle East, related current and future sanctions imposed by governments and other authorities and related impacts, including on our business operations, employees, reputation, brands, financial condition and results of operations;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competition and our response to channel shifts and pricing and other competitive pressures;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pricing actions and customer and consumer responses to such actions;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promotion and protection of our reputation and brand image;</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weakness in consumer spending and/or changes in consumer preferences and demand and our ability to predict, identify, interpret and meet these changes;</w:t>
      </w: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outcome and effects on us of legal and tax proceedings and government investigations;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use of information technology and third party service providers;</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unanticipated disruptions to our business, such as malware incidents, cyberattacks or other security breaches, and supply, commodity, labor and transportation constraints;</w:t>
      </w:r>
    </w:p>
    <w:p>
      <w:pPr>
        <w:jc w:val="both"/>
        <w:ind w:left="660" w:hanging="328"/>
        <w:spacing w:after="0" w:line="250"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identify, complete, manage and realize the full extent of the benefits, cost savings, efficiencies and/or synergies presented by strategic acquisitions and other transactions as well as other strategic initiatives, such as our ERP System Implementation program;</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investments and our ownership interests in those investments;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impact of climate change on our supply chain and operations;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global or regional health pandemics or epidemics;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consolidation of retail customers and competition with retailer and other economy brands;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our relationships with customers, suppliers or distributors;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management of our workforce and shifts in labor availability or labor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compliance with legal, regulatory, tax and benefit laws and related changes, claims or actions;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perceived or actual product quality issues or product recalls;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failure to maintain effective internal control over financial reporting or disclosure controls and procedures;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protect our intellectual property and intangible assets;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tax matters including changes in tax laws and rates, disagreements with taxing authorities and imposition of new taxes;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currency exchange rates, controls and restrictions;</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volatility of and access to capital or other markets, interest rates, the effectiveness of our cash management programs and our liquidity;</w:t>
      </w: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pension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significant changes in valuation factors that may adversely affect our impairment testing of goodwill and intangible assets; and</w:t>
      </w:r>
    </w:p>
    <w:p>
      <w:pPr>
        <w:spacing w:after="0" w:line="9" w:lineRule="exact"/>
        <w:rPr>
          <w:rFonts w:ascii="Arial" w:cs="Arial" w:eastAsia="Arial" w:hAnsi="Arial"/>
          <w:sz w:val="18"/>
          <w:szCs w:val="18"/>
          <w:color w:val="auto"/>
        </w:rPr>
      </w:pPr>
    </w:p>
    <w:p>
      <w:pPr>
        <w:jc w:val="both"/>
        <w:ind w:left="660" w:hanging="328"/>
        <w:spacing w:after="0" w:line="258"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risks and uncertainties, as they may be amended from time to time, set forth in our filings with the U.S. Securities and Exchange Commission, including our Annual Report on Form 10-K for the year ended December 31, 2024 and subsequent Quarterly Reports on Form 10-Q.</w:t>
      </w:r>
    </w:p>
    <w:p>
      <w:pPr>
        <w:spacing w:after="0" w:line="2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There may be other factors not presently known to us or which we currently consider to be immaterial that could cause our actual results to differ materially from those projected in any forward-looking statements we make. We disclaim and do not undertake any obligation to update or revise any forward-looking statement in this report except as required by applicable law or regulation. In addition, historical, current and forward-looking sustainability-related statements may be based on standards for measuring progress that are still developing, internal controls and processes that continue to evolve, and assumptions that are subject to change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6845935</wp:posOffset>
            </wp:positionH>
            <wp:positionV relativeFrom="paragraph">
              <wp:posOffset>13970</wp:posOffset>
            </wp:positionV>
            <wp:extent cx="282575" cy="18859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pacing w:after="0" w:line="15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287655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we operate globally, we are primarily exposed to currency exchange rate, commodity price and interest rate market risks. We monitor and manage these exposures as part of our overall risk management program. Our risk management program focuses on the unpredictability of financial markets and seeks to reduce the potentially adverse effects that the volatility of these markets may have on our operating results.</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We principally utilize derivative instruments to reduce significant, unanticipated earnings fluctuations that may arise from volatility in currency exchange rates, commodity prices and interest rates. Additionally, we periodically use interest rate swaps and forward interest rate contracts to achieve a desired proportion of variable versus fixed rate debt based on current and projected market conditions. For additional information on our derivative activity and the types of derivative instruments we use to hedge our currency exchange, commodity price and interest rate exposures, see Note 8, </w:t>
      </w:r>
      <w:r>
        <w:rPr>
          <w:rFonts w:ascii="Arial" w:cs="Arial" w:eastAsia="Arial" w:hAnsi="Arial"/>
          <w:sz w:val="18"/>
          <w:szCs w:val="18"/>
          <w:i w:val="1"/>
          <w:iCs w:val="1"/>
          <w:color w:val="auto"/>
        </w:rPr>
        <w:t>Financial Instruments</w:t>
      </w:r>
      <w:r>
        <w:rPr>
          <w:rFonts w:ascii="Arial" w:cs="Arial" w:eastAsia="Arial" w:hAnsi="Arial"/>
          <w:sz w:val="18"/>
          <w:szCs w:val="18"/>
          <w:color w:val="auto"/>
        </w:rPr>
        <w:t xml:space="preserve"> and for additional information on our debt activity, see Note 7, </w:t>
      </w:r>
      <w:r>
        <w:rPr>
          <w:rFonts w:ascii="Arial" w:cs="Arial" w:eastAsia="Arial" w:hAnsi="Arial"/>
          <w:sz w:val="18"/>
          <w:szCs w:val="18"/>
          <w:i w:val="1"/>
          <w:iCs w:val="1"/>
          <w:color w:val="auto"/>
        </w:rPr>
        <w:t>Debt and Borrowing</w:t>
      </w:r>
      <w:r>
        <w:rPr>
          <w:rFonts w:ascii="Arial" w:cs="Arial" w:eastAsia="Arial" w:hAnsi="Arial"/>
          <w:sz w:val="18"/>
          <w:szCs w:val="18"/>
          <w:color w:val="auto"/>
        </w:rPr>
        <w:t xml:space="preserve"> </w:t>
      </w:r>
      <w:r>
        <w:rPr>
          <w:rFonts w:ascii="Arial" w:cs="Arial" w:eastAsia="Arial" w:hAnsi="Arial"/>
          <w:sz w:val="18"/>
          <w:szCs w:val="18"/>
          <w:i w:val="1"/>
          <w:iCs w:val="1"/>
          <w:color w:val="auto"/>
        </w:rPr>
        <w:t>Arrangements</w:t>
      </w:r>
      <w:r>
        <w:rPr>
          <w:rFonts w:ascii="Arial" w:cs="Arial" w:eastAsia="Arial" w:hAnsi="Arial"/>
          <w:sz w:val="18"/>
          <w:szCs w:val="18"/>
          <w:color w:val="auto"/>
        </w:rPr>
        <w:t>.</w:t>
      </w:r>
    </w:p>
    <w:p>
      <w:pPr>
        <w:spacing w:after="0" w:line="209"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For additional information on our strategies, policies and practices on an ongoing basis, refer to our Annual Report on Form 10-K for the year ended December 31, 2024.</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established disclosure controls and procedures that are designed to ensure that information required to be disclosed in our reports filed or submitted under the Exchange Act is recorded, processed, summarized and reported within the time periods specified in the rules and forms of the SEC, and such information is accumulated and communicated to our management, including our Chief Executive Officer (“CEO”) and Chief Financial Officer (“CFO”), as appropriate to allow timely decisions regarding required disclosure. Management, together with our CEO and CFO, evaluated the effectiveness of the Company’s disclosure controls and procedures as of September 30, 2025. Based on this evaluation, the CEO and CFO concluded that our disclosure controls and procedures were effective as of September 30, 2025.</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Management, together with our CEO and CFO, evaluated the changes in our internal control over financial reporting during the quarter ended September 30, 2025. There were no material changes in our internal control over financial reporting during the quarter ended September 30, 2025, that have materially affected, or are reasonably likely to materially affect, our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6845935</wp:posOffset>
            </wp:positionH>
            <wp:positionV relativeFrom="paragraph">
              <wp:posOffset>163195</wp:posOffset>
            </wp:positionV>
            <wp:extent cx="282575" cy="18859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pacing w:after="0" w:line="39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287655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34"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 xml:space="preserve">Information regarding legal proceedings is available in Note 10,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to the condensed consolidated financial statements in this report.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There were no material changes to the risk factors disclosed in our Annual Report on Form 10-K for the year ended December 31, 2024.</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Our stock repurchase activity for each of the three months in the quarter ended September 30, 2025 was: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15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9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Issuer Purchases of Equity Securities</w:t>
            </w: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1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rPr>
              <w:t>Total Number of</w:t>
            </w:r>
          </w:p>
        </w:tc>
        <w:tc>
          <w:tcPr>
            <w:tcW w:w="100" w:type="dxa"/>
            <w:vAlign w:val="bottom"/>
          </w:tcPr>
          <w:p>
            <w:pPr>
              <w:spacing w:after="0"/>
              <w:rPr>
                <w:sz w:val="12"/>
                <w:szCs w:val="12"/>
                <w:color w:val="auto"/>
              </w:rPr>
            </w:pPr>
          </w:p>
        </w:tc>
        <w:tc>
          <w:tcPr>
            <w:tcW w:w="18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Approximate Dollar 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15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Average</w:t>
            </w: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Shares Purchased</w:t>
            </w:r>
          </w:p>
        </w:tc>
        <w:tc>
          <w:tcPr>
            <w:tcW w:w="100" w:type="dxa"/>
            <w:vAlign w:val="bottom"/>
          </w:tcPr>
          <w:p>
            <w:pPr>
              <w:spacing w:after="0"/>
              <w:rPr>
                <w:sz w:val="12"/>
                <w:szCs w:val="12"/>
                <w:color w:val="auto"/>
              </w:rPr>
            </w:pPr>
          </w:p>
        </w:tc>
        <w:tc>
          <w:tcPr>
            <w:tcW w:w="1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as Part of Publicly</w:t>
            </w:r>
          </w:p>
        </w:tc>
        <w:tc>
          <w:tcPr>
            <w:tcW w:w="100" w:type="dxa"/>
            <w:vAlign w:val="bottom"/>
          </w:tcPr>
          <w:p>
            <w:pPr>
              <w:spacing w:after="0"/>
              <w:rPr>
                <w:sz w:val="12"/>
                <w:szCs w:val="12"/>
                <w:color w:val="auto"/>
              </w:rPr>
            </w:pPr>
          </w:p>
        </w:tc>
        <w:tc>
          <w:tcPr>
            <w:tcW w:w="18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rPr>
              <w:t>of Shares That May Yet Be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w:t>
            </w:r>
          </w:p>
        </w:tc>
        <w:tc>
          <w:tcPr>
            <w:tcW w:w="15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of Shares</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rPr>
              <w:t>Price Paid</w:t>
            </w:r>
          </w:p>
        </w:tc>
        <w:tc>
          <w:tcPr>
            <w:tcW w:w="17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Announced Plans</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20" w:type="dxa"/>
            <w:vAlign w:val="bottom"/>
          </w:tcPr>
          <w:p>
            <w:pPr>
              <w:jc w:val="center"/>
              <w:ind w:right="37"/>
              <w:spacing w:after="0" w:line="135" w:lineRule="exact"/>
              <w:rPr>
                <w:sz w:val="20"/>
                <w:szCs w:val="20"/>
                <w:color w:val="auto"/>
              </w:rPr>
            </w:pPr>
            <w:r>
              <w:rPr>
                <w:rFonts w:ascii="Arial" w:cs="Arial" w:eastAsia="Arial" w:hAnsi="Arial"/>
                <w:sz w:val="14"/>
                <w:szCs w:val="14"/>
                <w:b w:val="1"/>
                <w:bCs w:val="1"/>
                <w:color w:val="auto"/>
              </w:rPr>
              <w:t>Purchased Under the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480" w:type="dxa"/>
            <w:vAlign w:val="bottom"/>
            <w:gridSpan w:val="2"/>
            <w:vMerge w:val="continue"/>
          </w:tcPr>
          <w:p>
            <w:pPr>
              <w:spacing w:after="0"/>
              <w:rPr>
                <w:sz w:val="14"/>
                <w:szCs w:val="14"/>
                <w:color w:val="auto"/>
              </w:rPr>
            </w:pPr>
          </w:p>
        </w:tc>
        <w:tc>
          <w:tcPr>
            <w:tcW w:w="1520" w:type="dxa"/>
            <w:vAlign w:val="bottom"/>
          </w:tcPr>
          <w:p>
            <w:pPr>
              <w:jc w:val="center"/>
              <w:spacing w:after="0" w:line="162" w:lineRule="exact"/>
              <w:rPr>
                <w:sz w:val="20"/>
                <w:szCs w:val="20"/>
                <w:color w:val="auto"/>
              </w:rPr>
            </w:pPr>
            <w:r>
              <w:rPr>
                <w:rFonts w:ascii="Arial" w:cs="Arial" w:eastAsia="Arial" w:hAnsi="Arial"/>
                <w:sz w:val="14"/>
                <w:szCs w:val="14"/>
                <w:b w:val="1"/>
                <w:bCs w:val="1"/>
                <w:color w:val="auto"/>
                <w:w w:val="97"/>
              </w:rPr>
              <w:t xml:space="preserve">Purchased </w:t>
            </w:r>
            <w:r>
              <w:rPr>
                <w:rFonts w:ascii="Arial" w:cs="Arial" w:eastAsia="Arial" w:hAnsi="Arial"/>
                <w:sz w:val="18"/>
                <w:szCs w:val="18"/>
                <w:b w:val="1"/>
                <w:bCs w:val="1"/>
                <w:color w:val="auto"/>
                <w:w w:val="97"/>
                <w:vertAlign w:val="superscript"/>
              </w:rPr>
              <w:t>(1)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center"/>
              <w:ind w:right="280"/>
              <w:spacing w:after="0" w:line="162" w:lineRule="exact"/>
              <w:rPr>
                <w:sz w:val="20"/>
                <w:szCs w:val="20"/>
                <w:color w:val="auto"/>
              </w:rPr>
            </w:pPr>
            <w:r>
              <w:rPr>
                <w:rFonts w:ascii="Arial" w:cs="Arial" w:eastAsia="Arial" w:hAnsi="Arial"/>
                <w:sz w:val="14"/>
                <w:szCs w:val="14"/>
                <w:b w:val="1"/>
                <w:bCs w:val="1"/>
                <w:color w:val="auto"/>
                <w:w w:val="98"/>
              </w:rPr>
              <w:t xml:space="preserve">per Share </w:t>
            </w:r>
            <w:r>
              <w:rPr>
                <w:rFonts w:ascii="Arial" w:cs="Arial" w:eastAsia="Arial" w:hAnsi="Arial"/>
                <w:sz w:val="18"/>
                <w:szCs w:val="18"/>
                <w:b w:val="1"/>
                <w:bCs w:val="1"/>
                <w:color w:val="auto"/>
                <w:w w:val="98"/>
                <w:vertAlign w:val="superscript"/>
              </w:rPr>
              <w:t>(1)</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rPr>
              <w:t xml:space="preserve">or Programs </w:t>
            </w:r>
            <w:r>
              <w:rPr>
                <w:rFonts w:ascii="Arial" w:cs="Arial" w:eastAsia="Arial" w:hAnsi="Arial"/>
                <w:sz w:val="9"/>
                <w:szCs w:val="9"/>
                <w:b w:val="1"/>
                <w:bCs w:val="1"/>
                <w:color w:val="auto"/>
              </w:rPr>
              <w:t>(2) (3)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tcPr>
          <w:p>
            <w:pPr>
              <w:jc w:val="center"/>
              <w:ind w:right="37"/>
              <w:spacing w:after="0" w:line="162" w:lineRule="exact"/>
              <w:rPr>
                <w:sz w:val="20"/>
                <w:szCs w:val="20"/>
                <w:color w:val="auto"/>
              </w:rPr>
            </w:pPr>
            <w:r>
              <w:rPr>
                <w:rFonts w:ascii="Arial" w:cs="Arial" w:eastAsia="Arial" w:hAnsi="Arial"/>
                <w:sz w:val="14"/>
                <w:szCs w:val="14"/>
                <w:b w:val="1"/>
                <w:bCs w:val="1"/>
                <w:color w:val="auto"/>
                <w:w w:val="96"/>
              </w:rPr>
              <w:t xml:space="preserve">Plans or Programs </w:t>
            </w:r>
            <w:r>
              <w:rPr>
                <w:rFonts w:ascii="Arial" w:cs="Arial" w:eastAsia="Arial" w:hAnsi="Arial"/>
                <w:sz w:val="18"/>
                <w:szCs w:val="18"/>
                <w:b w:val="1"/>
                <w:bCs w:val="1"/>
                <w:color w:val="auto"/>
                <w:w w:val="96"/>
                <w:vertAlign w:val="superscript"/>
              </w:rPr>
              <w:t>(2) (4)</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460" w:type="dxa"/>
            <w:vAlign w:val="bottom"/>
            <w:tcBorders>
              <w:top w:val="single" w:sz="8" w:color="auto"/>
              <w:bottom w:val="single" w:sz="8" w:color="CCEEFF"/>
            </w:tcBorders>
          </w:tcPr>
          <w:p>
            <w:pPr>
              <w:spacing w:after="0" w:line="20" w:lineRule="exact"/>
              <w:rPr>
                <w:sz w:val="1"/>
                <w:szCs w:val="1"/>
                <w:color w:val="auto"/>
              </w:rPr>
            </w:pPr>
          </w:p>
        </w:tc>
        <w:tc>
          <w:tcPr>
            <w:tcW w:w="402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1-31, 2025</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1,539,955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65.16</w:t>
            </w:r>
          </w:p>
        </w:tc>
        <w:tc>
          <w:tcPr>
            <w:tcW w:w="1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1,534,753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August 1-31, 2025</w:t>
            </w:r>
          </w:p>
        </w:tc>
        <w:tc>
          <w:tcPr>
            <w:tcW w:w="1520" w:type="dxa"/>
            <w:vAlign w:val="bottom"/>
          </w:tcPr>
          <w:p>
            <w:pPr>
              <w:jc w:val="right"/>
              <w:spacing w:after="0"/>
              <w:rPr>
                <w:sz w:val="20"/>
                <w:szCs w:val="20"/>
                <w:color w:val="auto"/>
              </w:rPr>
            </w:pPr>
            <w:r>
              <w:rPr>
                <w:rFonts w:ascii="Arial" w:cs="Arial" w:eastAsia="Arial" w:hAnsi="Arial"/>
                <w:sz w:val="18"/>
                <w:szCs w:val="18"/>
                <w:color w:val="auto"/>
              </w:rPr>
              <w:t>2,226,530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62.88</w:t>
            </w:r>
          </w:p>
        </w:tc>
        <w:tc>
          <w:tcPr>
            <w:tcW w:w="1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2,225,557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7,194</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1-30, 2025</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62.37</w:t>
            </w:r>
          </w:p>
        </w:tc>
        <w:tc>
          <w:tcPr>
            <w:tcW w:w="120" w:type="dxa"/>
            <w:vAlign w:val="bottom"/>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80" w:type="dxa"/>
            <w:vAlign w:val="bottom"/>
            <w:gridSpan w:val="2"/>
          </w:tcPr>
          <w:p>
            <w:pPr>
              <w:ind w:left="220"/>
              <w:spacing w:after="0"/>
              <w:rPr>
                <w:sz w:val="20"/>
                <w:szCs w:val="20"/>
                <w:color w:val="auto"/>
              </w:rPr>
            </w:pPr>
            <w:r>
              <w:rPr>
                <w:rFonts w:ascii="Arial" w:cs="Arial" w:eastAsia="Arial" w:hAnsi="Arial"/>
                <w:sz w:val="18"/>
                <w:szCs w:val="18"/>
                <w:color w:val="auto"/>
              </w:rPr>
              <w:t>For the Quarter Ended September 30, 2025</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3,766,768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63.81</w:t>
            </w:r>
          </w:p>
        </w:tc>
        <w:tc>
          <w:tcPr>
            <w:tcW w:w="120" w:type="dxa"/>
            <w:vAlign w:val="bottom"/>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3,760,310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42" w:lineRule="exact"/>
        <w:rPr>
          <w:sz w:val="20"/>
          <w:szCs w:val="20"/>
          <w:color w:val="auto"/>
        </w:rPr>
      </w:pPr>
    </w:p>
    <w:p>
      <w:pPr>
        <w:jc w:val="both"/>
        <w:ind w:left="340" w:hanging="332"/>
        <w:spacing w:after="0" w:line="261" w:lineRule="auto"/>
        <w:tabs>
          <w:tab w:leader="none" w:pos="327"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total number of shares purchased (and the average price paid per share) reflects: (i) shares purchased pursuant to the repurchase program described in (2) below; and (ii) shares tendered to us by employees who used shares to exercise options and to pay the related taxes for grants of deferred stock that vested, totaling 5,202 shares, 973 shares and 283 shares for the fiscal months of July, August and September 2025, respectively.</w:t>
      </w:r>
    </w:p>
    <w:p>
      <w:pPr>
        <w:spacing w:after="0" w:line="1" w:lineRule="exact"/>
        <w:rPr>
          <w:rFonts w:ascii="Arial" w:cs="Arial" w:eastAsia="Arial" w:hAnsi="Arial"/>
          <w:sz w:val="14"/>
          <w:szCs w:val="14"/>
          <w:color w:val="auto"/>
        </w:rPr>
      </w:pPr>
    </w:p>
    <w:p>
      <w:pPr>
        <w:jc w:val="both"/>
        <w:ind w:left="340" w:hanging="332"/>
        <w:spacing w:after="0" w:line="254" w:lineRule="auto"/>
        <w:tabs>
          <w:tab w:leader="none" w:pos="327" w:val="left"/>
        </w:tabs>
        <w:numPr>
          <w:ilvl w:val="0"/>
          <w:numId w:val="27"/>
        </w:numPr>
        <w:rPr>
          <w:rFonts w:ascii="Arial" w:cs="Arial" w:eastAsia="Arial" w:hAnsi="Arial"/>
          <w:sz w:val="14"/>
          <w:szCs w:val="14"/>
          <w:color w:val="auto"/>
        </w:rPr>
      </w:pPr>
      <w:r>
        <w:rPr>
          <w:rFonts w:ascii="Arial" w:cs="Arial" w:eastAsia="Arial" w:hAnsi="Arial"/>
          <w:sz w:val="14"/>
          <w:szCs w:val="14"/>
          <w:color w:val="auto"/>
        </w:rPr>
        <w:t xml:space="preserve">Effective January 1, 2025, our Board of Directors authorized a program for the repurchase of up to $9.0 billion of our Common Stock through December 31, 2027, excluding excise taxes. During the nine months ended September 30, 2025, we repurchased $1.8 billion and, as of September 30, 2025, we had approximately $7.2 billion of share repurchase authorization remaining. See related information in Note 11, </w:t>
      </w:r>
      <w:r>
        <w:rPr>
          <w:rFonts w:ascii="Arial" w:cs="Arial" w:eastAsia="Arial" w:hAnsi="Arial"/>
          <w:sz w:val="14"/>
          <w:szCs w:val="14"/>
          <w:i w:val="1"/>
          <w:iCs w:val="1"/>
          <w:color w:val="auto"/>
        </w:rPr>
        <w:t>Shareholders' Equity</w:t>
      </w:r>
      <w:r>
        <w:rPr>
          <w:rFonts w:ascii="Arial" w:cs="Arial" w:eastAsia="Arial" w:hAnsi="Arial"/>
          <w:sz w:val="14"/>
          <w:szCs w:val="14"/>
          <w:color w:val="auto"/>
        </w:rPr>
        <w:t>.</w:t>
      </w:r>
    </w:p>
    <w:p>
      <w:pPr>
        <w:spacing w:after="0" w:line="1" w:lineRule="exact"/>
        <w:rPr>
          <w:rFonts w:ascii="Arial" w:cs="Arial" w:eastAsia="Arial" w:hAnsi="Arial"/>
          <w:sz w:val="14"/>
          <w:szCs w:val="14"/>
          <w:color w:val="auto"/>
        </w:rPr>
      </w:pPr>
    </w:p>
    <w:p>
      <w:pPr>
        <w:ind w:left="340" w:hanging="332"/>
        <w:spacing w:after="0" w:line="261" w:lineRule="auto"/>
        <w:tabs>
          <w:tab w:leader="none" w:pos="327" w:val="left"/>
        </w:tabs>
        <w:numPr>
          <w:ilvl w:val="0"/>
          <w:numId w:val="27"/>
        </w:numPr>
        <w:rPr>
          <w:rFonts w:ascii="Arial" w:cs="Arial" w:eastAsia="Arial" w:hAnsi="Arial"/>
          <w:sz w:val="14"/>
          <w:szCs w:val="14"/>
          <w:color w:val="auto"/>
        </w:rPr>
      </w:pPr>
      <w:r>
        <w:rPr>
          <w:rFonts w:ascii="Arial" w:cs="Arial" w:eastAsia="Arial" w:hAnsi="Arial"/>
          <w:sz w:val="14"/>
          <w:szCs w:val="14"/>
          <w:color w:val="auto"/>
        </w:rPr>
        <w:t>Our share repurchases in excess of issuances are subject to a 1% excise tax enacted by the Inflation Reduction Act. Any excise tax incurred on share repurchases is recognized as part of the cost basis of the shares acquired.</w:t>
      </w:r>
    </w:p>
    <w:p>
      <w:pPr>
        <w:ind w:left="320" w:hanging="312"/>
        <w:spacing w:after="0"/>
        <w:tabs>
          <w:tab w:leader="none" w:pos="3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Dollar values stated in millions.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 Insider Trading Arrangements</w:t>
      </w:r>
    </w:p>
    <w:p>
      <w:pPr>
        <w:spacing w:after="0" w:line="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September 12, 2025, Gustavo Valle, Executive Vice President, North America, entered into a trading plan intended to satisfy the affirmative defense conditions of Rule 10b5-1(c) of the Exchange Act (the “10b5-1 Plan”). The 10b5-1 Plan provides for (i) the potential exercise of vested stock options and the associated sale of up to 69,520 shares of our common stock and (ii) the sale of up to 3,000 shares of our common stock over a period ending on August 31, 2026 subject to certain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6845935</wp:posOffset>
            </wp:positionH>
            <wp:positionV relativeFrom="paragraph">
              <wp:posOffset>170815</wp:posOffset>
            </wp:positionV>
            <wp:extent cx="282575" cy="18859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287655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20" w:type="dxa"/>
            <w:vAlign w:val="bottom"/>
            <w:gridSpan w:val="2"/>
          </w:tcPr>
          <w:p>
            <w:pPr>
              <w:ind w:left="20"/>
              <w:spacing w:after="0"/>
              <w:rPr>
                <w:sz w:val="20"/>
                <w:szCs w:val="20"/>
                <w:color w:val="auto"/>
              </w:rPr>
            </w:pPr>
            <w:r>
              <w:rPr>
                <w:rFonts w:ascii="Arial" w:cs="Arial" w:eastAsia="Arial" w:hAnsi="Arial"/>
                <w:sz w:val="18"/>
                <w:szCs w:val="18"/>
                <w:color w:val="auto"/>
              </w:rPr>
              <w:t>Exhibit</w:t>
            </w: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6140" w:type="dxa"/>
            <w:vAlign w:val="bottom"/>
            <w:gridSpan w:val="4"/>
            <w:vMerge w:val="restart"/>
          </w:tcPr>
          <w:p>
            <w:pPr>
              <w:ind w:left="680"/>
              <w:spacing w:after="0"/>
              <w:rPr>
                <w:sz w:val="20"/>
                <w:szCs w:val="20"/>
                <w:color w:val="auto"/>
              </w:rPr>
            </w:pPr>
            <w:r>
              <w:rPr>
                <w:rFonts w:ascii="Arial" w:cs="Arial" w:eastAsia="Arial" w:hAnsi="Arial"/>
                <w:sz w:val="18"/>
                <w:szCs w:val="18"/>
                <w:color w:val="auto"/>
              </w:rPr>
              <w:t>Description</w:t>
            </w:r>
          </w:p>
        </w:tc>
        <w:tc>
          <w:tcPr>
            <w:tcW w:w="0" w:type="dxa"/>
            <w:vAlign w:val="bottom"/>
          </w:tcPr>
          <w:p>
            <w:pPr>
              <w:spacing w:after="0"/>
              <w:rPr>
                <w:sz w:val="1"/>
                <w:szCs w:val="1"/>
                <w:color w:val="auto"/>
              </w:rPr>
            </w:pPr>
          </w:p>
        </w:tc>
      </w:tr>
      <w:tr>
        <w:trPr>
          <w:trHeight w:val="243"/>
        </w:trPr>
        <w:tc>
          <w:tcPr>
            <w:tcW w:w="1320" w:type="dxa"/>
            <w:vAlign w:val="bottom"/>
            <w:gridSpan w:val="2"/>
          </w:tcPr>
          <w:p>
            <w:pPr>
              <w:ind w:left="20"/>
              <w:spacing w:after="0"/>
              <w:rPr>
                <w:sz w:val="20"/>
                <w:szCs w:val="20"/>
                <w:color w:val="auto"/>
              </w:rPr>
            </w:pPr>
            <w:r>
              <w:rPr>
                <w:rFonts w:ascii="Arial" w:cs="Arial" w:eastAsia="Arial" w:hAnsi="Arial"/>
                <w:sz w:val="18"/>
                <w:szCs w:val="18"/>
                <w:color w:val="auto"/>
              </w:rPr>
              <w:t>Number</w:t>
            </w: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000" w:type="dxa"/>
            <w:vAlign w:val="bottom"/>
          </w:tcPr>
          <w:p>
            <w:pPr>
              <w:spacing w:after="0"/>
              <w:rPr>
                <w:sz w:val="21"/>
                <w:szCs w:val="21"/>
                <w:color w:val="auto"/>
              </w:rPr>
            </w:pPr>
          </w:p>
        </w:tc>
        <w:tc>
          <w:tcPr>
            <w:tcW w:w="6140" w:type="dxa"/>
            <w:vAlign w:val="bottom"/>
            <w:gridSpan w:val="4"/>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1200" w:type="dxa"/>
            <w:vAlign w:val="bottom"/>
            <w:tcBorders>
              <w:top w:val="single" w:sz="8" w:color="auto"/>
            </w:tcBorders>
          </w:tcPr>
          <w:p>
            <w:pPr>
              <w:ind w:left="20"/>
              <w:spacing w:after="0" w:line="182" w:lineRule="exact"/>
              <w:rPr>
                <w:sz w:val="20"/>
                <w:szCs w:val="20"/>
                <w:color w:val="auto"/>
              </w:rPr>
            </w:pPr>
            <w:r>
              <w:rPr>
                <w:rFonts w:ascii="Arial" w:cs="Arial" w:eastAsia="Arial" w:hAnsi="Arial"/>
                <w:sz w:val="18"/>
                <w:szCs w:val="18"/>
                <w:color w:val="auto"/>
              </w:rPr>
              <w:t>31.1</w:t>
            </w:r>
          </w:p>
        </w:tc>
        <w:tc>
          <w:tcPr>
            <w:tcW w:w="12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9940" w:type="dxa"/>
            <w:vAlign w:val="bottom"/>
            <w:tcBorders>
              <w:top w:val="single" w:sz="8" w:color="auto"/>
            </w:tcBorders>
            <w:gridSpan w:val="6"/>
          </w:tcPr>
          <w:p>
            <w:pPr>
              <w:spacing w:after="0" w:line="182" w:lineRule="exact"/>
              <w:rPr>
                <w:sz w:val="20"/>
                <w:szCs w:val="20"/>
                <w:color w:val="auto"/>
              </w:rPr>
            </w:pPr>
            <w:r>
              <w:rPr>
                <w:rFonts w:ascii="Arial" w:cs="Arial" w:eastAsia="Arial" w:hAnsi="Arial"/>
                <w:sz w:val="18"/>
                <w:szCs w:val="18"/>
                <w:color w:val="0000FF"/>
              </w:rPr>
              <w:t>Certification of Chief Executive Officer pursuant to Rule 13a-14(a)/15d-14(a) of the Securities Exchange Act of 1934, as</w:t>
            </w:r>
          </w:p>
        </w:tc>
        <w:tc>
          <w:tcPr>
            <w:tcW w:w="0" w:type="dxa"/>
            <w:vAlign w:val="bottom"/>
          </w:tcPr>
          <w:p>
            <w:pPr>
              <w:spacing w:after="0"/>
              <w:rPr>
                <w:sz w:val="1"/>
                <w:szCs w:val="1"/>
                <w:color w:val="auto"/>
              </w:rPr>
            </w:pPr>
          </w:p>
        </w:tc>
      </w:tr>
      <w:tr>
        <w:trPr>
          <w:trHeight w:val="155"/>
        </w:trPr>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Borders>
              <w:top w:val="single" w:sz="8" w:color="0000FF"/>
              <w:bottom w:val="single" w:sz="8" w:color="0000FF"/>
            </w:tcBorders>
          </w:tcPr>
          <w:p>
            <w:pPr>
              <w:spacing w:after="0" w:line="156" w:lineRule="exact"/>
              <w:rPr>
                <w:sz w:val="20"/>
                <w:szCs w:val="20"/>
                <w:color w:val="auto"/>
              </w:rPr>
            </w:pPr>
            <w:r>
              <w:rPr>
                <w:rFonts w:ascii="Arial" w:cs="Arial" w:eastAsia="Arial" w:hAnsi="Arial"/>
                <w:sz w:val="18"/>
                <w:szCs w:val="18"/>
                <w:color w:val="0000FF"/>
                <w:w w:val="97"/>
              </w:rPr>
              <w:t>amended.</w:t>
            </w:r>
          </w:p>
        </w:tc>
        <w:tc>
          <w:tcPr>
            <w:tcW w:w="9080" w:type="dxa"/>
            <w:vAlign w:val="bottom"/>
            <w:tcBorders>
              <w:top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200" w:type="dxa"/>
            <w:vAlign w:val="bottom"/>
          </w:tcPr>
          <w:p>
            <w:pPr>
              <w:ind w:left="2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940" w:type="dxa"/>
            <w:vAlign w:val="bottom"/>
            <w:gridSpan w:val="6"/>
          </w:tcPr>
          <w:p>
            <w:pPr>
              <w:spacing w:after="0"/>
              <w:rPr>
                <w:sz w:val="20"/>
                <w:szCs w:val="20"/>
                <w:color w:val="auto"/>
              </w:rPr>
            </w:pPr>
            <w:r>
              <w:rPr>
                <w:rFonts w:ascii="Arial" w:cs="Arial" w:eastAsia="Arial" w:hAnsi="Arial"/>
                <w:sz w:val="18"/>
                <w:szCs w:val="18"/>
                <w:color w:val="0000FF"/>
              </w:rPr>
              <w:t>Certification of Chief Financial Officer pursuant to Rule 13a-14(a)/15d-14(a) of the Securities Exchange Act of 1934, as</w:t>
            </w:r>
          </w:p>
        </w:tc>
        <w:tc>
          <w:tcPr>
            <w:tcW w:w="0" w:type="dxa"/>
            <w:vAlign w:val="bottom"/>
          </w:tcPr>
          <w:p>
            <w:pPr>
              <w:spacing w:after="0"/>
              <w:rPr>
                <w:sz w:val="1"/>
                <w:szCs w:val="1"/>
                <w:color w:val="auto"/>
              </w:rPr>
            </w:pPr>
          </w:p>
        </w:tc>
      </w:tr>
      <w:tr>
        <w:trPr>
          <w:trHeight w:val="156"/>
        </w:trPr>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Borders>
              <w:top w:val="single" w:sz="8" w:color="0000FF"/>
              <w:bottom w:val="single" w:sz="8" w:color="0000FF"/>
            </w:tcBorders>
          </w:tcPr>
          <w:p>
            <w:pPr>
              <w:spacing w:after="0" w:line="156" w:lineRule="exact"/>
              <w:rPr>
                <w:sz w:val="20"/>
                <w:szCs w:val="20"/>
                <w:color w:val="auto"/>
              </w:rPr>
            </w:pPr>
            <w:r>
              <w:rPr>
                <w:rFonts w:ascii="Arial" w:cs="Arial" w:eastAsia="Arial" w:hAnsi="Arial"/>
                <w:sz w:val="18"/>
                <w:szCs w:val="18"/>
                <w:color w:val="0000FF"/>
                <w:w w:val="97"/>
              </w:rPr>
              <w:t>amended.</w:t>
            </w:r>
          </w:p>
        </w:tc>
        <w:tc>
          <w:tcPr>
            <w:tcW w:w="9100" w:type="dxa"/>
            <w:vAlign w:val="bottom"/>
            <w:tcBorders>
              <w:top w:val="single" w:sz="8" w:color="0000FF"/>
            </w:tcBorders>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200" w:type="dxa"/>
            <w:vAlign w:val="bottom"/>
          </w:tcPr>
          <w:p>
            <w:pPr>
              <w:ind w:left="20"/>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940" w:type="dxa"/>
            <w:vAlign w:val="bottom"/>
            <w:gridSpan w:val="6"/>
          </w:tcPr>
          <w:p>
            <w:pPr>
              <w:spacing w:after="0"/>
              <w:rPr>
                <w:sz w:val="20"/>
                <w:szCs w:val="20"/>
                <w:color w:val="auto"/>
              </w:rPr>
            </w:pPr>
            <w:r>
              <w:rPr>
                <w:rFonts w:ascii="Arial" w:cs="Arial" w:eastAsia="Arial" w:hAnsi="Arial"/>
                <w:sz w:val="18"/>
                <w:szCs w:val="18"/>
                <w:color w:val="0000FF"/>
              </w:rPr>
              <w:t>Certifications of Chief Executive Officer and Chief Financial Officer pursuant to 18 U.S.C. 1350, as adopted pursuant to</w:t>
            </w:r>
          </w:p>
        </w:tc>
        <w:tc>
          <w:tcPr>
            <w:tcW w:w="0" w:type="dxa"/>
            <w:vAlign w:val="bottom"/>
          </w:tcPr>
          <w:p>
            <w:pPr>
              <w:spacing w:after="0"/>
              <w:rPr>
                <w:sz w:val="1"/>
                <w:szCs w:val="1"/>
                <w:color w:val="auto"/>
              </w:rPr>
            </w:pPr>
          </w:p>
        </w:tc>
      </w:tr>
      <w:tr>
        <w:trPr>
          <w:trHeight w:val="156"/>
        </w:trPr>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0" w:type="dxa"/>
            <w:vAlign w:val="bottom"/>
            <w:tcBorders>
              <w:top w:val="single" w:sz="8" w:color="0000FF"/>
              <w:bottom w:val="single" w:sz="8" w:color="0000FF"/>
            </w:tcBorders>
            <w:gridSpan w:val="2"/>
          </w:tcPr>
          <w:p>
            <w:pPr>
              <w:spacing w:after="0" w:line="156" w:lineRule="exact"/>
              <w:rPr>
                <w:sz w:val="20"/>
                <w:szCs w:val="20"/>
                <w:color w:val="auto"/>
              </w:rPr>
            </w:pPr>
            <w:r>
              <w:rPr>
                <w:rFonts w:ascii="Arial" w:cs="Arial" w:eastAsia="Arial" w:hAnsi="Arial"/>
                <w:sz w:val="18"/>
                <w:szCs w:val="18"/>
                <w:color w:val="0000FF"/>
                <w:w w:val="99"/>
              </w:rPr>
              <w:t>Section 906 of the Sarbanes-Oxley Act of 2002.</w:t>
            </w:r>
          </w:p>
        </w:tc>
        <w:tc>
          <w:tcPr>
            <w:tcW w:w="6120" w:type="dxa"/>
            <w:vAlign w:val="bottom"/>
            <w:tcBorders>
              <w:top w:val="single" w:sz="8" w:color="0000FF"/>
            </w:tcBorders>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35" w:lineRule="exact"/>
        <w:rPr>
          <w:sz w:val="20"/>
          <w:szCs w:val="20"/>
          <w:color w:val="auto"/>
        </w:rPr>
      </w:pPr>
    </w:p>
    <w:p>
      <w:pPr>
        <w:jc w:val="both"/>
        <w:ind w:left="1340" w:right="20" w:hanging="1314"/>
        <w:spacing w:after="0" w:line="221" w:lineRule="auto"/>
        <w:tabs>
          <w:tab w:leader="none" w:pos="1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following materials from Mondelēz International’s Quarterly Report on Form 10-Q for the quarter ended September 30, 2025 are formatted in iXBRL (Inline eXtensible Business Reporting Language): (i) the Condensed Consolidated Statements of Earnings, (ii) the Condensed Consolidated Statements of Comprehensive Earnings, (iii) the Condensed Consolidated Balance Sheets, (iv) the Condensed Consolidated Statements of Equity, (v) the Condensed Consolidated Statements of Cash Flows, (vi) Notes to Condensed Consolidated Financial Statements and (vii) Part II, Item 5.</w:t>
      </w:r>
    </w:p>
    <w:p>
      <w:pPr>
        <w:spacing w:after="0" w:line="6" w:lineRule="exact"/>
        <w:rPr>
          <w:sz w:val="20"/>
          <w:szCs w:val="20"/>
          <w:color w:val="auto"/>
        </w:rPr>
      </w:pPr>
    </w:p>
    <w:p>
      <w:pPr>
        <w:ind w:left="1340" w:right="20" w:hanging="1314"/>
        <w:spacing w:after="0"/>
        <w:tabs>
          <w:tab w:leader="none" w:pos="1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cover page from Mondelēz International’s Quarterly Report on Form 10-Q for the quarter ended September 30, 2025, formatted in Inline XBRL (included as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6845935</wp:posOffset>
            </wp:positionH>
            <wp:positionV relativeFrom="paragraph">
              <wp:posOffset>734695</wp:posOffset>
            </wp:positionV>
            <wp:extent cx="282575" cy="18859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279400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52"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98" w:lineRule="exact"/>
        <w:rPr>
          <w:sz w:val="20"/>
          <w:szCs w:val="20"/>
          <w:color w:val="auto"/>
        </w:rPr>
      </w:pPr>
    </w:p>
    <w:p>
      <w:pPr>
        <w:ind w:left="680"/>
        <w:spacing w:after="0"/>
        <w:rPr>
          <w:sz w:val="20"/>
          <w:szCs w:val="20"/>
          <w:color w:val="auto"/>
        </w:rPr>
      </w:pPr>
      <w:r>
        <w:rPr>
          <w:rFonts w:ascii="Arial" w:cs="Arial" w:eastAsia="Arial" w:hAnsi="Arial"/>
          <w:sz w:val="18"/>
          <w:szCs w:val="18"/>
          <w:color w:val="auto"/>
        </w:rPr>
        <w:t>MONDELĒZ INTERNATIONAL, INC.</w:t>
      </w:r>
    </w:p>
    <w:p>
      <w:pPr>
        <w:spacing w:after="0" w:line="29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By: /s/ LUCA ZARAMELLA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17780</wp:posOffset>
            </wp:positionV>
            <wp:extent cx="23571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357120" cy="8890"/>
                    </a:xfrm>
                    <a:prstGeom prst="rect">
                      <a:avLst/>
                    </a:prstGeom>
                    <a:noFill/>
                  </pic:spPr>
                </pic:pic>
              </a:graphicData>
            </a:graphic>
          </wp:anchor>
        </w:drawing>
      </w:r>
    </w:p>
    <w:p>
      <w:pPr>
        <w:spacing w:after="0" w:line="1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Luca Zaramella</w:t>
      </w:r>
    </w:p>
    <w:p>
      <w:pPr>
        <w:spacing w:after="0" w:line="32" w:lineRule="exact"/>
        <w:rPr>
          <w:sz w:val="20"/>
          <w:szCs w:val="20"/>
          <w:color w:val="auto"/>
        </w:rPr>
      </w:pPr>
    </w:p>
    <w:p>
      <w:pPr>
        <w:ind w:left="680"/>
        <w:spacing w:after="0"/>
        <w:rPr>
          <w:sz w:val="20"/>
          <w:szCs w:val="20"/>
          <w:color w:val="auto"/>
        </w:rPr>
      </w:pPr>
      <w:r>
        <w:rPr>
          <w:rFonts w:ascii="Arial" w:cs="Arial" w:eastAsia="Arial" w:hAnsi="Arial"/>
          <w:sz w:val="18"/>
          <w:szCs w:val="18"/>
          <w:color w:val="auto"/>
        </w:rPr>
        <w:t>Executive Vice President and</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8"/>
          <w:szCs w:val="18"/>
          <w:color w:val="2C2C2C"/>
        </w:rPr>
        <w:t>(Duly Authorized Officer)</w:t>
      </w:r>
    </w:p>
    <w:p>
      <w:pPr>
        <w:spacing w:after="0" w:line="28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October 28,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6845935</wp:posOffset>
            </wp:positionH>
            <wp:positionV relativeFrom="paragraph">
              <wp:posOffset>257810</wp:posOffset>
            </wp:positionV>
            <wp:extent cx="282575" cy="18859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20"/>
          </w:cols>
          <w:pgMar w:left="320" w:top="364" w:right="35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I, Dirk Van de Put, certify that:</w:t>
      </w:r>
    </w:p>
    <w:p>
      <w:pPr>
        <w:spacing w:after="0" w:line="252" w:lineRule="exact"/>
        <w:rPr>
          <w:sz w:val="20"/>
          <w:szCs w:val="20"/>
          <w:color w:val="auto"/>
        </w:rPr>
      </w:pPr>
    </w:p>
    <w:p>
      <w:pPr>
        <w:ind w:left="320" w:hanging="312"/>
        <w:spacing w:after="0"/>
        <w:tabs>
          <w:tab w:leader="none" w:pos="3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Mondelēz International, Inc.;</w:t>
      </w:r>
    </w:p>
    <w:p>
      <w:pPr>
        <w:spacing w:after="0" w:line="252" w:lineRule="exact"/>
        <w:rPr>
          <w:rFonts w:ascii="Arial" w:cs="Arial" w:eastAsia="Arial" w:hAnsi="Arial"/>
          <w:sz w:val="18"/>
          <w:szCs w:val="18"/>
          <w:color w:val="auto"/>
        </w:rPr>
      </w:pPr>
    </w:p>
    <w:p>
      <w:pPr>
        <w:ind w:left="340" w:right="80" w:hanging="332"/>
        <w:spacing w:after="0" w:line="268" w:lineRule="auto"/>
        <w:tabs>
          <w:tab w:leader="none" w:pos="328"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7" w:lineRule="exact"/>
        <w:rPr>
          <w:rFonts w:ascii="Arial" w:cs="Arial" w:eastAsia="Arial" w:hAnsi="Arial"/>
          <w:sz w:val="18"/>
          <w:szCs w:val="18"/>
          <w:color w:val="auto"/>
        </w:rPr>
      </w:pPr>
    </w:p>
    <w:p>
      <w:pPr>
        <w:ind w:left="340" w:right="160" w:hanging="332"/>
        <w:spacing w:after="0" w:line="318" w:lineRule="auto"/>
        <w:tabs>
          <w:tab w:leader="none" w:pos="328" w:val="left"/>
        </w:tabs>
        <w:numPr>
          <w:ilvl w:val="0"/>
          <w:numId w:val="3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6" w:lineRule="exact"/>
        <w:rPr>
          <w:rFonts w:ascii="Arial" w:cs="Arial" w:eastAsia="Arial" w:hAnsi="Arial"/>
          <w:sz w:val="17"/>
          <w:szCs w:val="17"/>
          <w:color w:val="auto"/>
        </w:rPr>
      </w:pPr>
    </w:p>
    <w:p>
      <w:pPr>
        <w:ind w:left="340" w:right="260" w:hanging="332"/>
        <w:spacing w:after="0" w:line="268" w:lineRule="auto"/>
        <w:tabs>
          <w:tab w:leader="none" w:pos="328"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7" w:lineRule="exact"/>
        <w:rPr>
          <w:rFonts w:ascii="Arial" w:cs="Arial" w:eastAsia="Arial" w:hAnsi="Arial"/>
          <w:sz w:val="18"/>
          <w:szCs w:val="18"/>
          <w:color w:val="auto"/>
        </w:rPr>
      </w:pPr>
    </w:p>
    <w:p>
      <w:pPr>
        <w:ind w:left="1300" w:right="20" w:hanging="320"/>
        <w:spacing w:after="0" w:line="268" w:lineRule="auto"/>
        <w:tabs>
          <w:tab w:leader="none" w:pos="129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left="1300" w:right="540" w:hanging="320"/>
        <w:spacing w:after="0" w:line="291" w:lineRule="auto"/>
        <w:tabs>
          <w:tab w:leader="none" w:pos="1290" w:val="left"/>
        </w:tabs>
        <w:numPr>
          <w:ilvl w:val="1"/>
          <w:numId w:val="30"/>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4" w:lineRule="exact"/>
        <w:rPr>
          <w:rFonts w:ascii="Arial" w:cs="Arial" w:eastAsia="Arial" w:hAnsi="Arial"/>
          <w:sz w:val="17"/>
          <w:szCs w:val="17"/>
          <w:color w:val="auto"/>
        </w:rPr>
      </w:pPr>
    </w:p>
    <w:p>
      <w:pPr>
        <w:ind w:left="1300" w:right="300" w:hanging="320"/>
        <w:spacing w:after="0" w:line="268" w:lineRule="auto"/>
        <w:tabs>
          <w:tab w:leader="none" w:pos="1294" w:val="left"/>
        </w:tabs>
        <w:numPr>
          <w:ilvl w:val="1"/>
          <w:numId w:val="3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left="1300" w:right="60" w:hanging="320"/>
        <w:spacing w:after="0" w:line="268" w:lineRule="auto"/>
        <w:tabs>
          <w:tab w:leader="none" w:pos="129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7" w:lineRule="exact"/>
        <w:rPr>
          <w:rFonts w:ascii="Arial" w:cs="Arial" w:eastAsia="Arial" w:hAnsi="Arial"/>
          <w:sz w:val="18"/>
          <w:szCs w:val="18"/>
          <w:color w:val="auto"/>
        </w:rPr>
      </w:pPr>
    </w:p>
    <w:p>
      <w:pPr>
        <w:ind w:left="340" w:right="140" w:hanging="332"/>
        <w:spacing w:after="0" w:line="268" w:lineRule="auto"/>
        <w:tabs>
          <w:tab w:leader="none" w:pos="328"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7" w:lineRule="exact"/>
        <w:rPr>
          <w:rFonts w:ascii="Arial" w:cs="Arial" w:eastAsia="Arial" w:hAnsi="Arial"/>
          <w:sz w:val="18"/>
          <w:szCs w:val="18"/>
          <w:color w:val="auto"/>
        </w:rPr>
      </w:pPr>
    </w:p>
    <w:p>
      <w:pPr>
        <w:jc w:val="both"/>
        <w:ind w:left="1300" w:right="440" w:hanging="320"/>
        <w:spacing w:after="0" w:line="268" w:lineRule="auto"/>
        <w:tabs>
          <w:tab w:leader="none" w:pos="129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300" w:right="780" w:hanging="320"/>
        <w:spacing w:after="0" w:line="287" w:lineRule="auto"/>
        <w:tabs>
          <w:tab w:leader="none" w:pos="129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Date: October 28, 2025</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/s/ DIRK VAN DE PUT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4051300</wp:posOffset>
            </wp:positionH>
            <wp:positionV relativeFrom="paragraph">
              <wp:posOffset>17780</wp:posOffset>
            </wp:positionV>
            <wp:extent cx="30861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086100" cy="8890"/>
                    </a:xfrm>
                    <a:prstGeom prst="rect">
                      <a:avLst/>
                    </a:prstGeom>
                    <a:noFill/>
                  </pic:spPr>
                </pic:pic>
              </a:graphicData>
            </a:graphic>
          </wp:anchor>
        </w:drawing>
      </w:r>
    </w:p>
    <w:p>
      <w:pPr>
        <w:spacing w:after="0" w:line="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Dirk Van de Put</w:t>
      </w:r>
    </w:p>
    <w:p>
      <w:pPr>
        <w:ind w:left="6400"/>
        <w:spacing w:after="0"/>
        <w:rPr>
          <w:sz w:val="20"/>
          <w:szCs w:val="20"/>
          <w:color w:val="auto"/>
        </w:rPr>
      </w:pPr>
      <w:r>
        <w:rPr>
          <w:rFonts w:ascii="Arial" w:cs="Arial" w:eastAsia="Arial" w:hAnsi="Arial"/>
          <w:sz w:val="18"/>
          <w:szCs w:val="18"/>
          <w:color w:val="auto"/>
        </w:rPr>
        <w:t>Chairman and Chief Executive Officer</w:t>
      </w:r>
    </w:p>
    <w:p>
      <w:pPr>
        <w:sectPr>
          <w:pgSz w:w="11900" w:h="16838" w:orient="portrait"/>
          <w:cols w:equalWidth="0" w:num="1">
            <w:col w:w="11240"/>
          </w:cols>
          <w:pgMar w:left="320" w:top="890" w:right="3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I, Luca Zaramella, certify that:</w:t>
      </w:r>
    </w:p>
    <w:p>
      <w:pPr>
        <w:spacing w:after="0" w:line="252" w:lineRule="exact"/>
        <w:rPr>
          <w:sz w:val="20"/>
          <w:szCs w:val="20"/>
          <w:color w:val="auto"/>
        </w:rPr>
      </w:pPr>
    </w:p>
    <w:p>
      <w:pPr>
        <w:ind w:left="320" w:hanging="312"/>
        <w:spacing w:after="0"/>
        <w:tabs>
          <w:tab w:leader="none" w:pos="3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Mondelēz International, Inc.;</w:t>
      </w:r>
    </w:p>
    <w:p>
      <w:pPr>
        <w:spacing w:after="0" w:line="252" w:lineRule="exact"/>
        <w:rPr>
          <w:rFonts w:ascii="Arial" w:cs="Arial" w:eastAsia="Arial" w:hAnsi="Arial"/>
          <w:sz w:val="18"/>
          <w:szCs w:val="18"/>
          <w:color w:val="auto"/>
        </w:rPr>
      </w:pPr>
    </w:p>
    <w:p>
      <w:pPr>
        <w:ind w:left="340" w:right="80" w:hanging="332"/>
        <w:spacing w:after="0" w:line="268" w:lineRule="auto"/>
        <w:tabs>
          <w:tab w:leader="none" w:pos="328"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7" w:lineRule="exact"/>
        <w:rPr>
          <w:rFonts w:ascii="Arial" w:cs="Arial" w:eastAsia="Arial" w:hAnsi="Arial"/>
          <w:sz w:val="18"/>
          <w:szCs w:val="18"/>
          <w:color w:val="auto"/>
        </w:rPr>
      </w:pPr>
    </w:p>
    <w:p>
      <w:pPr>
        <w:ind w:left="340" w:right="160" w:hanging="332"/>
        <w:spacing w:after="0" w:line="318" w:lineRule="auto"/>
        <w:tabs>
          <w:tab w:leader="none" w:pos="328" w:val="left"/>
        </w:tabs>
        <w:numPr>
          <w:ilvl w:val="0"/>
          <w:numId w:val="3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6" w:lineRule="exact"/>
        <w:rPr>
          <w:rFonts w:ascii="Arial" w:cs="Arial" w:eastAsia="Arial" w:hAnsi="Arial"/>
          <w:sz w:val="17"/>
          <w:szCs w:val="17"/>
          <w:color w:val="auto"/>
        </w:rPr>
      </w:pPr>
    </w:p>
    <w:p>
      <w:pPr>
        <w:ind w:left="340" w:right="260" w:hanging="332"/>
        <w:spacing w:after="0" w:line="268" w:lineRule="auto"/>
        <w:tabs>
          <w:tab w:leader="none" w:pos="328"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3" w:lineRule="exact"/>
        <w:rPr>
          <w:rFonts w:ascii="Arial" w:cs="Arial" w:eastAsia="Arial" w:hAnsi="Arial"/>
          <w:sz w:val="18"/>
          <w:szCs w:val="18"/>
          <w:color w:val="auto"/>
        </w:rPr>
      </w:pPr>
    </w:p>
    <w:p>
      <w:pPr>
        <w:ind w:left="1300" w:right="20" w:hanging="320"/>
        <w:spacing w:after="0" w:line="268" w:lineRule="auto"/>
        <w:tabs>
          <w:tab w:leader="none" w:pos="129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left="1300" w:right="540" w:hanging="320"/>
        <w:spacing w:after="0" w:line="291" w:lineRule="auto"/>
        <w:tabs>
          <w:tab w:leader="none" w:pos="1290" w:val="left"/>
        </w:tabs>
        <w:numPr>
          <w:ilvl w:val="1"/>
          <w:numId w:val="31"/>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4" w:lineRule="exact"/>
        <w:rPr>
          <w:rFonts w:ascii="Arial" w:cs="Arial" w:eastAsia="Arial" w:hAnsi="Arial"/>
          <w:sz w:val="17"/>
          <w:szCs w:val="17"/>
          <w:color w:val="auto"/>
        </w:rPr>
      </w:pPr>
    </w:p>
    <w:p>
      <w:pPr>
        <w:ind w:left="1300" w:right="300" w:hanging="320"/>
        <w:spacing w:after="0" w:line="268" w:lineRule="auto"/>
        <w:tabs>
          <w:tab w:leader="none" w:pos="1294" w:val="left"/>
        </w:tabs>
        <w:numPr>
          <w:ilvl w:val="1"/>
          <w:numId w:val="3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left="1300" w:right="60" w:hanging="320"/>
        <w:spacing w:after="0" w:line="268" w:lineRule="auto"/>
        <w:tabs>
          <w:tab w:leader="none" w:pos="129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05" w:lineRule="exact"/>
        <w:rPr>
          <w:rFonts w:ascii="Arial" w:cs="Arial" w:eastAsia="Arial" w:hAnsi="Arial"/>
          <w:sz w:val="18"/>
          <w:szCs w:val="18"/>
          <w:color w:val="auto"/>
        </w:rPr>
      </w:pPr>
    </w:p>
    <w:p>
      <w:pPr>
        <w:ind w:left="340" w:right="140" w:hanging="332"/>
        <w:spacing w:after="0" w:line="268" w:lineRule="auto"/>
        <w:tabs>
          <w:tab w:leader="none" w:pos="328"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7" w:lineRule="exact"/>
        <w:rPr>
          <w:rFonts w:ascii="Arial" w:cs="Arial" w:eastAsia="Arial" w:hAnsi="Arial"/>
          <w:sz w:val="18"/>
          <w:szCs w:val="18"/>
          <w:color w:val="auto"/>
        </w:rPr>
      </w:pPr>
    </w:p>
    <w:p>
      <w:pPr>
        <w:jc w:val="both"/>
        <w:ind w:left="1300" w:right="440" w:hanging="320"/>
        <w:spacing w:after="0" w:line="268" w:lineRule="auto"/>
        <w:tabs>
          <w:tab w:leader="none" w:pos="129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300" w:right="780" w:hanging="320"/>
        <w:spacing w:after="0" w:line="287" w:lineRule="auto"/>
        <w:tabs>
          <w:tab w:leader="none" w:pos="129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Date: October 28, 2025</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/s/ LUCA ZARAMELLA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4051300</wp:posOffset>
            </wp:positionH>
            <wp:positionV relativeFrom="paragraph">
              <wp:posOffset>17780</wp:posOffset>
            </wp:positionV>
            <wp:extent cx="308610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086100" cy="8255"/>
                    </a:xfrm>
                    <a:prstGeom prst="rect">
                      <a:avLst/>
                    </a:prstGeom>
                    <a:noFill/>
                  </pic:spPr>
                </pic:pic>
              </a:graphicData>
            </a:graphic>
          </wp:anchor>
        </w:drawing>
      </w:r>
    </w:p>
    <w:p>
      <w:pPr>
        <w:spacing w:after="0" w:line="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Luca Zaramella</w:t>
      </w:r>
    </w:p>
    <w:p>
      <w:pPr>
        <w:ind w:left="6400"/>
        <w:spacing w:after="0" w:line="203" w:lineRule="auto"/>
        <w:rPr>
          <w:sz w:val="20"/>
          <w:szCs w:val="20"/>
          <w:color w:val="auto"/>
        </w:rPr>
      </w:pPr>
      <w:r>
        <w:rPr>
          <w:rFonts w:ascii="Arial" w:cs="Arial" w:eastAsia="Arial" w:hAnsi="Arial"/>
          <w:sz w:val="18"/>
          <w:szCs w:val="18"/>
          <w:color w:val="auto"/>
        </w:rPr>
        <w:t>Executive Vice President and</w:t>
      </w:r>
    </w:p>
    <w:p>
      <w:pPr>
        <w:ind w:left="640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890" w:right="3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 AND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 Dirk Van de Put, Chairman and Chief Executive Officer of Mondelēz International, Inc. (“Mondelēz International”), certify, pursuant to 18 U.S.C. Section 1350, as adopted pursuant to Section 906 of the Sarbanes-Oxley Act of 2002, that Mondelēz International’s Quarterly Report on Form 10-Q for the quarter ended September 30, 2025 (the "Report"), fully complies with the requirements of Section 13(a) or 15(d) of the Securities Exchange Act of 1934 and that the information contained in the Report fairly presents, in all material respects, Mondelēz International’s financial condition and results of operations.</w:t>
      </w:r>
    </w:p>
    <w:p>
      <w:pPr>
        <w:spacing w:after="0" w:line="26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DIRK VAN DE PUT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337756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37756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Dirk Van de Put</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Chairman and Chief Executive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October 28, 2025</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I, Luca Zaramella, Executive Vice President and Chief Financial Officer of Mondelēz International, Inc. (“Mondelēz International”), certify, pursuant to 18 U.S.C. Section 1350, as adopted pursuant to Section 906 of the Sarbanes-Oxley Act of 2002, that Mondelēz International’s Quarterly Report on Form 10-Q for the quarter ended September 30, 2025 (the "Report"), fully complies with the requirements of</w:t>
      </w:r>
    </w:p>
    <w:p>
      <w:pPr>
        <w:spacing w:after="0" w:line="1" w:lineRule="exact"/>
        <w:rPr>
          <w:sz w:val="20"/>
          <w:szCs w:val="20"/>
          <w:color w:val="auto"/>
        </w:rPr>
      </w:pPr>
    </w:p>
    <w:p>
      <w:pPr>
        <w:ind w:right="160"/>
        <w:spacing w:after="0" w:line="266" w:lineRule="auto"/>
        <w:rPr>
          <w:sz w:val="20"/>
          <w:szCs w:val="20"/>
          <w:color w:val="auto"/>
        </w:rPr>
      </w:pPr>
      <w:r>
        <w:rPr>
          <w:rFonts w:ascii="Arial" w:cs="Arial" w:eastAsia="Arial" w:hAnsi="Arial"/>
          <w:sz w:val="18"/>
          <w:szCs w:val="18"/>
          <w:color w:val="auto"/>
        </w:rPr>
        <w:t>Section 13(a) or 15(d) of the Securities Exchange Act of 1934 and that the information contained in the Report fairly presents, in all material respects, Mondelēz International’s financial condition and results of operations.</w:t>
      </w:r>
    </w:p>
    <w:p>
      <w:pPr>
        <w:spacing w:after="0" w:line="23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LUCA ZARAMELLA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337756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377565"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Luca Zaramella</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Executive Vice President and</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October 28, 2025</w:t>
      </w:r>
    </w:p>
    <w:p>
      <w:pPr>
        <w:spacing w:after="0" w:line="326"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i w:val="1"/>
          <w:iCs w:val="1"/>
          <w:color w:val="auto"/>
        </w:rPr>
        <w:t>A signed original of these written statements required by Section 906, or other document authenticating, acknowledging, or otherwise adopting the signature that appears in typed form within the electronic version of this written statement required by Section 906, has been provided to Mondelēz International, Inc. and will be retained by Mondelēz International, Inc. and furnished to the Securities and Exchange Commission or its staff upon request.</w:t>
      </w:r>
    </w:p>
    <w:sectPr>
      <w:pgSz w:w="11900" w:h="16838" w:orient="portrait"/>
      <w:cols w:equalWidth="0" w:num="1">
        <w:col w:w="11240"/>
      </w:cols>
      <w:pgMar w:left="320" w:top="89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1)"/>
      <w:numFmt w:val="decimal"/>
      <w:start w:val="1"/>
    </w:lvl>
  </w:abstractNum>
  <w:abstractNum w:abstractNumId="3">
    <w:nsid w:val="519B500D"/>
    <w:multiLevelType w:val="hybridMultilevel"/>
    <w:lvl w:ilvl="0">
      <w:lvlJc w:val="left"/>
      <w:lvlText w:val="(%1)"/>
      <w:numFmt w:val="decimal"/>
      <w:start w:val="1"/>
    </w:lvl>
  </w:abstractNum>
  <w:abstractNum w:abstractNumId="4">
    <w:nsid w:val="431BD7B7"/>
    <w:multiLevelType w:val="hybridMultilevel"/>
    <w:lvl w:ilvl="0">
      <w:lvlJc w:val="left"/>
      <w:lvlText w:val="(%1)"/>
      <w:numFmt w:val="decimal"/>
      <w:start w:val="1"/>
    </w:lvl>
  </w:abstractNum>
  <w:abstractNum w:abstractNumId="5">
    <w:nsid w:val="3F2DBA31"/>
    <w:multiLevelType w:val="hybridMultilevel"/>
    <w:lvl w:ilvl="0">
      <w:lvlJc w:val="left"/>
      <w:lvlText w:val="(%1)"/>
      <w:numFmt w:val="decimal"/>
      <w:start w:val="1"/>
    </w:lvl>
  </w:abstractNum>
  <w:abstractNum w:abstractNumId="6">
    <w:nsid w:val="7C83E458"/>
    <w:multiLevelType w:val="hybridMultilevel"/>
    <w:lvl w:ilvl="0">
      <w:lvlJc w:val="left"/>
      <w:lvlText w:val="(%1)"/>
      <w:numFmt w:val="decimal"/>
      <w:start w:val="3"/>
    </w:lvl>
  </w:abstractNum>
  <w:abstractNum w:abstractNumId="7">
    <w:nsid w:val="257130A3"/>
    <w:multiLevelType w:val="hybridMultilevel"/>
    <w:lvl w:ilvl="0">
      <w:lvlJc w:val="left"/>
      <w:lvlText w:val="(%1)"/>
      <w:numFmt w:val="decimal"/>
      <w:start w:val="1"/>
    </w:lvl>
  </w:abstractNum>
  <w:abstractNum w:abstractNumId="8">
    <w:nsid w:val="62BBD95A"/>
    <w:multiLevelType w:val="hybridMultilevel"/>
    <w:lvl w:ilvl="0">
      <w:lvlJc w:val="left"/>
      <w:lvlText w:val="(%1)"/>
      <w:numFmt w:val="decimal"/>
      <w:start w:val="1"/>
    </w:lvl>
  </w:abstractNum>
  <w:abstractNum w:abstractNumId="9">
    <w:nsid w:val="436C6125"/>
    <w:multiLevelType w:val="hybridMultilevel"/>
    <w:lvl w:ilvl="0">
      <w:lvlJc w:val="left"/>
      <w:lvlText w:val="(%1)"/>
      <w:numFmt w:val="decimal"/>
      <w:start w:val="1"/>
    </w:lvl>
  </w:abstractNum>
  <w:abstractNum w:abstractNumId="10">
    <w:nsid w:val="628C895D"/>
    <w:multiLevelType w:val="hybridMultilevel"/>
    <w:lvl w:ilvl="0">
      <w:lvlJc w:val="left"/>
      <w:lvlText w:val="&amp;"/>
      <w:numFmt w:val="bullet"/>
      <w:start w:val="1"/>
    </w:lvl>
  </w:abstractNum>
  <w:abstractNum w:abstractNumId="11">
    <w:nsid w:val="333AB105"/>
    <w:multiLevelType w:val="hybridMultilevel"/>
    <w:lvl w:ilvl="0">
      <w:lvlJc w:val="left"/>
      <w:lvlText w:val="•"/>
      <w:numFmt w:val="bullet"/>
      <w:start w:val="1"/>
    </w:lvl>
  </w:abstractNum>
  <w:abstractNum w:abstractNumId="12">
    <w:nsid w:val="721DA317"/>
    <w:multiLevelType w:val="hybridMultilevel"/>
    <w:lvl w:ilvl="0">
      <w:lvlJc w:val="left"/>
      <w:lvlText w:val="(%1)"/>
      <w:numFmt w:val="decimal"/>
      <w:start w:val="2"/>
    </w:lvl>
  </w:abstractNum>
  <w:abstractNum w:abstractNumId="13">
    <w:nsid w:val="2443A858"/>
    <w:multiLevelType w:val="hybridMultilevel"/>
    <w:lvl w:ilvl="0">
      <w:lvlJc w:val="left"/>
      <w:lvlText w:val="•"/>
      <w:numFmt w:val="bullet"/>
      <w:start w:val="1"/>
    </w:lvl>
  </w:abstractNum>
  <w:abstractNum w:abstractNumId="14">
    <w:nsid w:val="2D1D5AE9"/>
    <w:multiLevelType w:val="hybridMultilevel"/>
    <w:lvl w:ilvl="0">
      <w:lvlJc w:val="left"/>
      <w:lvlText w:val="•"/>
      <w:numFmt w:val="bullet"/>
      <w:start w:val="1"/>
    </w:lvl>
  </w:abstractNum>
  <w:abstractNum w:abstractNumId="15">
    <w:nsid w:val="6763845E"/>
    <w:multiLevelType w:val="hybridMultilevel"/>
    <w:lvl w:ilvl="0">
      <w:lvlJc w:val="left"/>
      <w:lvlText w:val="•"/>
      <w:numFmt w:val="bullet"/>
      <w:start w:val="1"/>
    </w:lvl>
    <w:lvl w:ilvl="1">
      <w:lvlJc w:val="left"/>
      <w:lvlText w:val="•"/>
      <w:numFmt w:val="bullet"/>
      <w:start w:val="1"/>
    </w:lvl>
  </w:abstractNum>
  <w:abstractNum w:abstractNumId="16">
    <w:nsid w:val="75A2A8D4"/>
    <w:multiLevelType w:val="hybridMultilevel"/>
    <w:lvl w:ilvl="0">
      <w:lvlJc w:val="left"/>
      <w:lvlText w:val="•"/>
      <w:numFmt w:val="bullet"/>
      <w:start w:val="1"/>
    </w:lvl>
    <w:lvl w:ilvl="1">
      <w:lvlJc w:val="left"/>
      <w:lvlText w:val="\endash "/>
      <w:numFmt w:val="bullet"/>
      <w:start w:val="1"/>
    </w:lvl>
  </w:abstractNum>
  <w:abstractNum w:abstractNumId="17">
    <w:nsid w:val="8EDBDAB"/>
    <w:multiLevelType w:val="hybridMultilevel"/>
    <w:lvl w:ilvl="0">
      <w:lvlJc w:val="left"/>
      <w:lvlText w:val="(%1)"/>
      <w:numFmt w:val="decimal"/>
      <w:start w:val="1"/>
    </w:lvl>
  </w:abstractNum>
  <w:abstractNum w:abstractNumId="18">
    <w:nsid w:val="79838CB2"/>
    <w:multiLevelType w:val="hybridMultilevel"/>
    <w:lvl w:ilvl="0">
      <w:lvlJc w:val="left"/>
      <w:lvlText w:val="(%1)."/>
      <w:numFmt w:val="decimal"/>
      <w:start w:val="1"/>
    </w:lvl>
  </w:abstractNum>
  <w:abstractNum w:abstractNumId="19">
    <w:nsid w:val="4353D0CD"/>
    <w:multiLevelType w:val="hybridMultilevel"/>
    <w:lvl w:ilvl="0">
      <w:lvlJc w:val="left"/>
      <w:lvlText w:val="(%1)"/>
      <w:numFmt w:val="decimal"/>
      <w:start w:val="1"/>
    </w:lvl>
    <w:lvl w:ilvl="1">
      <w:lvlJc w:val="left"/>
      <w:lvlText w:val="•"/>
      <w:numFmt w:val="bullet"/>
      <w:start w:val="1"/>
    </w:lvl>
  </w:abstractNum>
  <w:abstractNum w:abstractNumId="20">
    <w:nsid w:val="B03E0C6"/>
    <w:multiLevelType w:val="hybridMultilevel"/>
    <w:lvl w:ilvl="0">
      <w:lvlJc w:val="left"/>
      <w:lvlText w:val="(%1)"/>
      <w:numFmt w:val="decimal"/>
      <w:start w:val="1"/>
    </w:lvl>
  </w:abstractNum>
  <w:abstractNum w:abstractNumId="21">
    <w:nsid w:val="189A769B"/>
    <w:multiLevelType w:val="hybridMultilevel"/>
    <w:lvl w:ilvl="0">
      <w:lvlJc w:val="left"/>
      <w:lvlText w:val="(%1)."/>
      <w:numFmt w:val="decimal"/>
      <w:start w:val="1"/>
    </w:lvl>
  </w:abstractNum>
  <w:abstractNum w:abstractNumId="22">
    <w:nsid w:val="54E49EB4"/>
    <w:multiLevelType w:val="hybridMultilevel"/>
    <w:lvl w:ilvl="0">
      <w:lvlJc w:val="left"/>
      <w:lvlText w:val="(%1)"/>
      <w:numFmt w:val="decimal"/>
      <w:start w:val="1"/>
    </w:lvl>
    <w:lvl w:ilvl="1">
      <w:lvlJc w:val="left"/>
      <w:lvlText w:val="•"/>
      <w:numFmt w:val="bullet"/>
      <w:start w:val="1"/>
    </w:lvl>
  </w:abstractNum>
  <w:abstractNum w:abstractNumId="23">
    <w:nsid w:val="71F32454"/>
    <w:multiLevelType w:val="hybridMultilevel"/>
    <w:lvl w:ilvl="0">
      <w:lvlJc w:val="left"/>
      <w:lvlText w:val="•"/>
      <w:numFmt w:val="bullet"/>
      <w:start w:val="1"/>
    </w:lvl>
  </w:abstractNum>
  <w:abstractNum w:abstractNumId="24">
    <w:nsid w:val="2CA88611"/>
    <w:multiLevelType w:val="hybridMultilevel"/>
    <w:lvl w:ilvl="0">
      <w:lvlJc w:val="left"/>
      <w:lvlText w:val="(%1)"/>
      <w:numFmt w:val="decimal"/>
      <w:start w:val="930"/>
    </w:lvl>
  </w:abstractNum>
  <w:abstractNum w:abstractNumId="25">
    <w:nsid w:val="836C40E"/>
    <w:multiLevelType w:val="hybridMultilevel"/>
    <w:lvl w:ilvl="0">
      <w:lvlJc w:val="left"/>
      <w:lvlText w:val="•"/>
      <w:numFmt w:val="bullet"/>
      <w:start w:val="1"/>
    </w:lvl>
  </w:abstractNum>
  <w:abstractNum w:abstractNumId="26">
    <w:nsid w:val="2901D82"/>
    <w:multiLevelType w:val="hybridMultilevel"/>
    <w:lvl w:ilvl="0">
      <w:lvlJc w:val="left"/>
      <w:lvlText w:val="(%1)"/>
      <w:numFmt w:val="decimal"/>
      <w:start w:val="1"/>
    </w:lvl>
  </w:abstractNum>
  <w:abstractNum w:abstractNumId="27">
    <w:nsid w:val="3A95F874"/>
    <w:multiLevelType w:val="hybridMultilevel"/>
    <w:lvl w:ilvl="0">
      <w:lvlJc w:val="left"/>
      <w:lvlText w:val="%1"/>
      <w:numFmt w:val="decimal"/>
      <w:start w:val="101"/>
    </w:lvl>
  </w:abstractNum>
  <w:abstractNum w:abstractNumId="28">
    <w:nsid w:val="8138641"/>
    <w:multiLevelType w:val="hybridMultilevel"/>
    <w:lvl w:ilvl="0">
      <w:lvlJc w:val="left"/>
      <w:lvlText w:val="%1"/>
      <w:numFmt w:val="decimal"/>
      <w:start w:val="104"/>
    </w:lvl>
  </w:abstractNum>
  <w:abstractNum w:abstractNumId="29">
    <w:nsid w:val="1E7FF521"/>
    <w:multiLevelType w:val="hybridMultilevel"/>
    <w:lvl w:ilvl="0">
      <w:lvlJc w:val="left"/>
      <w:lvlText w:val="%1."/>
      <w:numFmt w:val="decimal"/>
      <w:start w:val="1"/>
    </w:lvl>
    <w:lvl w:ilvl="1">
      <w:lvlJc w:val="left"/>
      <w:lvlText w:val="(%2)"/>
      <w:numFmt w:val="lowerLetter"/>
      <w:start w:val="1"/>
    </w:lvl>
  </w:abstractNum>
  <w:abstractNum w:abstractNumId="30">
    <w:nsid w:val="7C3DBD3D"/>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2025-10-28T15:36:06Z</dcterms:created>
  <dcterms:modified xsi:type="dcterms:W3CDTF">2025-10-28T15:36:06Z</dcterms:modified>
</cp:coreProperties>
</file>