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346075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294640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9" w:lineRule="exact"/>
        <w:rPr>
          <w:sz w:val="24"/>
          <w:szCs w:val="24"/>
          <w:color w:val="auto"/>
        </w:rPr>
      </w:pPr>
    </w:p>
    <w:p>
      <w:pPr>
        <w:ind w:left="1560" w:right="1280" w:hanging="600"/>
        <w:spacing w:after="0" w:line="254"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0" w:lineRule="exact"/>
        <w:rPr>
          <w:sz w:val="24"/>
          <w:szCs w:val="24"/>
          <w:color w:val="auto"/>
        </w:rPr>
      </w:pPr>
    </w:p>
    <w:p>
      <w:pPr>
        <w:ind w:left="1560" w:right="1280" w:hanging="594"/>
        <w:spacing w:after="0" w:line="217"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4560" w:type="dxa"/>
            <w:vAlign w:val="bottom"/>
          </w:tcPr>
          <w:p>
            <w:pPr>
              <w:jc w:val="center"/>
              <w:ind w:right="1699"/>
              <w:spacing w:after="0"/>
              <w:rPr>
                <w:sz w:val="20"/>
                <w:szCs w:val="20"/>
                <w:color w:val="auto"/>
              </w:rPr>
            </w:pPr>
            <w:r>
              <w:rPr>
                <w:rFonts w:ascii="Arial" w:cs="Arial" w:eastAsia="Arial" w:hAnsi="Arial"/>
                <w:sz w:val="16"/>
                <w:szCs w:val="16"/>
                <w:b w:val="1"/>
                <w:bCs w:val="1"/>
                <w:color w:val="auto"/>
                <w:w w:val="98"/>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67"/>
        </w:trPr>
        <w:tc>
          <w:tcPr>
            <w:tcW w:w="4560" w:type="dxa"/>
            <w:vAlign w:val="bottom"/>
          </w:tcPr>
          <w:p>
            <w:pPr>
              <w:jc w:val="center"/>
              <w:ind w:right="1699"/>
              <w:spacing w:after="0" w:line="167" w:lineRule="exact"/>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line="167" w:lineRule="exact"/>
              <w:rPr>
                <w:sz w:val="20"/>
                <w:szCs w:val="20"/>
                <w:color w:val="auto"/>
              </w:rPr>
            </w:pPr>
            <w:r>
              <w:rPr>
                <w:rFonts w:ascii="Arial" w:cs="Arial" w:eastAsia="Arial" w:hAnsi="Arial"/>
                <w:sz w:val="16"/>
                <w:szCs w:val="16"/>
                <w:color w:val="auto"/>
              </w:rPr>
              <w:t>(I.R.S. Employer</w:t>
            </w:r>
          </w:p>
        </w:tc>
      </w:tr>
      <w:tr>
        <w:trPr>
          <w:trHeight w:val="219"/>
        </w:trPr>
        <w:tc>
          <w:tcPr>
            <w:tcW w:w="4560" w:type="dxa"/>
            <w:vAlign w:val="bottom"/>
          </w:tcPr>
          <w:p>
            <w:pPr>
              <w:jc w:val="center"/>
              <w:ind w:right="169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61"/>
        </w:trPr>
        <w:tc>
          <w:tcPr>
            <w:tcW w:w="4560" w:type="dxa"/>
            <w:vAlign w:val="bottom"/>
          </w:tcPr>
          <w:p>
            <w:pPr>
              <w:jc w:val="center"/>
              <w:ind w:right="169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2"/>
                <w:szCs w:val="22"/>
                <w:color w:val="auto"/>
              </w:rPr>
            </w:pPr>
          </w:p>
        </w:tc>
      </w:tr>
      <w:tr>
        <w:trPr>
          <w:trHeight w:val="218"/>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9"/>
        </w:trPr>
        <w:tc>
          <w:tcPr>
            <w:tcW w:w="4560" w:type="dxa"/>
            <w:vAlign w:val="bottom"/>
          </w:tcPr>
          <w:p>
            <w:pPr>
              <w:jc w:val="center"/>
              <w:ind w:right="169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(Zip Code)</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46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Tile of each class</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Symbol(s)</w:t>
            </w:r>
          </w:p>
        </w:tc>
        <w:tc>
          <w:tcPr>
            <w:tcW w:w="4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A Common Stock, no par value</w:t>
            </w:r>
          </w:p>
        </w:tc>
        <w:tc>
          <w:tcPr>
            <w:tcW w:w="100" w:type="dxa"/>
            <w:vAlign w:val="bottom"/>
          </w:tcPr>
          <w:p>
            <w:pPr>
              <w:spacing w:after="0"/>
              <w:rPr>
                <w:sz w:val="17"/>
                <w:szCs w:val="17"/>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MDLZ</w:t>
            </w:r>
          </w:p>
        </w:tc>
        <w:tc>
          <w:tcPr>
            <w:tcW w:w="100" w:type="dxa"/>
            <w:vAlign w:val="bottom"/>
          </w:tcPr>
          <w:p>
            <w:pPr>
              <w:spacing w:after="0"/>
              <w:rPr>
                <w:sz w:val="17"/>
                <w:szCs w:val="17"/>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2021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1.000% Notes due 2022</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MDLZ22</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4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4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8" w:lineRule="exact"/>
        <w:rPr>
          <w:sz w:val="20"/>
          <w:szCs w:val="20"/>
          <w:color w:val="auto"/>
        </w:rPr>
      </w:pPr>
    </w:p>
    <w:p>
      <w:pPr>
        <w:ind w:right="1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 October 30, 2020, there were 1,430,162,763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92075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 -</w:t>
            </w:r>
          </w:p>
        </w:tc>
        <w:tc>
          <w:tcPr>
            <w:tcW w:w="900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21"/>
        </w:trPr>
        <w:tc>
          <w:tcPr>
            <w:tcW w:w="1000" w:type="dxa"/>
            <w:vAlign w:val="bottom"/>
            <w:vMerge w:val="continue"/>
          </w:tcPr>
          <w:p>
            <w:pPr>
              <w:spacing w:after="0"/>
              <w:rPr>
                <w:sz w:val="19"/>
                <w:szCs w:val="19"/>
                <w:color w:val="auto"/>
              </w:rPr>
            </w:pPr>
          </w:p>
        </w:tc>
        <w:tc>
          <w:tcPr>
            <w:tcW w:w="9000" w:type="dxa"/>
            <w:vAlign w:val="bottom"/>
            <w:gridSpan w:val="3"/>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3"/>
          </w:tcPr>
          <w:p>
            <w:pPr>
              <w:ind w:left="240"/>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Earnings</w:t>
              </w:r>
            </w:hyperlink>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2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for the Three and Nine Months Ended September 30, 2020 and 2019</w:t>
              </w:r>
            </w:hyperlink>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Earnings</w:t>
              </w:r>
            </w:hyperlink>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2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for the Three and Nine Months Ended September 30, 2020 and 2019</w:t>
              </w:r>
            </w:hyperlink>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w:t>
              </w:r>
            </w:hyperlink>
          </w:p>
        </w:tc>
        <w:tc>
          <w:tcPr>
            <w:tcW w:w="120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2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at September 30, 2020 and December 31, 2019</w:t>
              </w:r>
            </w:hyperlink>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Equity</w:t>
              </w:r>
            </w:hyperlink>
          </w:p>
        </w:tc>
        <w:tc>
          <w:tcPr>
            <w:tcW w:w="120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20" w:type="dxa"/>
            <w:vAlign w:val="bottom"/>
            <w:gridSpan w:val="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for the Three and Nine Months Ended </w:t>
              </w:r>
              <w:r>
                <w:rPr>
                  <w:rFonts w:ascii="Arial" w:cs="Arial" w:eastAsia="Arial" w:hAnsi="Arial"/>
                  <w:sz w:val="18"/>
                  <w:szCs w:val="18"/>
                  <w:u w:val="single" w:color="auto"/>
                  <w:color w:val="0000FF"/>
                </w:rPr>
                <w:t>September 30, 2020 and 2019</w:t>
              </w:r>
            </w:hyperlink>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w:t>
              </w:r>
            </w:hyperlink>
          </w:p>
        </w:tc>
        <w:tc>
          <w:tcPr>
            <w:tcW w:w="120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20" w:type="dxa"/>
            <w:vAlign w:val="bottom"/>
            <w:gridSpan w:val="2"/>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for the Nine Months Ended September 30, 2020 and 2019</w:t>
              </w:r>
            </w:hyperlink>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3"/>
                <w:szCs w:val="23"/>
                <w:color w:val="auto"/>
              </w:rPr>
            </w:pP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2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12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Quantitative and Qualitative Disclosures about Market Risk</w:t>
              </w:r>
            </w:hyperlink>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Controls and Procedures</w:t>
              </w:r>
            </w:hyperlink>
          </w:p>
        </w:tc>
        <w:tc>
          <w:tcPr>
            <w:tcW w:w="120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66</w:t>
              </w:r>
            </w:hyperlink>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9000" w:type="dxa"/>
            <w:vAlign w:val="bottom"/>
            <w:gridSpan w:val="3"/>
          </w:tcPr>
          <w:p>
            <w:pPr>
              <w:ind w:left="240"/>
              <w:spacing w:after="0"/>
              <w:rPr>
                <w:sz w:val="20"/>
                <w:szCs w:val="20"/>
                <w:color w:val="auto"/>
              </w:rPr>
            </w:pPr>
            <w:r>
              <w:rPr>
                <w:rFonts w:ascii="Arial" w:cs="Arial" w:eastAsia="Arial" w:hAnsi="Arial"/>
                <w:sz w:val="18"/>
                <w:szCs w:val="18"/>
                <w:b w:val="1"/>
                <w:bCs w:val="1"/>
                <w:color w:val="auto"/>
              </w:rPr>
              <w:t>OTHER INFORMATION</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Legal Proceedings</w:t>
              </w:r>
            </w:hyperlink>
          </w:p>
        </w:tc>
        <w:tc>
          <w:tcPr>
            <w:tcW w:w="12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Risk Factors</w:t>
              </w:r>
            </w:hyperlink>
          </w:p>
        </w:tc>
        <w:tc>
          <w:tcPr>
            <w:tcW w:w="12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Unregistered Sales of Equity Securities and Use of Proceeds</w:t>
              </w:r>
            </w:hyperlink>
          </w:p>
        </w:tc>
        <w:tc>
          <w:tcPr>
            <w:tcW w:w="12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Other Information</w:t>
              </w:r>
            </w:hyperlink>
          </w:p>
        </w:tc>
        <w:tc>
          <w:tcPr>
            <w:tcW w:w="12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gridSpan w:val="3"/>
          </w:tcPr>
          <w:p>
            <w:pPr>
              <w:ind w:left="24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Exhibits</w:t>
              </w:r>
            </w:hyperlink>
          </w:p>
        </w:tc>
        <w:tc>
          <w:tcPr>
            <w:tcW w:w="120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69</w:t>
              </w:r>
            </w:hyperlink>
          </w:p>
        </w:tc>
        <w:tc>
          <w:tcPr>
            <w:tcW w:w="0" w:type="dxa"/>
            <w:vAlign w:val="bottom"/>
          </w:tcPr>
          <w:p>
            <w:pPr>
              <w:spacing w:after="0"/>
              <w:rPr>
                <w:sz w:val="1"/>
                <w:szCs w:val="1"/>
                <w:color w:val="auto"/>
              </w:rPr>
            </w:pPr>
          </w:p>
        </w:tc>
      </w:tr>
      <w:tr>
        <w:trPr>
          <w:trHeight w:val="284"/>
        </w:trPr>
        <w:tc>
          <w:tcPr>
            <w:tcW w:w="10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Signature</w:t>
              </w:r>
            </w:hyperlink>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70</w:t>
              </w:r>
            </w:hyperlink>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8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gain on divestiture</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16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Income tax (provision)/benefit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equity method investment</w:t>
            </w:r>
          </w:p>
        </w:tc>
        <w:tc>
          <w:tcPr>
            <w:tcW w:w="8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transactions</w:t>
            </w:r>
          </w:p>
        </w:tc>
        <w:tc>
          <w:tcPr>
            <w:tcW w:w="8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0"/>
              <w:spacing w:after="0" w:line="156" w:lineRule="exact"/>
              <w:rPr>
                <w:sz w:val="20"/>
                <w:szCs w:val="20"/>
                <w:color w:val="auto"/>
              </w:rPr>
            </w:pPr>
            <w:r>
              <w:rPr>
                <w:rFonts w:ascii="Arial" w:cs="Arial" w:eastAsia="Arial" w:hAnsi="Arial"/>
                <w:sz w:val="18"/>
                <w:szCs w:val="18"/>
                <w:color w:val="auto"/>
              </w:rPr>
              <w:t>Net earnings attributable to</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Basic earnings per share attributable to</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880" w:type="dxa"/>
            <w:vAlign w:val="bottom"/>
            <w:vMerge w:val="restart"/>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0"/>
                <w:szCs w:val="10"/>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0"/>
                <w:szCs w:val="10"/>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8"/>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2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 translation adjustment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Pension and other benefit plans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cash flow hedges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line="162" w:lineRule="exact"/>
              <w:rPr>
                <w:sz w:val="20"/>
                <w:szCs w:val="20"/>
                <w:color w:val="auto"/>
              </w:rPr>
            </w:pPr>
            <w:r>
              <w:rPr>
                <w:rFonts w:ascii="Arial" w:cs="Arial" w:eastAsia="Arial" w:hAnsi="Arial"/>
                <w:sz w:val="17"/>
                <w:szCs w:val="17"/>
                <w:color w:val="auto"/>
              </w:rPr>
              <w:t>less: Comprehensive earnings/(losses) attributable to</w:t>
            </w:r>
          </w:p>
        </w:tc>
        <w:tc>
          <w:tcPr>
            <w:tcW w:w="8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noncontrolling interests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earnings/(losses) attributable to Mondelēz</w:t>
            </w:r>
          </w:p>
        </w:tc>
        <w:tc>
          <w:tcPr>
            <w:tcW w:w="860" w:type="dxa"/>
            <w:vAlign w:val="bottom"/>
            <w:vMerge w:val="restart"/>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1,283</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7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Trade receivables (net of allowances of $41 at September 30, 2020</w:t>
            </w: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$35 at December 31, 2019)</w:t>
            </w: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Other receivables (net of allowances of $40 at September 30, 2020</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and $44 at December 31, 2019)</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20,848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798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5"/>
                <w:szCs w:val="15"/>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September 30, 2020 and December 31, 2019)</w:t>
            </w:r>
          </w:p>
        </w:tc>
        <w:tc>
          <w:tcPr>
            <w:tcW w:w="2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26,615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Treasury stock, at cost (566,694,393 shares at September 30, 2020 and</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561,531,524 shares at December 31, 2019)</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23"/>
        </w:trPr>
        <w:tc>
          <w:tcPr>
            <w:tcW w:w="798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64,515</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6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2020</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(Losses)</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1"/>
        </w:trPr>
        <w:tc>
          <w:tcPr>
            <w:tcW w:w="3200" w:type="dxa"/>
            <w:vAlign w:val="bottom"/>
            <w:vMerge w:val="continue"/>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July 1, 2020</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26,097</w:t>
            </w: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w:t>
            </w:r>
          </w:p>
        </w:tc>
        <w:tc>
          <w:tcPr>
            <w:tcW w:w="0" w:type="dxa"/>
            <w:vAlign w:val="bottom"/>
          </w:tcPr>
          <w:p>
            <w:pPr>
              <w:spacing w:after="0"/>
              <w:rPr>
                <w:sz w:val="1"/>
                <w:szCs w:val="1"/>
                <w:color w:val="auto"/>
              </w:rPr>
            </w:pPr>
          </w:p>
        </w:tc>
      </w:tr>
      <w:tr>
        <w:trPr>
          <w:trHeight w:val="122"/>
        </w:trPr>
        <w:tc>
          <w:tcPr>
            <w:tcW w:w="3200" w:type="dxa"/>
            <w:vAlign w:val="bottom"/>
          </w:tcPr>
          <w:p>
            <w:pPr>
              <w:ind w:left="140"/>
              <w:spacing w:after="0" w:line="122"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0"/>
                <w:szCs w:val="10"/>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73"/>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0"/>
                <w:szCs w:val="10"/>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3"/>
        </w:trPr>
        <w:tc>
          <w:tcPr>
            <w:tcW w:w="3200" w:type="dxa"/>
            <w:vAlign w:val="bottom"/>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September 30, 2020</w:t>
            </w:r>
          </w:p>
        </w:tc>
        <w:tc>
          <w:tcPr>
            <w:tcW w:w="78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27,028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2020</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32,019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26,615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(10,254)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(21,139)</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27,317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12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2,410</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140"/>
              <w:spacing w:after="0" w:line="124"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73"/>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($0.885 per share)</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Arial" w:cs="Arial" w:eastAsia="Arial" w:hAnsi="Arial"/>
                <w:sz w:val="13"/>
                <w:szCs w:val="13"/>
                <w:color w:val="auto"/>
              </w:rPr>
              <w:t>Balances at September 30, 2020</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32,054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27,702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(11,255)</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(21,558)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27,028</w:t>
            </w:r>
          </w:p>
        </w:tc>
        <w:tc>
          <w:tcPr>
            <w:tcW w:w="0" w:type="dxa"/>
            <w:vAlign w:val="bottom"/>
          </w:tcPr>
          <w:p>
            <w:pPr>
              <w:spacing w:after="0"/>
              <w:rPr>
                <w:sz w:val="1"/>
                <w:szCs w:val="1"/>
                <w:color w:val="auto"/>
              </w:rPr>
            </w:pPr>
          </w:p>
        </w:tc>
      </w:tr>
      <w:tr>
        <w:trPr>
          <w:trHeight w:val="26"/>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2019</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2019</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25,300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(10,524)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(20,684)</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26,143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12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1,431</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140"/>
              <w:spacing w:after="0" w:line="124"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73"/>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($0.285 per share)</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Arial" w:cs="Arial" w:eastAsia="Arial" w:hAnsi="Arial"/>
                <w:sz w:val="13"/>
                <w:szCs w:val="13"/>
                <w:color w:val="auto"/>
              </w:rPr>
              <w:t>Balances at September 30, 2019</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31,998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26,300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(10,737)</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(20,820)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26,809</w:t>
            </w:r>
          </w:p>
        </w:tc>
        <w:tc>
          <w:tcPr>
            <w:tcW w:w="0" w:type="dxa"/>
            <w:vAlign w:val="bottom"/>
          </w:tcPr>
          <w:p>
            <w:pPr>
              <w:spacing w:after="0"/>
              <w:rPr>
                <w:sz w:val="1"/>
                <w:szCs w:val="1"/>
                <w:color w:val="auto"/>
              </w:rPr>
            </w:pPr>
          </w:p>
        </w:tc>
      </w:tr>
      <w:tr>
        <w:trPr>
          <w:trHeight w:val="26"/>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2019</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2019</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31,961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24,394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(10,644)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(20,185)</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25,602</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12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3,208</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140"/>
              <w:spacing w:after="0" w:line="124"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73"/>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($0.805 per share)</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20"/>
              <w:spacing w:after="0"/>
              <w:rPr>
                <w:sz w:val="20"/>
                <w:szCs w:val="20"/>
                <w:color w:val="auto"/>
              </w:rPr>
            </w:pPr>
            <w:r>
              <w:rPr>
                <w:rFonts w:ascii="Arial" w:cs="Arial" w:eastAsia="Arial" w:hAnsi="Arial"/>
                <w:sz w:val="13"/>
                <w:szCs w:val="13"/>
                <w:color w:val="auto"/>
              </w:rPr>
              <w:t>Balances at September 30, 2019</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31,998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26,300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(10,737)</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(20,820)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26,809</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Nine Months Ended</w:t>
      </w:r>
    </w:p>
    <w:p>
      <w:pPr>
        <w:jc w:val="center"/>
        <w:ind w:left="7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wp:posOffset>
            </wp:positionV>
            <wp:extent cx="2348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8"/>
                <w:szCs w:val="18"/>
                <w:color w:val="auto"/>
              </w:rPr>
              <w:t>U.S. tax reform transition tax</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divestiture</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7500" w:type="dxa"/>
            <w:vAlign w:val="bottom"/>
          </w:tcPr>
          <w:p>
            <w:pPr>
              <w:ind w:left="340"/>
              <w:spacing w:after="0"/>
              <w:rPr>
                <w:sz w:val="20"/>
                <w:szCs w:val="20"/>
                <w:color w:val="auto"/>
              </w:rPr>
            </w:pPr>
            <w:r>
              <w:rPr>
                <w:rFonts w:ascii="Arial" w:cs="Arial" w:eastAsia="Arial" w:hAnsi="Arial"/>
                <w:sz w:val="18"/>
                <w:szCs w:val="18"/>
                <w:color w:val="auto"/>
              </w:rPr>
              <w:t>(Gain)/loss on equity method investment transactions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7500" w:type="dxa"/>
            <w:vAlign w:val="bottom"/>
          </w:tcPr>
          <w:p>
            <w:pPr>
              <w:ind w:left="34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7500" w:type="dxa"/>
            <w:vAlign w:val="bottom"/>
          </w:tcPr>
          <w:p>
            <w:pPr>
              <w:ind w:left="54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7500" w:type="dxa"/>
            <w:vAlign w:val="bottom"/>
          </w:tcPr>
          <w:p>
            <w:pPr>
              <w:ind w:left="54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7500" w:type="dxa"/>
            <w:vAlign w:val="bottom"/>
          </w:tcPr>
          <w:p>
            <w:pPr>
              <w:ind w:left="120"/>
              <w:spacing w:after="0"/>
              <w:rPr>
                <w:sz w:val="20"/>
                <w:szCs w:val="20"/>
                <w:color w:val="auto"/>
              </w:rPr>
            </w:pPr>
            <w:r>
              <w:rPr>
                <w:rFonts w:ascii="Arial" w:cs="Arial" w:eastAsia="Arial" w:hAnsi="Arial"/>
                <w:sz w:val="18"/>
                <w:szCs w:val="18"/>
                <w:color w:val="auto"/>
              </w:rPr>
              <w:t>Acquisition, net of cash received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0"/>
        </w:trPr>
        <w:tc>
          <w:tcPr>
            <w:tcW w:w="7500" w:type="dxa"/>
            <w:vAlign w:val="bottom"/>
          </w:tcPr>
          <w:p>
            <w:pPr>
              <w:ind w:left="12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issuances of other short-term borrowings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7500" w:type="dxa"/>
            <w:vAlign w:val="bottom"/>
          </w:tcPr>
          <w:p>
            <w:pPr>
              <w:ind w:left="12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repaid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750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155"/>
        </w:trPr>
        <w:tc>
          <w:tcPr>
            <w:tcW w:w="7500" w:type="dxa"/>
            <w:vAlign w:val="bottom"/>
          </w:tcPr>
          <w:p>
            <w:pPr>
              <w:ind w:left="20"/>
              <w:spacing w:after="0" w:line="156" w:lineRule="exact"/>
              <w:rPr>
                <w:sz w:val="20"/>
                <w:szCs w:val="20"/>
                <w:color w:val="auto"/>
              </w:rPr>
            </w:pPr>
            <w:r>
              <w:rPr>
                <w:rFonts w:ascii="Arial" w:cs="Arial" w:eastAsia="Arial" w:hAnsi="Arial"/>
                <w:sz w:val="18"/>
                <w:szCs w:val="18"/>
                <w:color w:val="auto"/>
              </w:rPr>
              <w:t>Effect of exchange rate changes on cash, cash equivalents and</w:t>
            </w:r>
          </w:p>
        </w:tc>
        <w:tc>
          <w:tcPr>
            <w:tcW w:w="1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20"/>
              <w:spacing w:after="0"/>
              <w:rPr>
                <w:sz w:val="20"/>
                <w:szCs w:val="20"/>
                <w:color w:val="auto"/>
              </w:rPr>
            </w:pPr>
            <w:r>
              <w:rPr>
                <w:rFonts w:ascii="Arial" w:cs="Arial" w:eastAsia="Arial" w:hAnsi="Arial"/>
                <w:sz w:val="18"/>
                <w:szCs w:val="18"/>
                <w:color w:val="auto"/>
              </w:rPr>
              <w:t>Increase</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7500" w:type="dxa"/>
            <w:vAlign w:val="bottom"/>
          </w:tcPr>
          <w:p>
            <w:pPr>
              <w:ind w:left="12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31"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using the exchange rate as of the balance sheet date, with remeasurement and other transaction gains and losses recorded in net earnings. As of September 30, 2020, our Argentinian operations had $6 million of Argentinian peso denominated net monetary assets. Our Argentinian operations contributed $77 million, or 1.2% of consolidated net revenues in the three months and $252 million, or 1.3% of consolidated net revenues in the nine months ended September 30, 2020. Within selling, general and administrative expenses, we recorded a remeasurement loss of $2 million during the three months and $7 million during the nine months ended September 30, 2020 as well as a remeasurement loss of $1 million during the three months and $ 2 million during the nine months ended September 30, 2019 related to the revaluation of the Argentinian peso denominated net monetary position over these periods.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In the nine months ended September 30, 2020, we generated 8.8% of our consolidated net revenues in the United Kingdom.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2020, the United Kingdom began the withdrawal process from the European Union under the European and U.K. Parliament approved Withdrawal Agreement. Through December 31, 2020, the United Kingdom will effectively remain in the E.U.’s customs union and single market while a trade deal with the European Union is negotiated. On December 31, 2020, the United Kingdom will either exit the European Union and begin a new trade relationship with the European Union or will exit without a trade deal. As we approach the planned U.K. exit at the end of 2020, we are taking protective measures in response to the potential impacts on our results of operations and financial condition. If the ultimate terms of the United Kingdom’s separation from the European Union negatively impact the U.K. economy or result in disruptions to sales or our supply chain, the impact to our results of operations and financial condition could be material. We are taking measures to increase our resources in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customer service &amp; logistics together with increasing our inventory levels of imported raw materials, packaging and finished goods in the United Kingdom to help us manage through Brexit and the inherent risks.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these exposures, including the impacts related to the global outbreak of the novel coronavirus (“COVID-19”) in 2020. Most countries in which we do business have recently experienced periods of significant economic uncertainty as well as exchange rate volatility. We continue to monitor COVID-19 and other impacts to our business operations, currencies and net monetary exposures in the countries in which we operate. At this time, except for Argentina which is accounted for as a highly inflationary economy, we do not anticipate any other countries in which we operate to be at risk of becoming highly inflationary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and which was $31 million as of September 30, 2020 and $37 million as of December 31, 2019. Total cash, cash equivalents and restricted cash was $2,790 million as of September 30, 2020 and $1,328 million as of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$778 million as of September 30, 2020 and $760 million as of December 31, 2019.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recorded $187 million in operating lease and $129 million in finance lease right-of-use assets obtained in exchange for lease obligations during the nine months ended September 30, 2020 and $91 million in operating lease and $48 million in finance lease right-of-use assets obtained in exchange for lease obligations during the nine months ended September 30, 2019.</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that removes certain exceptions in accounting for income taxes, improves consistency in application and clarifies existing guidance. This ASU is effective for fiscal years beginning after December 15, 2020, with early adoption permitted. We do not expect this ASU to have a material impact on our consolidated financial statements.</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ending after December 15, 2020, with early adoption permitted. We will adopt this standard and reflect the changes to our 2020 annual disclosures. This ASU is not expected to have an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second quarter of 2020, in connection with the JDE Peet's (as defined below) transaction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we changed our accounting principle to reflect our share of Jacobs Douwe Egberts ("JDE") historical results and JDE Peet's ongoing results on a one-quarter lag basis while we continue to record dividends when cash is received. This change was applied retrospectively to all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$1,142 million, net of cash received. We are working to complete the valuation and have recorded a preliminary purchase price allocation of $511 million to definite-lived intangible assets, $42 million to indefinite-lived intangible assets, $529 million to goodwill, $137 million to property, plant and equipment, $59 million to operating lease right of use assets, $38 million to inventory, $29 million to accounts receivable, $5 million to other current assets, $41 million to current liabilities, $83 million to deferred tax liabilities, $56 million to long-term operating lease liabilities, $6 million to long-term debt and $19 million to long-term other liabilities. The acquisition added incremental net revenues of $125 million in the three months and $ 216 million in the nine months ended September 30, 2020, and operating income of $14 million during the three months and $6 million in the nine months ended September 30, 2020. We incurred an immaterial amount of acquisition-related costs during the three months and $15 million during the nine months ended September 30, 2020.</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During the first quarter of 2020, we finalized the purchase price allocation of $31 million to definite-lived intangible assets, $107 million to indefinite-lived intangible assets, $150 million to goodwill, $ 1 million to property, plant and equipment, $12 million to inventory, $8 million to accounts receivable, $13 million to current liabilities, $3 million to deferred tax liabilities and $9 million to other liabilities. Through the one-year anniversary of the acquisition, Perfect Snacks added incremental net revenues of $55 million and an immaterial amount of incremental operating income in 2020.</w:t>
      </w: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In 2019, we received cash proceeds of $161 million and divested $19 million of current assets and $96 million of non-current assets. During 2019, we recorded a net pre-tax gain of $44 million on the sale. The divestiture resulted in year-over-year declines in net revenues of $55 million and operating income of $9 million during the nine months ended September 30, 2020. We incurred divestiture-related costs of $6 million in the three months and $4 million (including the reversal of $2 million divestiture-related costs no longer required) in the nine months ended September 30, 2020. We also reversed divestiture-related costs of $4 million in the three months and incurred $6 million in the nine months ended September 30, 2019.</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11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For the nine months ended September 30, 2020, capital expenditures of $630 million excluded $203 million of accrued capital expenditures remaining unpaid at September 30, 2020 and included payment for $334 million of capital expenditures that were accrued and unpaid at December 31, 2019. For the nine months ended September 30, 2019, capital expenditures of $686 million excluded $203 million of accrued capital expenditures remaining unpaid at September 30, 2019 and included payment for $331 million of capital expenditures that were accrued and unpaid at December 31, 2018.</w:t>
      </w:r>
    </w:p>
    <w:p>
      <w:pPr>
        <w:spacing w:after="0" w:line="202"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AMEA</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2"/>
        </w:trPr>
        <w:tc>
          <w:tcPr>
            <w:tcW w:w="5160" w:type="dxa"/>
            <w:vAlign w:val="bottom"/>
          </w:tcPr>
          <w:p>
            <w:pPr>
              <w:spacing w:after="0"/>
              <w:rPr>
                <w:sz w:val="24"/>
                <w:szCs w:val="24"/>
                <w:color w:val="auto"/>
              </w:rPr>
            </w:pPr>
          </w:p>
        </w:tc>
        <w:tc>
          <w:tcPr>
            <w:tcW w:w="940" w:type="dxa"/>
            <w:vAlign w:val="bottom"/>
          </w:tcPr>
          <w:p>
            <w:pPr>
              <w:jc w:val="right"/>
              <w:ind w:right="337"/>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5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AMEA</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7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76"/>
        </w:trPr>
        <w:tc>
          <w:tcPr>
            <w:tcW w:w="7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Amortizable intangible assets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brands, customer-related intangibles, process technology, licenses and non-compete agreements.</w:t>
      </w:r>
    </w:p>
    <w:p>
      <w:pPr>
        <w:spacing w:after="0" w:line="19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Amortization expense for intangible assets was $50 million for the three months and $143 million for the nine months ended September 30, 2020 and $43 million for the three months and $130 million for the nine months ended September 30, 2019. For the next five years, we currently estimate annual amortization expense of approximately $190 million in 2020, approximately $120 million in 2021 and approximately $115 million in 2022-2024 (reflecting September 30, 2020 exchange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ind w:left="108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29"/>
        </w:trPr>
        <w:tc>
          <w:tcPr>
            <w:tcW w:w="7500" w:type="dxa"/>
            <w:vAlign w:val="bottom"/>
          </w:tcPr>
          <w:p>
            <w:pPr>
              <w:ind w:left="12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ind w:left="10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75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31" w:lineRule="exact"/>
        <w:rPr>
          <w:sz w:val="20"/>
          <w:szCs w:val="20"/>
          <w:color w:val="auto"/>
        </w:rPr>
      </w:pPr>
    </w:p>
    <w:p>
      <w:pPr>
        <w:jc w:val="both"/>
        <w:ind w:left="660" w:right="1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Acquisition – In connection with our acquisition of a majority interest in Give &amp; Go during the second quarter of 2020, we recorded a preliminary purchase price allocation of $529 million to goodwill and $553 million to intangible assets. See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32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impairments – As further described below, during the nine months ended September 30, 2020, we recorded $144 million of intangible asset impairments resulting primarily from the impacts of COVID-19 that led to lower than expected growth for eight brands across our segments.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During the first six months of 2020, we evaluated our goodwill and intangible asset impairment risk using qualitative analysis. In light of the ongoing COVID-19 global pandemic, we performed further quantitative analysis over non-amortizable intangible assets during the second quarter of 2020, resulting in approximately $90 million of intangible asset impairment charges.</w:t>
      </w:r>
    </w:p>
    <w:p>
      <w:pPr>
        <w:spacing w:after="0" w:line="1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During the third quarter of 2020, we performed our annual impairment assessment test for goodwill and non-amortizable intangible assets as of July 1, 2020.</w:t>
      </w:r>
    </w:p>
    <w:p>
      <w:pPr>
        <w:spacing w:after="0" w:line="17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Our 2020 annual testing of goodwill resulted in no impairments as each reporting unit had sufficient fair value in excess of its carrying value. As part of our goodwill quantitative annual impairment testing, we compare a reporting unit's estimated fair value with its carrying value. If the carrying value of a reporting unit's net assets exceeds its fair value, we would record an impairment based on the difference between the carrying value and fair value of the reporting unit. We estimate a reporting unit's fair value using a discounted cash flow method that incorporates planned growth rates, market-based discount rates and estimates of residual value. This year, for our Europe and North America reporting units, we used a market based, weighted-average cost of capital of 6.1% to discount the projected cash flows of those operations. For our Latin America and AMEA reporting units, we used a risk-rated discount rate of 9.1%. Estimating the fair value of individual reporting units requires us to make assumptions and estimates regarding our future plans and industry and economic conditions based on available information. Given the uncertainty of the global economic environment and the impact of COVID-19, those estimates could be significantly different than future performance.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19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our 2020 annual testing of non-amortizable intangible assets, we recorded approximately $54 million of impairment charges in the third quarter of 2020 related to three gum and chocolate brands. The ongoing impact of the pandemic resulted in greater declines in the sales and earnings for certain brands, particularly our gum brands. We have incorporated the latest results and a slower expected recovery for these brands in the revenue and earnings projections incorporated in our annual impairment testing. We recorded charges of $47 million in North America, $3 million in Europe and $3 million in Latin America. The impairment charges were calculated as the excess of the carrying value over the estimated fair value of the intangible assets on a global basis and were recorded within asset impairment and exit costs. We use several accepted valuation methods, including relief of royalty, excess earnings and excess margin, that utilize estimates of future sales, earnings growth rates, royalty rates and discount rates in determining a brand's global fair value. We also identified nine brands, including the three brands impaired in third quarter of 2020, with $712 million of aggregate book value as of September 30, 2020, that each had a fair value in excess of book value of 10% or less. We continue to monitor our brand performance, particularly in light of the significant uncertainty due to the COVID-19 pandemic and related impacts to our business. If the brand earnings expectations are not met or specific valuation factors outside of our control, such as discount rates, change significantly, then a brand or brands could become impaired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5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carrying values of our equity method investments are also impacted by our proportionate share of items impacting the investee's accumulated other comprehensive income or losses and other items, such as our share of investee dividends.</w:t>
      </w:r>
    </w:p>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As of September 30, 2020, we owned 22.9%, 11.2%, 50.0% and 49.0%, respectively, of these companies' outstanding shares.</w:t>
      </w:r>
    </w:p>
    <w:p>
      <w:pPr>
        <w:spacing w:after="0" w:line="190"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Our investments accounted for under the equity method of accounting totaled $6,488 million as of September 30, 2020 and $7,178 million as of December 31, 2019. We recorded equity earnings and cash dividends of $84 million and $27 million in the third quarter of 2020 and equity earnings and cash dividends of $114 million and $29 million in the third quarter of 2019. We recorded equity earnings and cash dividends of $311 million and $220 million in the first nine months of 2020 and equity earnings and cash dividends of $389 million and $217 million in the first nine months of 2019.</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Based on the quoted closing prices as of September 30, 2020, the combined fair value of our publicly-traded investments in JDEP and KDP was $9.0 billion, and for each investment, its fair value exceeded its carrying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March 7, 2016, we exchanged a portion of our 43.5% JDE equity interest for a new equity interest in Keurig Green Mountain, Inc. ("Keurig"). Following the transaction, our JDE equity interest became 26.5% and our new Keurig equity interest was 24.2%. During the first quarter of 2016, we recorded the difference between the $2.0 billion fair value of Keurig and our basis in the exchanged JDE shares as a gain of $43 million. In the second quarter of 2019, we determined an adjustment to accumulated other comprehensive losses related to our JDE investment was required, which reduced our previously reported gain by $29 million. We recorded the adjustment in the net loss on equity method transactions in the second quarter of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KDP, a publicly traded company. Following the close of the transaction, our 24.2% investment in Keurig together with our shareholder loan receivable became a 13.8% investment in KDP. During 2018, we recorded a net pre-tax gain of $ 778 million (or $586 million after-tax). In connection with this transaction, we changed our accounting principle during the third quarter of 2018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The change was retrospectively applied to all prior periods presented.</w:t>
      </w:r>
    </w:p>
    <w:p>
      <w:pPr>
        <w:spacing w:after="0" w:line="206"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During the first quarter of 2019, we recognized a pre-tax gain of $23 million (or $18 million after-tax) related to the impact of a KDP acquisition that decreased our ownership interest from 13.8% to 13.6%.</w:t>
      </w:r>
    </w:p>
    <w:p>
      <w:pPr>
        <w:spacing w:after="0" w:line="17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w:t>
      </w:r>
    </w:p>
    <w:p>
      <w:pPr>
        <w:spacing w:after="0" w:line="190"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On August 3, 2020, we sold approximately 14.1 million shares of KDP, which reduced our ownership interest by 1.0% to 12.1% of the total outstanding shares. We received $414 million of proceeds and recorded a pre-tax gain of $181 million (or $139 million after-tax) during the third quarter of 2020.</w:t>
      </w:r>
    </w:p>
    <w:p>
      <w:pPr>
        <w:spacing w:after="0" w:line="17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September 9, 2020, we sold approximately 12.5 million shares of KDP, which reduced our ownership interest by 0.9% to 11.2% of the total outstanding shares. We received $363 million of proceeds and recorded a pre-tax gain of $154 million (or $119 million after-tax) during the third quarter of 2020.</w:t>
      </w:r>
    </w:p>
    <w:p>
      <w:pPr>
        <w:spacing w:after="0" w:line="19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19, 2020, JDE Peet’s B.V. (renamed JDE Peet’s N.V. immediately prior to Settlement (as defined below), “JDE Peet’s”) announced its intention to launch an offering of its ordinary shares (the “offering”) and to apply for admission to listing and trading of all of its ordinary shares on Euronext Amsterdam, a regulated market operated by Euronext Amsterdam N.V. (the “admission”). On May 26, 2020, JDE Peet’s published a prospectus in connection with the offering and the admission. On May 29, 2020, JDE Peet’s announced the final pricing terms of the offering, and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1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Prior to Settlement, we exchanged our 26.4% ownership interest in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€46 million ($51 million) upon exercise of the over-allotment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option. Following Settlement and the exercise of the over-allotment option, we held a 22.9% equity interest in JDE Peet’s. During the second quarter of 2020, we recorded a preliminary gain of $121 million, net of $33 million released from accumulated other comprehensive losses, and $48 million of transaction costs. During the third quarter of 2020, we increased our preliminary gain by $10 million to $131 million.</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will continue to account for our investment in JDE Peet’s under the equity method, resulting in recognizing our share of JDE Peet’s earnings within our earnings and our share of JDE Peet’s dividends within our cash flows. In the second quarter of 2020, in connection with this transaction, we changed our accounting principle to reflect our share of JDE’s historical and JDE Peet’s ongoing earnings on a one-quarter lag basis, although we continue to record dividends when cash is received. We determined a lag was preferable as it enables us to continue to report our quarterly and annual results on a timely basis, while recording our share of JDE Peet’s ongoing results after JDE Peet’s has publicly reported its results. This change in accounting principle was applied retrospectively to all periods.</w:t>
      </w:r>
    </w:p>
    <w:p>
      <w:pPr>
        <w:spacing w:after="0" w:line="203"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The following tables show the primary line items on the condensed consolidated statements of earnings and comprehensive earnings and the condensed consolidated balance sheet that changed as a result of the lag. The condensed consolidated statements of cash flow and equity were also updated to reflect these changes.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76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5"/>
                <w:szCs w:val="15"/>
                <w:color w:val="auto"/>
              </w:rPr>
            </w:pPr>
          </w:p>
        </w:tc>
        <w:tc>
          <w:tcPr>
            <w:tcW w:w="27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As Recast</w:t>
            </w:r>
          </w:p>
        </w:tc>
        <w:tc>
          <w:tcPr>
            <w:tcW w:w="1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rPr>
              <w:t>(in millions, except per share data)</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Equity method investment net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1,428</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180"/>
              <w:spacing w:after="0" w:line="176" w:lineRule="exact"/>
              <w:rPr>
                <w:sz w:val="20"/>
                <w:szCs w:val="20"/>
                <w:color w:val="auto"/>
              </w:rPr>
            </w:pPr>
            <w:r>
              <w:rPr>
                <w:rFonts w:ascii="Arial" w:cs="Arial" w:eastAsia="Arial" w:hAnsi="Arial"/>
                <w:sz w:val="18"/>
                <w:szCs w:val="18"/>
                <w:color w:val="auto"/>
              </w:rPr>
              <w:t>Net earnings attributable to</w:t>
            </w:r>
          </w:p>
        </w:tc>
        <w:tc>
          <w:tcPr>
            <w:tcW w:w="200" w:type="dxa"/>
            <w:vAlign w:val="bottom"/>
          </w:tcPr>
          <w:p>
            <w:pPr>
              <w:spacing w:after="0"/>
              <w:rPr>
                <w:sz w:val="15"/>
                <w:szCs w:val="15"/>
                <w:color w:val="auto"/>
              </w:rPr>
            </w:pPr>
          </w:p>
        </w:tc>
        <w:tc>
          <w:tcPr>
            <w:tcW w:w="1280" w:type="dxa"/>
            <w:vAlign w:val="bottom"/>
            <w:vMerge w:val="restart"/>
          </w:tcPr>
          <w:p>
            <w:pPr>
              <w:jc w:val="right"/>
              <w:ind w:right="34"/>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3,144</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1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Earnings per share attributable to</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500"/>
              <w:spacing w:after="0"/>
              <w:rPr>
                <w:sz w:val="20"/>
                <w:szCs w:val="20"/>
                <w:color w:val="auto"/>
              </w:rPr>
            </w:pPr>
            <w:r>
              <w:rPr>
                <w:rFonts w:ascii="Arial" w:cs="Arial" w:eastAsia="Arial" w:hAnsi="Arial"/>
                <w:sz w:val="18"/>
                <w:szCs w:val="18"/>
                <w:color w:val="auto"/>
              </w:rPr>
              <w:t>Basic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2.17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Other Comprehensive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95"/>
              </w:rPr>
              <w:t>(157)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other benefit plans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Derivative cash flow hedges</w:t>
            </w:r>
          </w:p>
        </w:tc>
        <w:tc>
          <w:tcPr>
            <w:tcW w:w="2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earnings/(losses)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ind w:left="180"/>
              <w:spacing w:after="0" w:line="176" w:lineRule="exact"/>
              <w:rPr>
                <w:sz w:val="20"/>
                <w:szCs w:val="20"/>
                <w:color w:val="auto"/>
              </w:rPr>
            </w:pPr>
            <w:r>
              <w:rPr>
                <w:rFonts w:ascii="Arial" w:cs="Arial" w:eastAsia="Arial" w:hAnsi="Arial"/>
                <w:sz w:val="18"/>
                <w:szCs w:val="18"/>
                <w:color w:val="auto"/>
              </w:rPr>
              <w:t>Comprehensive earnings/(losses) attributable to</w:t>
            </w:r>
          </w:p>
        </w:tc>
        <w:tc>
          <w:tcPr>
            <w:tcW w:w="200" w:type="dxa"/>
            <w:vAlign w:val="bottom"/>
          </w:tcPr>
          <w:p>
            <w:pPr>
              <w:spacing w:after="0"/>
              <w:rPr>
                <w:sz w:val="15"/>
                <w:szCs w:val="15"/>
                <w:color w:val="auto"/>
              </w:rPr>
            </w:pPr>
          </w:p>
        </w:tc>
        <w:tc>
          <w:tcPr>
            <w:tcW w:w="1280" w:type="dxa"/>
            <w:vAlign w:val="bottom"/>
            <w:vMerge w:val="restart"/>
          </w:tcPr>
          <w:p>
            <w:pPr>
              <w:jc w:val="right"/>
              <w:ind w:right="34"/>
              <w:spacing w:after="0"/>
              <w:rPr>
                <w:sz w:val="20"/>
                <w:szCs w:val="20"/>
                <w:color w:val="auto"/>
              </w:rPr>
            </w:pPr>
            <w:r>
              <w:rPr>
                <w:rFonts w:ascii="Arial" w:cs="Arial" w:eastAsia="Arial" w:hAnsi="Arial"/>
                <w:sz w:val="18"/>
                <w:szCs w:val="18"/>
                <w:color w:val="auto"/>
              </w:rPr>
              <w:t>1,247</w:t>
            </w:r>
          </w:p>
        </w:tc>
        <w:tc>
          <w:tcPr>
            <w:tcW w:w="26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3,057</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7,212</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(10,258)</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27,275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$4.6 billion related to the Simplify to Grow Program. We expect to incur the program charges by year-end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nine months ended September 30, 2020 was: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and related</w:t>
            </w:r>
          </w:p>
        </w:tc>
        <w:tc>
          <w:tcPr>
            <w:tcW w:w="2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costs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spent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Non-cash settlements/adjustments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Liability balance, September 30, 2020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340" w:right="120" w:hanging="332"/>
        <w:spacing w:after="0" w:line="25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restructuring charges of $68 million in the third quarter of 2020 and $77 million in the third quarter of 2019 and $111 million in the first nine months of 2020 and $117 million in the first nine months of 2019 within asset impairment and exit costs and benefit plan non-service income.</w:t>
      </w:r>
    </w:p>
    <w:p>
      <w:pPr>
        <w:spacing w:after="0" w:line="2" w:lineRule="exact"/>
        <w:rPr>
          <w:rFonts w:ascii="Arial" w:cs="Arial" w:eastAsia="Arial" w:hAnsi="Arial"/>
          <w:sz w:val="18"/>
          <w:szCs w:val="18"/>
          <w:color w:val="auto"/>
        </w:rPr>
      </w:pPr>
    </w:p>
    <w:p>
      <w:pPr>
        <w:ind w:left="340" w:right="26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spent $44 million in the third quarter of 2020 and $35 million in the third quarter of 2019 and $113 million in the first nine months of 2020 and $124 million in the first nine months of 2019 in cash severance and related costs.</w:t>
      </w:r>
    </w:p>
    <w:p>
      <w:pPr>
        <w:ind w:left="340" w:right="22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also recognized a gain on the sale of assets included in the restructuring program, partially offset by non-cash pension settlement losses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$13 million in the third quarter of 2020 and $41 million in the third quarter of 2019 and $1 million in the first nine months of 2020 and $76 million in the first nine months of 2019.</w:t>
      </w:r>
    </w:p>
    <w:p>
      <w:pPr>
        <w:spacing w:after="0" w:line="1" w:lineRule="exact"/>
        <w:rPr>
          <w:rFonts w:ascii="Arial" w:cs="Arial" w:eastAsia="Arial" w:hAnsi="Arial"/>
          <w:sz w:val="18"/>
          <w:szCs w:val="18"/>
          <w:color w:val="auto"/>
        </w:rPr>
      </w:pPr>
    </w:p>
    <w:p>
      <w:pPr>
        <w:ind w:left="340" w:right="480" w:hanging="332"/>
        <w:spacing w:after="0" w:line="26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September 30, 2020, $258 million of our net restructuring liability was recorded within other current liabilities and $38 million was recorded within other long-term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$46 million in the third quarter of 2020 and $75 million in the third quarter of 2019 and $141 million in the first nine months of 2020 and $193 million in the first nine months of 2019. We recorded these costs within cost of sales and general corporate expense within selling, general and administrative expenses.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the three and nine months ended September 30, 2020 and September 30, 2019, and since inception of the Simplify to Grow Program, we recorded the following restructuring and implementation costs within segment operating income and earnings before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AMEA</w:t>
            </w:r>
          </w:p>
        </w:tc>
        <w:tc>
          <w:tcPr>
            <w:tcW w:w="36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Europe</w:t>
            </w:r>
          </w:p>
        </w:tc>
        <w:tc>
          <w:tcPr>
            <w:tcW w:w="820" w:type="dxa"/>
            <w:vAlign w:val="bottom"/>
            <w:gridSpan w:val="2"/>
          </w:tcPr>
          <w:p>
            <w:pPr>
              <w:ind w:left="4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1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12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America</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472</w:t>
            </w:r>
          </w:p>
        </w:tc>
        <w:tc>
          <w:tcPr>
            <w:tcW w:w="9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141</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420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892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489</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60" w:type="dxa"/>
            <w:vAlign w:val="bottom"/>
            <w:gridSpan w:val="11"/>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8"/>
          </w:tcPr>
          <w:p>
            <w:pPr>
              <w:ind w:left="680"/>
              <w:spacing w:after="0"/>
              <w:rPr>
                <w:sz w:val="20"/>
                <w:szCs w:val="20"/>
                <w:color w:val="auto"/>
              </w:rPr>
            </w:pPr>
            <w:r>
              <w:rPr>
                <w:rFonts w:ascii="Arial" w:cs="Arial" w:eastAsia="Arial" w:hAnsi="Arial"/>
                <w:sz w:val="14"/>
                <w:szCs w:val="14"/>
                <w:b w:val="1"/>
                <w:bCs w:val="1"/>
                <w:color w:val="auto"/>
              </w:rPr>
              <w:t>As of September 30, 2020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592"/>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center"/>
              <w:ind w:left="28"/>
              <w:spacing w:after="0" w:line="142"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75"/>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Weighted-</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Average Rate</w:t>
            </w: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Average Rate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tcPr>
          <w:p>
            <w:pPr>
              <w:jc w:val="right"/>
              <w:ind w:right="195"/>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As of September 30, 2020, commercial paper issued and outstanding had between 1 and 62 days remaining to maturity. Commercial paper borrowings since year end decreased due to proceeds from issuances of long-term debt, sales of shares of KDP and JDEP stock holdings and operating cash flows offset in part by payments of long-term debt, share repurchases and dividend payments.</w:t>
      </w:r>
    </w:p>
    <w:p>
      <w:pPr>
        <w:spacing w:after="0" w:line="190"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$1.5 billion at September 30, 2020 and $1.7 billion at December 31, 2019. Borrowings on these lines were $60 million at September 30, 2020 and $57 million at December 31, 2019.</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On September 24, 2020, Mondelēz International Holdings B.V. (“MIHN”) repaid a $ 750 million term loan. The term loan and accrued interest to date were paid with the euro-denominated notes issued by MIHN on September 23, 2020 that are described below.</w:t>
      </w:r>
    </w:p>
    <w:p>
      <w:pPr>
        <w:spacing w:after="0" w:line="1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March 24, 2020, we entered into a $1.75 billion revolving credit agreement for a 364-day senior unsecured credit facility that expires on March 23, 2021. On April 1, 2020, we increased the credit facility from $1.75 billion to $ 1.95 billion. The agreement includes the same terms and conditions as our existing $4.5 billion multi-year credit facility discussed below with the exception that proceeds from a long-term debt issuance would be used to reduce the credit facility. On September 8, 2020, we terminated this facility after issuing long-term debt.</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6, 2020, we entered into a $2.5 billion credit agreement for a 364-day unsecured credit facility that expires on March 5, 2021. The agreement includes the same terms and conditions as our existing $4.5 billion multi-year credit facility discussed below with the exception that proceeds from a long-term debt issuance would be used to reduce the credit facility. On May 6, 2020, we terminated this facility after issuing long-term debt and repaying previous drawdowns.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26, 2020, we entered into a $1.5 billion revolving credit agreement for a 364-day senior unsecured credit facility that expires on February 24, 2021. The agreement replaces our previous credit agreement that was scheduled to expire on February 26, 2020 and includes the same terms and conditions as our existing $4.5 billion multi-year credit facility discussed below. As of September 30, 2020, no amounts were drawn on the facility.</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The credit facility is scheduled to expire on February 27, 2024.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September 30, 2020, we complied with this covenant as our shareholders' equity, as defined by the covenant, was $38.2 billion. The revolving credit facility also contains customary representations, covenants and events of default. There are no credit rating triggers, provisions or other financial covenants that could require us to post collateral as security. As of September 30, 2020, no amounts were drawn on the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On October 16, 2020, we completed a cash tender offer and retired $949.7 million of long term U.S. dollar-denominated debt consisting of:</w:t>
      </w:r>
    </w:p>
    <w:p>
      <w:pPr>
        <w:spacing w:after="0" w:line="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$359 million of our 3.625% notes due on May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$203 million of our 4.000% notes due on February 2024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$248 million of our 3.625% notes due on February 2026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 million of our 4.125% notes due on May 2028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 million of our 6.500% notes due on November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million of our 7.000% notes due on August 2037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 million of our 6.875% notes due on February 2038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million of our 6.875% notes due on January 2039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$1 million of our 6.500% notes due on February 2040</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$71 million of our 4.625% notes due on May 2048</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financed the repurchase of these notes, including the payment of accrued interest and other costs incurred, from net proceeds received from the October 15, 2020 issuances totaling $1.25 billion described below. During the fourth quarter of 2020 we expect to record a loss on debt extinguishment of approximately $150 million within interest and other expense, net related to the amount we paid in excess of the carrying value of the debt and from recognizing unamortized discounts and deferred financing in earnings at the time of the debt extinguishment. Cash costs related to our tender for the debt will be included in other financing activities in the consolidated statement of cash flows and we will record $ 3.9 million of charges within interest and other expense, net from hedging instruments related to the retired debt. Upon the extinguishment of debt, the deferred cash flow hedge amounts were recorded in earnings.</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On October 15, 2020, we issued $625 million of 1.875% U.S. dollar-denominated notes that mature on October 15, 2032. We received proceeds of $621.2 million, net of discounts and associated financing costs. The proceeds were used to fund the October 2020 debt tender and general corporate purposes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recorded approximately $3.8</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million of discounts and deferred financing costs that will be amortized evenly into interest expense over the life of the notes.</w:t>
      </w:r>
    </w:p>
    <w:p>
      <w:pPr>
        <w:spacing w:after="0" w:line="25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On October 15, 2020, we issued $625 million and on September 4, 2020 we issued $500 million of 2.625% U.S. dollar-denominated notes for a total aggregate principal of $1.13 billion that matures on September 4, 2050. We received proceeds of $1,093.8 million, net of discounts and associated financing costs. The proceeds were used to fund the October 2020 debt tender and general corporate purposes. We recorded approximately $31.2 million of discounts and deferred financing costs that will be amortized evenly into interest expense over the life of the notes.</w:t>
      </w:r>
    </w:p>
    <w:p>
      <w:pPr>
        <w:spacing w:after="0" w:line="20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On October 6, 2020, fr135 million (or $147 million) of our 0.625% Swiss franc-denominated notes matured. The notes and accrued interest to date were paid with cash on hand.</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On September 23, 2020, MIHN issued €1.25 billion of euro-denominated notes guaranteed by Mondelēz International, Inc. consisting of €500 million 0.000% notes that mature on September 23, 2026 and €750 million 0.375% notes that mature on September 23, 2029. We received proceeds of €1.24 billion (or $1.46 billion), net of discounts and associated financing costs. The proceeds were used for general corporate purposes, including repayment of the MIHN term loan. We recorded approximately € 11.6 million (or $13.7 million) of discounts and deferred financing costs that will be amortized evenly into interest expense over the life of the notes.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September 4, 2020, we issued $500 million of 1.500% U.S. dollar-denominated notes that mature on February 4, 2031. We received proceeds of $494.8 million, net of discounts and associated financing costs. The proceeds were used to repay outstanding commercial paper borrowings and for general corporate purposes. We recorded approximately $5.2 million of discounts and deferred financing costs that will be amortized evenly into interest expense over the life of the notes.</w:t>
      </w:r>
    </w:p>
    <w:p>
      <w:pPr>
        <w:spacing w:after="0" w:line="19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July 2, 2020, we issued $1.0 billion of 0.625% U.S. dollar-denominated notes that mature on July 1, 2022. We received proceeds of $998.1 million, net of discounts and associated financing costs. The proceeds were used to repay outstanding commercial paper borrowings and for general corporate purposes. We recorded approximately $1.9 million of discounts and deferred financing costs that will be amortized evenly into interest expense over the life of the notes.</w:t>
      </w:r>
    </w:p>
    <w:p>
      <w:pPr>
        <w:spacing w:after="0" w:line="196"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On May 7, 2020, $750 million of our 3.000% U.S. dollar-denominated notes matured. The notes and accrued interest to date were paid with the issuance of commercial paper and cash on hand.</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May 4, 2020, we issued $750 million of 1.500% U.S. dollar-denominated notes that mature on May 4, 2025. We received proceeds of $743.9 million, net of discounts and associated financing costs. The proceeds were used to repay amounts outstanding under our revolving credit agreement and commercial paper borrowings and for general corporate purposes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recorded approximately $6.1 million of discounts and deferred financing costs that will be amortized evenly into interest expense over the life of the notes.</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On April 13, 2020, we issued $500 million of 2.750% U.S. dollar-denominated notes that mature on April 13, 2030. On May 4, 2020, we issued an additional $ 750 million of notes bringing the aggregate principal issued and due on April 13, 2030 to $1.25 billion. We received proceeds of $1,283.9 million, net of premium and associated financing costs. The proceeds were used to repay amounts outstanding under our revolving credit agreement and commercial paper borrowings and for general corporate purposes. We recorded approximately $33.9 million of premium and deferred financing costs that will be amortized evenly into interest expense over the life of the notes.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April 13, 2020, we issued $500 million of 2.125% U.S. dollar-denominated notes that mature on April 13, 2023. We received proceeds of $497.8 million, net of discounts and associated financing costs. The proceeds were used to repay amounts outstanding under our revolving credit agreement. We recorded approximately $2.2 million of discounts and deferred financing costs that will be amortized evenly into interest expense over the life of the notes.</w:t>
      </w:r>
    </w:p>
    <w:p>
      <w:pPr>
        <w:spacing w:after="0" w:line="196"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On March 30, 2020, fr225 million (or $235 million) of our 0.050% Swiss franc-denominated notes matured. The notes and accrued interest to date were paid from the amounts drawn on our 364-day revolving credit facility, commercial paper and cash on hand.</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On February 10, 2020, $427 million of our 5.375% U.S. dollar-denominated notes matured. The notes and accrued interest to date were paid with the issuance of commercial paper and cash on hand.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 of our short-term borrowings at September 30, 2020 and December 31, 2019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September 30, 2020, the aggregate fair value of our total debt was $21,638 million and its carrying value was $20,114 million. At December 31, 2019, the aggregate fair value of our total debt was $19,388 million and its carrying value was $18,426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7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4"/>
                <w:szCs w:val="14"/>
                <w:color w:val="auto"/>
              </w:rPr>
            </w:pPr>
          </w:p>
        </w:tc>
      </w:tr>
      <w:tr>
        <w:trPr>
          <w:trHeight w:val="176"/>
        </w:trPr>
        <w:tc>
          <w:tcPr>
            <w:tcW w:w="45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Loss related to interest rate swaps</w:t>
            </w:r>
          </w:p>
        </w:tc>
        <w:tc>
          <w:tcPr>
            <w:tcW w:w="10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1"/>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and totaled $28 million and $92 million for the three and nine months ended September 30, 2020 and $34 million and $101 million for the three and nine months ended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As of September 30, 2020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2019</w:t>
            </w:r>
          </w:p>
        </w:tc>
      </w:tr>
      <w:tr>
        <w:trPr>
          <w:trHeight w:val="142"/>
        </w:trPr>
        <w:tc>
          <w:tcPr>
            <w:tcW w:w="4540" w:type="dxa"/>
            <w:vAlign w:val="bottom"/>
          </w:tcPr>
          <w:p>
            <w:pPr>
              <w:spacing w:after="0"/>
              <w:rPr>
                <w:sz w:val="12"/>
                <w:szCs w:val="12"/>
                <w:color w:val="auto"/>
              </w:rPr>
            </w:pPr>
          </w:p>
        </w:tc>
        <w:tc>
          <w:tcPr>
            <w:tcW w:w="12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5"/>
        </w:trPr>
        <w:tc>
          <w:tcPr>
            <w:tcW w:w="45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183"/>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220" w:hanging="332"/>
        <w:spacing w:after="0" w:line="258"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and commodity derivative contracts are economic hedges that are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As of September 30, 2020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Other Observable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80"/>
        <w:spacing w:after="0" w:line="29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right"/>
              <w:ind w:right="55"/>
              <w:spacing w:after="0" w:line="142" w:lineRule="exact"/>
              <w:rPr>
                <w:sz w:val="20"/>
                <w:szCs w:val="20"/>
                <w:color w:val="auto"/>
              </w:rPr>
            </w:pPr>
            <w:r>
              <w:rPr>
                <w:rFonts w:ascii="Arial" w:cs="Arial" w:eastAsia="Arial" w:hAnsi="Arial"/>
                <w:sz w:val="14"/>
                <w:szCs w:val="14"/>
                <w:b w:val="1"/>
                <w:bCs w:val="1"/>
                <w:color w:val="auto"/>
              </w:rPr>
              <w:t>As of September 30,</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2,206</w:t>
            </w:r>
          </w:p>
        </w:tc>
        <w:tc>
          <w:tcPr>
            <w:tcW w:w="4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30"/>
        </w:trPr>
        <w:tc>
          <w:tcPr>
            <w:tcW w:w="524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3"/>
        </w:trPr>
        <w:tc>
          <w:tcPr>
            <w:tcW w:w="524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504"/>
        </w:trPr>
        <w:tc>
          <w:tcPr>
            <w:tcW w:w="524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20" w:type="dxa"/>
            <w:vAlign w:val="bottom"/>
            <w:gridSpan w:val="9"/>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240" w:type="dxa"/>
            <w:vAlign w:val="bottom"/>
          </w:tcPr>
          <w:p>
            <w:pPr>
              <w:spacing w:after="0"/>
              <w:rPr>
                <w:sz w:val="23"/>
                <w:szCs w:val="23"/>
                <w:color w:val="auto"/>
              </w:rPr>
            </w:pPr>
          </w:p>
        </w:tc>
        <w:tc>
          <w:tcPr>
            <w:tcW w:w="24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52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(295)</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75"/>
        </w:trPr>
        <w:tc>
          <w:tcPr>
            <w:tcW w:w="5240" w:type="dxa"/>
            <w:vAlign w:val="bottom"/>
          </w:tcPr>
          <w:p>
            <w:pPr>
              <w:ind w:left="120"/>
              <w:spacing w:after="0" w:line="176" w:lineRule="exact"/>
              <w:rPr>
                <w:sz w:val="20"/>
                <w:szCs w:val="20"/>
                <w:color w:val="auto"/>
              </w:rPr>
            </w:pPr>
            <w:r>
              <w:rPr>
                <w:rFonts w:ascii="Arial" w:cs="Arial" w:eastAsia="Arial" w:hAnsi="Arial"/>
                <w:sz w:val="18"/>
                <w:szCs w:val="18"/>
                <w:color w:val="auto"/>
              </w:rPr>
              <w:t>Transfer of realized losses/(gains) in fair value</w:t>
            </w:r>
          </w:p>
        </w:tc>
        <w:tc>
          <w:tcPr>
            <w:tcW w:w="9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vMerge w:val="restart"/>
          </w:tcPr>
          <w:p>
            <w:pPr>
              <w:ind w:lef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to earnings</w:t>
            </w:r>
          </w:p>
        </w:tc>
        <w:tc>
          <w:tcPr>
            <w:tcW w:w="9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(loss)/gain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0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182"/>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2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315"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Within interest and other expense, net, we recognized losses related to forward-starting interest rate swaps of $79 million ($103 million pre-tax) within the first quarter of 2020 and $111 million for the three and nine months ended September 30, 2019 due to the changes in related forecasted debt.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 exchange contracts –</w:t>
            </w:r>
          </w:p>
        </w:tc>
        <w:tc>
          <w:tcPr>
            <w:tcW w:w="94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transactions</w:t>
            </w:r>
          </w:p>
        </w:tc>
        <w:tc>
          <w:tcPr>
            <w:tcW w:w="94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9"/>
              </w:rPr>
              <w:t>(69)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(75)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(69)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ectPr>
          <w:pgSz w:w="11900" w:h="16838" w:orient="portrait"/>
          <w:cols w:equalWidth="0" w:num="1">
            <w:col w:w="11240"/>
          </w:cols>
          <w:pgMar w:left="320" w:top="360"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190"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Based on current market conditions, we would expect to transfer losses of $20 million (net of taxes) for interest rate cash flow hedges to earnings during the next 12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As of September 30, 2020, our longest dated cash flow hedges were interest rate swaps that hedge forecasted interest rate payments over the next 4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The aggregate notional value as of September 30, 2020 was $6.2 billion. The impacts of the net investment hedge derivative contracts on other comprehensive earnings and net earnings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(223)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bl>
    <w:p>
      <w:pPr>
        <w:spacing w:after="0" w:line="311" w:lineRule="exact"/>
        <w:rPr>
          <w:sz w:val="20"/>
          <w:szCs w:val="20"/>
          <w:color w:val="auto"/>
        </w:rPr>
      </w:pPr>
    </w:p>
    <w:p>
      <w:pPr>
        <w:ind w:left="340" w:right="120" w:hanging="332"/>
        <w:spacing w:after="0" w:line="29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3"/>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w:t>
            </w:r>
          </w:p>
        </w:tc>
        <w:tc>
          <w:tcPr>
            <w:tcW w:w="940" w:type="dxa"/>
            <w:vAlign w:val="bottom"/>
            <w:vMerge w:val="restart"/>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c>
          <w:tcPr>
            <w:tcW w:w="1080" w:type="dxa"/>
            <w:vAlign w:val="bottom"/>
            <w:vMerge w:val="restart"/>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c>
          <w:tcPr>
            <w:tcW w:w="1040" w:type="dxa"/>
            <w:vAlign w:val="bottom"/>
            <w:vMerge w:val="restart"/>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9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3"/>
          </w:tcPr>
          <w:p>
            <w:pPr>
              <w:jc w:val="center"/>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4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855"/>
        </w:trPr>
        <w:tc>
          <w:tcPr>
            <w:tcW w:w="5240" w:type="dxa"/>
            <w:vAlign w:val="bottom"/>
          </w:tcPr>
          <w:p>
            <w:pPr>
              <w:spacing w:after="0"/>
              <w:rPr>
                <w:sz w:val="24"/>
                <w:szCs w:val="24"/>
                <w:color w:val="auto"/>
              </w:rPr>
            </w:pPr>
          </w:p>
        </w:tc>
        <w:tc>
          <w:tcPr>
            <w:tcW w:w="920" w:type="dxa"/>
            <w:vAlign w:val="bottom"/>
          </w:tcPr>
          <w:p>
            <w:pPr>
              <w:jc w:val="right"/>
              <w:ind w:right="359"/>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5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8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20"/>
              <w:spacing w:after="0"/>
              <w:rPr>
                <w:sz w:val="20"/>
                <w:szCs w:val="20"/>
                <w:color w:val="auto"/>
              </w:rPr>
            </w:pPr>
            <w:r>
              <w:rPr>
                <w:rFonts w:ascii="Arial" w:cs="Arial" w:eastAsia="Arial" w:hAnsi="Arial"/>
                <w:sz w:val="18"/>
                <w:szCs w:val="18"/>
                <w:color w:val="auto"/>
              </w:rPr>
              <w:t>Intercompany loans and</w:t>
            </w:r>
          </w:p>
        </w:tc>
        <w:tc>
          <w:tcPr>
            <w:tcW w:w="900" w:type="dxa"/>
            <w:vAlign w:val="bottom"/>
            <w:vMerge w:val="restart"/>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440" w:type="dxa"/>
            <w:vAlign w:val="bottom"/>
            <w:gridSpan w:val="2"/>
            <w:vMerge w:val="restart"/>
          </w:tcPr>
          <w:p>
            <w:pPr>
              <w:jc w:val="right"/>
              <w:ind w:right="1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6"/>
        </w:trPr>
        <w:tc>
          <w:tcPr>
            <w:tcW w:w="3280" w:type="dxa"/>
            <w:vAlign w:val="bottom"/>
          </w:tcPr>
          <w:p>
            <w:pPr>
              <w:ind w:left="380"/>
              <w:spacing w:after="0" w:line="176" w:lineRule="exact"/>
              <w:rPr>
                <w:sz w:val="20"/>
                <w:szCs w:val="20"/>
                <w:color w:val="auto"/>
              </w:rPr>
            </w:pPr>
            <w:r>
              <w:rPr>
                <w:rFonts w:ascii="Arial" w:cs="Arial" w:eastAsia="Arial" w:hAnsi="Arial"/>
                <w:sz w:val="18"/>
                <w:szCs w:val="18"/>
                <w:color w:val="auto"/>
              </w:rPr>
              <w:t>forecasted interest payments</w:t>
            </w:r>
          </w:p>
        </w:tc>
        <w:tc>
          <w:tcPr>
            <w:tcW w:w="9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net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9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2"/>
                <w:szCs w:val="12"/>
                <w:color w:val="auto"/>
              </w:rPr>
            </w:pPr>
          </w:p>
        </w:tc>
        <w:tc>
          <w:tcPr>
            <w:tcW w:w="1980" w:type="dxa"/>
            <w:vAlign w:val="bottom"/>
            <w:gridSpan w:val="5"/>
          </w:tcPr>
          <w:p>
            <w:pPr>
              <w:jc w:val="center"/>
              <w:spacing w:after="0" w:line="149"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5"/>
        </w:trPr>
        <w:tc>
          <w:tcPr>
            <w:tcW w:w="32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net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2"/>
                <w:szCs w:val="12"/>
                <w:color w:val="auto"/>
              </w:rPr>
            </w:pPr>
          </w:p>
        </w:tc>
        <w:tc>
          <w:tcPr>
            <w:tcW w:w="198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76"/>
        </w:trPr>
        <w:tc>
          <w:tcPr>
            <w:tcW w:w="328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gridSpan w:val="5"/>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contracts</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Cost of sales</w:t>
            </w:r>
          </w:p>
        </w:tc>
        <w:tc>
          <w:tcPr>
            <w:tcW w:w="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Benefit Plans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Net periodic pension cost consisted of the following:</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rPr>
              <w:t>U.S. Plans</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361"/>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6"/>
          </w:tcPr>
          <w:p>
            <w:pPr>
              <w:jc w:val="center"/>
              <w:ind w:left="237"/>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361"/>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Net loss from experience differences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8"/>
              </w:rPr>
              <w:t xml:space="preserve">Settlement losses and other expenses </w:t>
            </w:r>
            <w:r>
              <w:rPr>
                <w:rFonts w:ascii="Arial" w:cs="Arial" w:eastAsia="Arial" w:hAnsi="Arial"/>
                <w:sz w:val="23"/>
                <w:szCs w:val="23"/>
                <w:color w:val="auto"/>
                <w:w w:val="98"/>
                <w:vertAlign w:val="superscript"/>
              </w:rPr>
              <w:t>(1)</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rPr>
              <w:t>U.S. Plans</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361"/>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6"/>
          </w:tcPr>
          <w:p>
            <w:pPr>
              <w:jc w:val="center"/>
              <w:ind w:left="237"/>
              <w:spacing w:after="0" w:line="142" w:lineRule="exact"/>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361"/>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340"/>
              <w:spacing w:after="0"/>
              <w:rPr>
                <w:sz w:val="20"/>
                <w:szCs w:val="20"/>
                <w:color w:val="auto"/>
              </w:rPr>
            </w:pPr>
            <w:r>
              <w:rPr>
                <w:rFonts w:ascii="Arial" w:cs="Arial" w:eastAsia="Arial" w:hAnsi="Arial"/>
                <w:sz w:val="18"/>
                <w:szCs w:val="18"/>
                <w:color w:val="auto"/>
                <w:w w:val="99"/>
              </w:rPr>
              <w:t>Net loss from experience differences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Prior service cost/(credit)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8"/>
              </w:rPr>
              <w:t xml:space="preserve">Settlement losses and other expenses </w:t>
            </w:r>
            <w:r>
              <w:rPr>
                <w:rFonts w:ascii="Arial" w:cs="Arial" w:eastAsia="Arial" w:hAnsi="Arial"/>
                <w:sz w:val="23"/>
                <w:szCs w:val="23"/>
                <w:color w:val="auto"/>
                <w:w w:val="98"/>
                <w:vertAlign w:val="superscript"/>
              </w:rPr>
              <w:t>(1)</w:t>
            </w: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340" w:right="160" w:hanging="332"/>
        <w:spacing w:after="0" w:line="266"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connection with our Simplify to Grow Program, settlement losses and other expenses were less than $1 million for the three months and $4 million for the nine months ended September 30, 2020 and $2 million for the three months and $7 million for the nine months ended September 30, 2019. These losses were recorded within benefit plan non-service income on our condensed consolidated statements of earnings.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During the nine months ended September 30, 2020, we contributed $12 million to our U.S. pension plans and $147 million to our non-U.S. pension plans, including $70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September 30, 2020, over the remainder of 2020, we plan to make further contributions of approximately $4 million to our U.S. plans and approximately $43 million to our non-U.S. plans. Our actual contributions may be different due to many factors, including changes in tax and other benefit laws, significant differences between expected and actual pension asset performance or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Within selling, general and administrative expenses, we recorded a $35 million ($ 26 million net of tax) adjustment in the three months ended June 30, 2019 related to the discounted withdrawal liability. We recorded accreted interest of $3 million and $9 million for the three and nine months ended September 30, 2020 and an immaterial amount for the three and nine months ended September 30, 2019 on the long-term liability within interest and other expense, net. As of September 30, 2020, the remaining discounted withdrawal liability was $379 million, with $14 million recorded in other current liabilities and $365 million recorded in long-term other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4"/>
          </w:tcPr>
          <w:p>
            <w:pPr>
              <w:jc w:val="center"/>
              <w:ind w:left="344"/>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40"/>
              <w:spacing w:after="0"/>
              <w:rPr>
                <w:sz w:val="20"/>
                <w:szCs w:val="20"/>
                <w:color w:val="auto"/>
              </w:rPr>
            </w:pPr>
            <w:r>
              <w:rPr>
                <w:rFonts w:ascii="Arial" w:cs="Arial" w:eastAsia="Arial" w:hAnsi="Arial"/>
                <w:sz w:val="18"/>
                <w:szCs w:val="18"/>
                <w:color w:val="auto"/>
              </w:rPr>
              <w:t>Net loss from experience differences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Prior service credit</w:t>
            </w: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benefit</w:t>
            </w:r>
          </w:p>
        </w:tc>
        <w:tc>
          <w:tcPr>
            <w:tcW w:w="940" w:type="dxa"/>
            <w:vAlign w:val="bottom"/>
            <w:tcBorders>
              <w:bottom w:val="single" w:sz="8" w:color="auto"/>
            </w:tcBorders>
            <w:gridSpan w:val="2"/>
          </w:tcPr>
          <w:p>
            <w:pPr>
              <w:jc w:val="right"/>
              <w:ind w:right="74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240" w:type="dxa"/>
            <w:vAlign w:val="bottom"/>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jc w:val="center"/>
              <w:ind w:left="344"/>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0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3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periodic postemployment cost</w:t>
            </w:r>
          </w:p>
        </w:tc>
        <w:tc>
          <w:tcPr>
            <w:tcW w:w="20" w:type="dxa"/>
            <w:vAlign w:val="bottom"/>
          </w:tcPr>
          <w:p>
            <w:pPr>
              <w:spacing w:after="0"/>
              <w:rPr>
                <w:sz w:val="19"/>
                <w:szCs w:val="19"/>
                <w:color w:val="auto"/>
              </w:rPr>
            </w:pPr>
          </w:p>
        </w:tc>
        <w:tc>
          <w:tcPr>
            <w:tcW w:w="920" w:type="dxa"/>
            <w:vAlign w:val="bottom"/>
            <w:tcBorders>
              <w:bottom w:val="single" w:sz="8" w:color="auto"/>
            </w:tcBorders>
          </w:tcPr>
          <w:p>
            <w:pPr>
              <w:jc w:val="right"/>
              <w:ind w:right="72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5240" w:type="dxa"/>
            <w:vAlign w:val="bottom"/>
          </w:tcPr>
          <w:p>
            <w:pPr>
              <w:spacing w:after="0"/>
              <w:rPr>
                <w:sz w:val="24"/>
                <w:szCs w:val="24"/>
                <w:color w:val="auto"/>
              </w:rPr>
            </w:pPr>
          </w:p>
        </w:tc>
        <w:tc>
          <w:tcPr>
            <w:tcW w:w="940" w:type="dxa"/>
            <w:vAlign w:val="bottom"/>
            <w:gridSpan w:val="2"/>
          </w:tcPr>
          <w:p>
            <w:pPr>
              <w:jc w:val="right"/>
              <w:ind w:right="384"/>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1"/>
                <w:szCs w:val="11"/>
                <w:color w:val="auto"/>
              </w:rPr>
            </w:pPr>
          </w:p>
        </w:tc>
        <w:tc>
          <w:tcPr>
            <w:tcW w:w="980" w:type="dxa"/>
            <w:vAlign w:val="bottom"/>
          </w:tcPr>
          <w:p>
            <w:pPr>
              <w:jc w:val="center"/>
              <w:ind w:left="99"/>
              <w:spacing w:after="0" w:line="135"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33,855,948</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2"/>
            <w:vMerge w:val="restart"/>
          </w:tcPr>
          <w:p>
            <w:pPr>
              <w:jc w:val="center"/>
              <w:ind w:left="10"/>
              <w:spacing w:after="0"/>
              <w:rPr>
                <w:sz w:val="20"/>
                <w:szCs w:val="20"/>
                <w:color w:val="auto"/>
              </w:rPr>
            </w:pPr>
            <w:r>
              <w:rPr>
                <w:rFonts w:ascii="Arial" w:cs="Arial" w:eastAsia="Arial" w:hAnsi="Arial"/>
                <w:sz w:val="18"/>
                <w:szCs w:val="18"/>
                <w:color w:val="auto"/>
              </w:rPr>
              <w:t>59.04</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2,280,440</w:t>
            </w:r>
          </w:p>
        </w:tc>
        <w:tc>
          <w:tcPr>
            <w:tcW w:w="1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131,970</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49.23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60"/>
              <w:spacing w:after="0"/>
              <w:rPr>
                <w:sz w:val="20"/>
                <w:szCs w:val="20"/>
                <w:color w:val="auto"/>
              </w:rPr>
            </w:pPr>
            <w:r>
              <w:rPr>
                <w:rFonts w:ascii="Arial" w:cs="Arial" w:eastAsia="Arial" w:hAnsi="Arial"/>
                <w:sz w:val="18"/>
                <w:szCs w:val="18"/>
                <w:color w:val="auto"/>
              </w:rPr>
              <w:t>Total options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2,412,410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(6,737,525)</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(558,246)</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44.10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28,972,587</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39.16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40" w:right="100" w:hanging="332"/>
        <w:spacing w:after="0" w:line="26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received from options exercised was $59 million in the three months and $201 million in the nine months ended September 30, 2020. The actual tax benefit realized and recorded in the provision for income taxes for the tax deductions from the option exercises totaled $5 million in the three months and $23 million in the nine months ended September 30,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35" w:lineRule="exact"/>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ind w:left="241"/>
              <w:spacing w:after="0" w:line="135" w:lineRule="exact"/>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jc w:val="right"/>
              <w:ind w:right="184"/>
              <w:spacing w:after="0"/>
              <w:rPr>
                <w:sz w:val="20"/>
                <w:szCs w:val="20"/>
                <w:color w:val="auto"/>
              </w:rPr>
            </w:pPr>
            <w:r>
              <w:rPr>
                <w:rFonts w:ascii="Arial" w:cs="Arial" w:eastAsia="Arial" w:hAnsi="Arial"/>
                <w:sz w:val="9"/>
                <w:szCs w:val="9"/>
                <w:b w:val="1"/>
                <w:bCs w:val="1"/>
                <w:color w:val="auto"/>
                <w:w w:val="90"/>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left="241"/>
              <w:spacing w:after="0" w:line="176" w:lineRule="exact"/>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8"/>
                <w:szCs w:val="18"/>
                <w:b w:val="1"/>
                <w:bCs w:val="1"/>
                <w:color w:val="auto"/>
                <w:w w:val="95"/>
                <w:vertAlign w:val="superscript"/>
              </w:rPr>
              <w:t>(3)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8"/>
              </w:rPr>
              <w:t>$46.90</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6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8"/>
                <w:szCs w:val="18"/>
                <w:color w:val="auto"/>
                <w:w w:val="98"/>
              </w:rPr>
              <w:t>Feb. 20, 2020</w:t>
            </w: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65.83</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6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545,550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315"/>
              <w:spacing w:after="0"/>
              <w:rPr>
                <w:sz w:val="20"/>
                <w:szCs w:val="20"/>
                <w:color w:val="auto"/>
              </w:rPr>
            </w:pPr>
            <w:r>
              <w:rPr>
                <w:rFonts w:ascii="Arial" w:cs="Arial" w:eastAsia="Arial" w:hAnsi="Arial"/>
                <w:sz w:val="18"/>
                <w:szCs w:val="18"/>
                <w:color w:val="auto"/>
              </w:rPr>
              <w:t>59.04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371,761</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98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56.82</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46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1,742,541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315"/>
              <w:spacing w:after="0"/>
              <w:rPr>
                <w:sz w:val="20"/>
                <w:szCs w:val="20"/>
                <w:color w:val="auto"/>
              </w:rPr>
            </w:pPr>
            <w:r>
              <w:rPr>
                <w:rFonts w:ascii="Arial" w:cs="Arial" w:eastAsia="Arial" w:hAnsi="Arial"/>
                <w:sz w:val="18"/>
                <w:szCs w:val="18"/>
                <w:color w:val="auto"/>
              </w:rPr>
              <w:t>61.78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108</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43.04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(422,229)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center"/>
              <w:ind w:left="315"/>
              <w:spacing w:after="0"/>
              <w:rPr>
                <w:sz w:val="20"/>
                <w:szCs w:val="20"/>
                <w:color w:val="auto"/>
              </w:rPr>
            </w:pPr>
            <w:r>
              <w:rPr>
                <w:rFonts w:ascii="Arial" w:cs="Arial" w:eastAsia="Arial" w:hAnsi="Arial"/>
                <w:sz w:val="18"/>
                <w:szCs w:val="18"/>
                <w:color w:val="auto"/>
              </w:rPr>
              <w:t>47.33</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5,263,892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rPr>
              <w:t>53.05</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9" w:lineRule="exact"/>
        <w:rPr>
          <w:rFonts w:ascii="Arial" w:cs="Arial" w:eastAsia="Arial" w:hAnsi="Arial"/>
          <w:sz w:val="14"/>
          <w:szCs w:val="14"/>
          <w:color w:val="auto"/>
        </w:rPr>
      </w:pPr>
    </w:p>
    <w:p>
      <w:pPr>
        <w:ind w:left="340" w:right="240" w:hanging="332"/>
        <w:spacing w:after="0" w:line="24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less than $1 million in the three months and $3 million in the nine months ended September 30, 2020.</w:t>
      </w:r>
    </w:p>
    <w:p>
      <w:pPr>
        <w:ind w:left="340" w:hanging="332"/>
        <w:spacing w:after="0" w:line="24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2020, we had repurchased $16.5 billion of Common Stock pursuant to this authorization. During the nine months ended September 30, 2020, we repurchased approximately 12.9 million shares of Common Stock at an average cost of $54.25 per share, or an aggregate cost of approximately $0.7 billion, all of which was paid during the period. All share repurchases were funded through available cash and commercial paper issuances. As of September 30, 2020, we have $2.5 billion in remaining share repurchase capacity.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0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ind w:right="20" w:firstLine="8"/>
        <w:spacing w:after="0" w:line="251"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w:t>
      </w:r>
      <w:r>
        <w:rPr>
          <w:rFonts w:ascii="Arial" w:cs="Arial" w:eastAsia="Arial" w:hAnsi="Arial"/>
          <w:sz w:val="18"/>
          <w:szCs w:val="18"/>
          <w:color w:val="212529"/>
        </w:rPr>
        <w:t>but indicated that it would rule on pending motions in due course</w:t>
      </w:r>
      <w:r>
        <w:rPr>
          <w:rFonts w:ascii="Arial" w:cs="Arial" w:eastAsia="Arial" w:hAnsi="Arial"/>
          <w:sz w:val="18"/>
          <w:szCs w:val="18"/>
          <w:color w:val="auto"/>
        </w:rPr>
        <w: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District Court. On January 3, 2020, the District Court granted plantiffs'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We are cooperating with the investigation and expect to engage further with the European Commission as their investigation proceeds. It is not possible to predict how long the investigation will take or the ultimate outcome of this matter.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September 30, 2020, we had no material third-party guarantees recorded on our condensed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59"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$86 million in the third quarter of 2020 and $143 million in the third quarter of 2019 and $252 million in the first nine months of 2020 and $231 million in the first nine months of 2019.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(9,609)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(8,430)</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(8,622)</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Reclassification to earnings related to:</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Equity method investment transactions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 (expense)/benefit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8"/>
        </w:trPr>
        <w:tc>
          <w:tcPr>
            <w:tcW w:w="5180" w:type="dxa"/>
            <w:vAlign w:val="bottom"/>
          </w:tcPr>
          <w:p>
            <w:pPr>
              <w:ind w:left="120"/>
              <w:spacing w:after="0" w:line="149" w:lineRule="exact"/>
              <w:rPr>
                <w:sz w:val="20"/>
                <w:szCs w:val="20"/>
                <w:color w:val="auto"/>
              </w:rPr>
            </w:pPr>
            <w:r>
              <w:rPr>
                <w:rFonts w:ascii="Arial" w:cs="Arial" w:eastAsia="Arial" w:hAnsi="Arial"/>
                <w:sz w:val="14"/>
                <w:szCs w:val="14"/>
                <w:color w:val="auto"/>
              </w:rPr>
              <w:t>Less: other comprehensive (earnings)/loss attributable to</w:t>
            </w:r>
          </w:p>
        </w:tc>
        <w:tc>
          <w:tcPr>
            <w:tcW w:w="3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Amortization of experience losses</w:t>
            </w:r>
          </w:p>
        </w:tc>
        <w:tc>
          <w:tcPr>
            <w:tcW w:w="3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460"/>
              <w:spacing w:after="0" w:line="176" w:lineRule="exact"/>
              <w:rPr>
                <w:sz w:val="20"/>
                <w:szCs w:val="20"/>
                <w:color w:val="auto"/>
              </w:rPr>
            </w:pPr>
            <w:r>
              <w:rPr>
                <w:rFonts w:ascii="Arial" w:cs="Arial" w:eastAsia="Arial" w:hAnsi="Arial"/>
                <w:sz w:val="14"/>
                <w:szCs w:val="14"/>
                <w:color w:val="auto"/>
              </w:rPr>
              <w:t xml:space="preserve">and prior service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8"/>
                <w:szCs w:val="18"/>
                <w:color w:val="auto"/>
                <w:vertAlign w:val="superscript"/>
              </w:rPr>
              <w:t>(1)</w:t>
            </w:r>
          </w:p>
        </w:tc>
        <w:tc>
          <w:tcPr>
            <w:tcW w:w="3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3"/>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derivative gains/(losses)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(1) (4)</w:t>
            </w:r>
          </w:p>
        </w:tc>
        <w:tc>
          <w:tcPr>
            <w:tcW w:w="3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29"/>
        </w:trPr>
        <w:tc>
          <w:tcPr>
            <w:tcW w:w="51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 Mondelēz International:</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(11,419)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(10,524)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(10,254)</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(10,644)</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5180" w:type="dxa"/>
            <w:vAlign w:val="bottom"/>
          </w:tcPr>
          <w:p>
            <w:pPr>
              <w:ind w:left="120"/>
              <w:spacing w:after="0" w:line="149" w:lineRule="exact"/>
              <w:rPr>
                <w:sz w:val="20"/>
                <w:szCs w:val="20"/>
                <w:color w:val="auto"/>
              </w:rPr>
            </w:pPr>
            <w:r>
              <w:rPr>
                <w:rFonts w:ascii="Arial" w:cs="Arial" w:eastAsia="Arial" w:hAnsi="Arial"/>
                <w:sz w:val="14"/>
                <w:szCs w:val="14"/>
                <w:color w:val="auto"/>
              </w:rPr>
              <w:t>Less: other comprehensive (earnings)/loss attributable to</w:t>
            </w:r>
          </w:p>
        </w:tc>
        <w:tc>
          <w:tcPr>
            <w:tcW w:w="3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18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rPr>
              <w:t>Other comprehensive earnings/(losses) attributable to</w:t>
            </w:r>
          </w:p>
        </w:tc>
        <w:tc>
          <w:tcPr>
            <w:tcW w:w="3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Mondelēz International</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12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(11,255)</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(10,737)</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(11,255)</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These amounts include equity method investment transactions recorded within gain/(loss) on equity method investment transactions.</w:t>
      </w:r>
    </w:p>
    <w:p>
      <w:pPr>
        <w:spacing w:after="0" w:line="15" w:lineRule="exact"/>
        <w:rPr>
          <w:rFonts w:ascii="Arial" w:cs="Arial" w:eastAsia="Arial" w:hAnsi="Arial"/>
          <w:sz w:val="13"/>
          <w:szCs w:val="13"/>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These reclassified losses are included in net periodic benefit costs disclosed in Note 10, </w:t>
      </w:r>
      <w:r>
        <w:rPr>
          <w:rFonts w:ascii="Arial" w:cs="Arial" w:eastAsia="Arial" w:hAnsi="Arial"/>
          <w:sz w:val="13"/>
          <w:szCs w:val="13"/>
          <w:i w:val="1"/>
          <w:iCs w:val="1"/>
          <w:color w:val="auto"/>
        </w:rPr>
        <w:t>Benefit Plans</w:t>
      </w:r>
      <w:r>
        <w:rPr>
          <w:rFonts w:ascii="Arial" w:cs="Arial" w:eastAsia="Arial" w:hAnsi="Arial"/>
          <w:sz w:val="13"/>
          <w:szCs w:val="13"/>
          <w:color w:val="auto"/>
        </w:rPr>
        <w:t>.</w:t>
      </w: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Taxes reclassified to earnings are recorded within the provision for income taxes.</w:t>
      </w: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These reclassified gains or losses are recorded within interest and other expense, net..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the third quarter of 2020, our estimated annual effective tax rate, which excludes discrete tax impacts, was 27.3%.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2020 third quarter effective tax rate of 36.1% was high due to a $77 million tax expense incurred in connection with two KDP share sales that occurred during the third quarter (the related gains are reported separately in our statement of earnings and thus not included in earnings before income taxes). Excluding this impact, our third quarter effective tax rate was 29.0%, reflecting a discrete net tax expense of $22 million. The discrete net tax expense primarily consisted of a $30 million net expense from the increase of our U.K. deferred tax liabilities resulting from tax legislation enacted during the third quarter that increased the corporate income tax rate in the United Kingdom, partially offset by a $7 million net benefit from the release of liabilities for uncertain tax positions due to expirations of statutes of limitations and audit settlements in several jurisdictions. Our effective tax rate for the nine months ended September 30, 2020 of 36.0% was also high due to the $355 million net tax expense incurred in connection with the JDE Peet's transaction and three KDP share sales (one in the first quarter and two in the third quarter) that occurred during 2020. Excluding these impacts, our effective tax rate for the nine months ended September 30, 2020 was 21.5%, which was favorably impacted by discrete net tax benefits of $ 96 million, primarily driven by the $70 million net benefit from the release of the China valuation allowance and a $31 million net benefit from the release of liabilities for uncertain tax positions due to expirations of statutes of limitations and audit settlements in several jurisdictions.</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Federal/Cantonal events, it is our position that enactment of Swiss tax reform for U.S. GAAP purposes was met as of September 30, 2019, and we recorded the impacts in the third quarter 2019. The net impact was a benefit of $767 million, which consisted of a $769 million reduction in deferred tax expense from an allowed step-up of intangible assets for tax purposes (recorded net of valuation allowance) and remeasurement of our deferred tax balances, partially offset by a $2 million indirect tax impact in selling, general and administrative expenses. The future rate impacts of these Swiss tax reform law changes were effective starting January 1, 2020.</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the third quarter of 2019, our estimated annual effective tax rate, which excluded discrete tax impacts, was 25.4%.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2019 third quarter effective tax rate of (92.5)% was significantly impacted by the $ 769 million net deferred tax benefit related to Swiss tax reform. Excluding this impact, our third quarter effective tax rate was 20.0%, reflecting a discrete net tax benefit of $39 million. The discrete net tax benefit primarily consisted of a $17 million net benefit from the release of uncertain tax positions due to the expirations of statutes of limitations and audit settlements in several jurisdictions and a $12 million net benefit related to the release of valuation allowances in non-U.S. jurisdictions. Our effective tax rate for the nine months ended September 30, 2019 of (8.8)% was also impacted by the $ 769 million net deferred tax benefit related to Swiss tax reform. Excluding this impact, our effective tax rate for the nine months was 20.9%, which reflects discrete net tax benefits of $110 million. The discrete net tax benefits were primarily driven by a $101 million net benefit from the release of liabilities for uncertain tax positions due to expirations of statutes of limitations and audit settlements in several jurisdictions.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6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per share data)</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528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earnings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1,119</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1,432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1,445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1,432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8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0"/>
                <w:szCs w:val="10"/>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8"/>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2.8 million in the third quarter of 2020 and 2.8 million in the third quarter of 2019 and 3.6 million in the first nine months of 2020 and 4.8 million in the first nine months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320" w:hanging="1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8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2,526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9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Net gain on divestiture</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Acquisition-related costs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1,135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September 30, 2020</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September 30, 2019</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Nine Months Ended September 30,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Nine Months Ended September 30, 2019</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9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5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19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have been actively monitoring the outbreak of COVID -19 and its impact globally. Our highest priorities continue to be the safety of our employees and working with our employees and network of suppliers and customers to help maintain the global food supply chain.</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first nine months of 2020, we experienced a significant increase in demand and revenue growth as consumers increased their food purchases for in-home consumption. Results were particularly strong in modern trade (such as large grocery supermarkets and retail chains) and e-commerce, and especially for categories such as biscuits. Other parts of our business were negatively affected by mandated lockdowns and other related restrictions including some of our emerging markets with a greater concentration of traditional trade (such as small family-run stores) as well as our world travel retail (such as international duty-free stores) and foodservice businesses. During the second quarter especially, lockdowns and other related measures or restrictions had a negative impact on emerging markets with a greater concentration of traditional trade due to store closures (particularly in our Latin America region as well as parts of our AMEA region) as well as in categories like gum and candy, which are more traditionally purchased and consumed out of home. In the third quarter, demand grew in both developed and emerging markets as the negative impacts of COVID-19 during the second quarter subsided and a number of our key markets returned to higher growth. A sharp reduction in global travel continues to negatively impact our world travel retail business, and lower out-of-home consumption continues to negatively impact our foodservice business as well as sales of our gum and candy products. During the first nine months of 2020, we also experienced temporary disruptions in operations in some of our emerging markets that were not material to our consolidated results. We discuss these and other impacts of COVID-19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are working remotely whenever possible. For employees who are unable to work remotely, we have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At a local level, we have also provided additional flexibility and support to employees in our manufacturing facilities, distribution and logistics operations and sales organization.</w:t>
      </w:r>
    </w:p>
    <w:p>
      <w:pPr>
        <w:spacing w:after="0" w:line="2"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been hiring frontline employees in the U.S. and other locations to meet additional marketplace demand and promote uninterrupted functioning of our manufacturing, distribution and sales network.</w:t>
      </w:r>
    </w:p>
    <w:p>
      <w:pPr>
        <w:ind w:left="660" w:right="12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increased our $15 million global commitment to assist those most impacted by COVID-19 to nearly $27 million to date. We have been supporting local and global organizations that are responding to food instability and providing emergency relief.</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is to maintain the availability of our products to meet the needs of our consumers. In response to increased demand, we have increased production and, to date, we have not experienced material disruptions in our supply chain or operations:</w:t>
      </w:r>
    </w:p>
    <w:p>
      <w:pPr>
        <w:spacing w:after="0" w:line="1" w:lineRule="exact"/>
        <w:rPr>
          <w:sz w:val="20"/>
          <w:szCs w:val="20"/>
          <w:color w:val="auto"/>
        </w:rPr>
      </w:pPr>
    </w:p>
    <w:p>
      <w:pPr>
        <w:ind w:left="660" w:right="1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were able to leverage learnings from our timely response to the initial outbreak in China, and we put in place procedures across our supply chain to help mitigate the risk that our manufacturing sites will experience material closures or disruptions.</w:t>
      </w:r>
    </w:p>
    <w:p>
      <w:pPr>
        <w:ind w:left="660" w:right="4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been able to continue to source raw ingredients, packaging, energy and transportation and deliver our products to our customers.</w:t>
      </w:r>
    </w:p>
    <w:p>
      <w:pPr>
        <w:ind w:left="660" w:right="3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not experienced material disruptions in our workforce; however, mandatory and voluntary stay-at-home restrictions have resulted in increased levels of absenteeism.</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Commodity costs have become more volatile due to the COVID-19 outbreak. Although we monitor our exposure to commodity prices and hedge against input price increases, we cannot fully hedge against changes in commodity costs, and our hedging strategies may not protect us from increases in specific raw material costs. We anticipate continued commodity cost volatility as the pandemic continues.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experienced temporary disruptions in operations in some of our emerging markets. The disruptions were not material to our consolidated results for the first nine months of 2020. In the future, the ongoing COVID-19 outbreak could disrupt our global supply chain, operations and routes to market or those of our suppliers, their suppliers, or our co-manufacturers or distributors. These disruptions or our failure to effectively respond to them could increase product or distribution costs, prices and potentially affect the availability of our products.</w:t>
      </w:r>
    </w:p>
    <w:p>
      <w:pPr>
        <w:spacing w:after="0" w:line="1" w:lineRule="exact"/>
        <w:rPr>
          <w:rFonts w:ascii="Arial" w:cs="Arial" w:eastAsia="Arial" w:hAnsi="Arial"/>
          <w:sz w:val="18"/>
          <w:szCs w:val="18"/>
          <w:color w:val="auto"/>
        </w:rPr>
      </w:pPr>
    </w:p>
    <w:p>
      <w:pPr>
        <w:ind w:left="660" w:right="380" w:hanging="328"/>
        <w:spacing w:after="0" w:line="265"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net revenue and net earnings in U.S. dollars for the nine months ended September 30, 2020 were negatively affected by currency translation losses from a generally stronger U.S. dollar relative to other currencies in the countries in which we operate.</w:t>
      </w:r>
    </w:p>
    <w:p>
      <w:pPr>
        <w:ind w:left="660" w:right="20" w:hanging="328"/>
        <w:spacing w:after="0" w:line="25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second quarter of 2020, we incurred higher operating costs primarily for labor, customer service and logistics, security, personal protective equipment and cleaning. In the third quarter of 2020, our spending in these areas was significantly less but still above pre-COVID levels. We continued to incur higher costs in these areas in response to the ongoing pandemic as we worked to protect our employees and deliver our products timely and safely to our customers. Most other aspects of our global supply chain and operations did not change materially during the first nine months of 2020. While we have not had material disruptions to date, we do not know whether or how our supply chain or operations may be negatively affected if the pandemic persists for an extended period or worsens. As we respond to this evolving situation, we intend to continue to execute on our strategic operating plans. However, disruptions, higher operating costs or uncertainties like those noted above could result in delays or modifications to our plans and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over the last several years and months have strengthened our ability to operate through current conditions:</w:t>
      </w:r>
    </w:p>
    <w:p>
      <w:pPr>
        <w:spacing w:after="0" w:line="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2019, we generated $4.0 billion of cash from operations, or $3.0 billion after deducting capital expenditures.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first nine months of 2020, we generated $2.3 billion of cash from operations, or $1.7 billion after capital expenditures. Also, as of September 30, 2020, we had $2.8 billion of cash and cash equivalents on hand.</w:t>
      </w:r>
    </w:p>
    <w:p>
      <w:pPr>
        <w:ind w:left="660" w:right="3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During the first nine months of 2020, we also received cash of €350 million ($394 million) from our participation in the JDE Peet's public share offerings, $185 million from our participation in the KDP secondary offering and $777 million from subsequent KDP share sales (see additional information below and in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precautionary measure, in March, we also suspended our share repurchase program.</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various legislatively authorized tax payment deferral mechanisms available for income tax, indirect tax (such as value-added tax) and payroll tax in a number of jurisdictions, we were able to defer certain of these tax payments, which provided a cash benefit that will reverse when the cash tax payments become due. The benefits associated with the deferral of these tax payments were not material to our financial statements.</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our current available cash and access to financing markets, we do not anticipate any issue in funding our next long-term debt maturity of approximately $800 million in January 2021.</w:t>
      </w:r>
    </w:p>
    <w:p>
      <w:pPr>
        <w:ind w:left="660" w:right="40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have access to short-term and long-term financing markets and have actively utilized these markets in 2020. During the initial outbreak of COVID-19 in March, we put supplemental short-term credit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40"/>
        <w:spacing w:after="0" w:line="258" w:lineRule="auto"/>
        <w:rPr>
          <w:sz w:val="20"/>
          <w:szCs w:val="20"/>
          <w:color w:val="auto"/>
        </w:rPr>
      </w:pPr>
      <w:r>
        <w:rPr>
          <w:rFonts w:ascii="Arial" w:cs="Arial" w:eastAsia="Arial" w:hAnsi="Arial"/>
          <w:sz w:val="18"/>
          <w:szCs w:val="18"/>
          <w:color w:val="auto"/>
        </w:rPr>
        <w:t xml:space="preserve">facilities in place, which we have since retired in full. We also continued to utilize the commercial paper markets in the United States and Europe for flexible, low-cost, short-term financing. We have also issued additional long-term debt several times this year due to favorable market conditions and opportunities to shift a portion of our funding mix from short-term debt to long-term debt at a low cost. We continue to have $6.0 billion of undrawn credit facilities as well as other forms of short-term and long-term financing options available (refer to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We have been, and we expect to continue to be, in compliance with our debt covenants.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9" w:lineRule="exact"/>
        <w:rPr>
          <w:sz w:val="20"/>
          <w:szCs w:val="20"/>
          <w:color w:val="auto"/>
        </w:rPr>
      </w:pPr>
    </w:p>
    <w:p>
      <w:pPr>
        <w:ind w:left="660" w:right="1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evaluated the realizability of our assets and whether there are any impairment indicators. We reviewed our receivables, inventory, right-of-use lease assets, long-lived assets, equity method and other long-term investments, deferred tax assets, goodwill and intangible assets.</w:t>
      </w:r>
    </w:p>
    <w:p>
      <w:pPr>
        <w:spacing w:after="0" w:line="1" w:lineRule="exact"/>
        <w:rPr>
          <w:rFonts w:ascii="Arial" w:cs="Arial" w:eastAsia="Arial" w:hAnsi="Arial"/>
          <w:sz w:val="18"/>
          <w:szCs w:val="18"/>
          <w:color w:val="auto"/>
        </w:rPr>
      </w:pPr>
    </w:p>
    <w:p>
      <w:pPr>
        <w:ind w:left="660" w:right="140" w:hanging="328"/>
        <w:spacing w:after="0" w:line="21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 xml:space="preserve">In connection with the ongoing pandemic, we identified a decline in demand for certain of our brands, primarily in the gum category, that prompted additional evaluation of our indefinite-life intangible assets during the second quarter in addition to our annual testing in the third quarter of 2020. In connection with the testing, we concluded that eight brands were impaired and we recorded a total of $144 million of impairment charges year to date. While we did not identify impairment triggers for other brands, there is significant uncertainty due to the current pandemic. If brand earnings expectations are not met or specific valuation factors outside of our control, such as discount rates, change significantly, then a brand or brands could become impaired in the future. Refer to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details on our intangible asset impairment evaluation.</w:t>
      </w:r>
    </w:p>
    <w:p>
      <w:pPr>
        <w:spacing w:after="0" w:line="5"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and implementation activities were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continue to monitor the quality of our assets and our overall financial position over coming quarters.</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 to maintain oversight over our core process controls through our centralized shared service model, and our key controls are operating as designed.</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some of the initial impacts of the pandemic on our business have moderated in the third quarter of 2020, the business and economic environment remains uncertain and additional impacts may arise that we cannot currently anticipate. Barring material business disruptions or other negative developments, we expect to continue to meet the demand of consumers for our snacks, food and beverage products. However, the elevated consumer demand we experienced primarily in some of our developed market countries in the first nine months of 2020 may not continue. We are unable to predict how long this sustained demand will last or how significant it will be. We expect the COVID-19 outbreak to result in lower revenues primarily in some of our emerging market countries that have a higher concentration of traditional trade outlets (such as small family-run stores), our gum and candy categories (which are more instant consumption in nature), as well as our world travel retail (such as international duty-free stores) and foodservice businesses. As we continue to proactively manage our business in response to the evolving impacts of the pandemic, we continue to communicate with and support our employees and customers; monitor and take steps to further safeguard our supply chain, operations, technology and assets; protect our liquidity and financial position; work toward our strategic priorities and monitor our financial performance as we seek to position the Company to withstand the current uncertainty related to this pandemic.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KDP and JDE Peet's Equity Method Investment Transactions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On March 4, 2020, we participated in a secondary offering of KDP shares and sold approximately 6.8 million shares, which reduced our ownership interest by 0.5% to 13.1% of the total outstanding shares. During the first quarter of 2020, we received $185 million of proceeds and recorded a pre-tax gain of $71 million (or $54 million after-tax). Subsequently, on August 3, 2020, we sold approximately 14.1 million shares and on September 9, 2020, we sold approximately 12.5 million shares, which reduced our KDP ownership interest to 11.2% of total outstanding shares. During the third quarter of 2020, we received $777 million of proceeds and recorded pre-tax gains of $ 335 million (or $258 million after-tax). The cash taxes associated with the KDP share sales are payable by the end of 2020. Refer to Note 6, </w:t>
      </w:r>
      <w:r>
        <w:rPr>
          <w:rFonts w:ascii="Arial" w:cs="Arial" w:eastAsia="Arial" w:hAnsi="Arial"/>
          <w:sz w:val="18"/>
          <w:szCs w:val="18"/>
          <w:i w:val="1"/>
          <w:iCs w:val="1"/>
          <w:color w:val="auto"/>
        </w:rPr>
        <w:t>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w:t>
      </w:r>
      <w:r>
        <w:rPr>
          <w:rFonts w:ascii="Arial" w:cs="Arial" w:eastAsia="Arial" w:hAnsi="Arial"/>
          <w:sz w:val="18"/>
          <w:szCs w:val="18"/>
          <w:color w:val="auto"/>
        </w:rPr>
        <w:t>, for additional information.</w:t>
      </w:r>
    </w:p>
    <w:p>
      <w:pPr>
        <w:spacing w:after="0" w:line="20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retaining a 22.9% ownership interest in JDE Peet's. We received €350 million ($394 million) of total proceeds from the sales of JDE Peet's shares and we recorded a</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preliminary pre-tax gain of $121 million during the second quarter. We also incurred a $261 million tax expense that is payable in 2020 and 2021. During the third quarter of 2020, we increased our preliminary gain by $10 million to $131 million. Consistent with our accounting for KDP and in connection with JDE Peet's becoming a public company, during the second quarter of 2020, we changed our accounting principle to reflect our share of JDE historical results and JDE Peet's ongoing results on a one-quarter lag basis while we continue to record dividends when cash is received. We determined a lag was preferable as it enables us to continue to report our quarterly and annual results on a timely basis and to record our share of JDE Peet's ongoing results once JDE Peet's has publicly reported its results. This change was applied retrospectively to all periods presented. Refer to Note 6, </w:t>
      </w:r>
      <w:r>
        <w:rPr>
          <w:rFonts w:ascii="Arial" w:cs="Arial" w:eastAsia="Arial" w:hAnsi="Arial"/>
          <w:sz w:val="17"/>
          <w:szCs w:val="17"/>
          <w:i w:val="1"/>
          <w:iCs w:val="1"/>
          <w:color w:val="auto"/>
        </w:rPr>
        <w:t>Equity Method Investments</w:t>
      </w:r>
      <w:r>
        <w:rPr>
          <w:rFonts w:ascii="Arial" w:cs="Arial" w:eastAsia="Arial" w:hAnsi="Arial"/>
          <w:sz w:val="17"/>
          <w:szCs w:val="17"/>
          <w:color w:val="auto"/>
        </w:rPr>
        <w:t xml:space="preserve">, and Note 14, </w:t>
      </w:r>
      <w:r>
        <w:rPr>
          <w:rFonts w:ascii="Arial" w:cs="Arial" w:eastAsia="Arial" w:hAnsi="Arial"/>
          <w:sz w:val="17"/>
          <w:szCs w:val="17"/>
          <w:i w:val="1"/>
          <w:iCs w:val="1"/>
          <w:color w:val="auto"/>
        </w:rPr>
        <w:t>Income Taxes</w:t>
      </w:r>
      <w:r>
        <w:rPr>
          <w:rFonts w:ascii="Arial" w:cs="Arial" w:eastAsia="Arial" w:hAnsi="Arial"/>
          <w:sz w:val="17"/>
          <w:szCs w:val="17"/>
          <w:color w:val="auto"/>
        </w:rPr>
        <w:t>,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Tax Reform</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 / Cantonal events, it is our position that enactment of Swiss tax reform for U.S. GAAP purposes has been met as of September 30, 2019, and we recorded the impacts in the third quarter 2019. The net impact was a benefit of $767 million, which consists of a $769 million reduction in deferred tax expense from an allowed step-up of intangible assets for tax purposes and remeasurement of our deferred tax balances, partially offset by a $2 million indirect tax impact in selling, general and administrative expenses. The future rate impacts of these Swiss tax reform law changes were effective starting January 1, 2020. Refer to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our current- and prior-year estimated annual effective tax rates and Swiss tax reform.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8" w:lineRule="exact"/>
        <w:rPr>
          <w:sz w:val="20"/>
          <w:szCs w:val="20"/>
          <w:color w:val="auto"/>
        </w:rPr>
      </w:pPr>
    </w:p>
    <w:p>
      <w:pPr>
        <w:ind w:left="660" w:right="4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Net revenues increased 4.9% to $6.7 billion in the third quarter of 2020 and increased 1.7% to $19.3 billion in the first nine months of 2020 as compared to the same periods in the prior year. During the third quarter and the first nine months of 2020, net revenues were significantly impacted by the COVID-19 outbreak and response. In developed markets, particularly North America, demand for our products grew significantly as consumers increased their food purchases for in-home consumption. In some of our emerging markets, where we have a greater concentration of traditional trade, as well as in our gum and candy, world travel retail and foodservice businesses, where we sell products that are typically consumed away from home, net revenues were negatively affected by mandated lockdowns and other related restrictions. In the third quarter the negative impacts we experienced from COVID-19, particularly during the second quarter, subsided, resulting in a return to revenue growth across a number of our key markets. In addition, growth in the third quarter benefited from the impact of trade restocking to return inventory levels closer to pre-COVID-19 rates as spikes in North America biscuit and European retail, and traditional trade closures in emerging markets resulted in trade inventories below historical levels as we exited the second quarter.</w:t>
      </w:r>
    </w:p>
    <w:p>
      <w:pPr>
        <w:spacing w:after="0" w:line="2" w:lineRule="exact"/>
        <w:rPr>
          <w:rFonts w:ascii="Arial" w:cs="Arial" w:eastAsia="Arial" w:hAnsi="Arial"/>
          <w:sz w:val="20"/>
          <w:szCs w:val="20"/>
          <w:color w:val="auto"/>
        </w:rPr>
      </w:pPr>
    </w:p>
    <w:p>
      <w:pPr>
        <w:ind w:left="980" w:right="4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 increased in the third quarter of 2020, driven by favorable volume/mix, higher net pricing and incremental net revenues from our April 1, 2020 acquisition of Give &amp; Go, partially offset by the impact of unfavorable currency translation, as the U.S. dollar strengthened against most currencies in which we operate compared to exchange rates in the prior year.</w:t>
      </w:r>
    </w:p>
    <w:p>
      <w:pPr>
        <w:spacing w:after="0" w:line="1" w:lineRule="exact"/>
        <w:rPr>
          <w:rFonts w:ascii="Arial" w:cs="Arial" w:eastAsia="Arial" w:hAnsi="Arial"/>
          <w:sz w:val="20"/>
          <w:szCs w:val="20"/>
          <w:color w:val="auto"/>
        </w:rPr>
      </w:pPr>
    </w:p>
    <w:p>
      <w:pPr>
        <w:ind w:left="980" w:right="160" w:hanging="324"/>
        <w:spacing w:after="0" w:line="254" w:lineRule="auto"/>
        <w:rPr>
          <w:rFonts w:ascii="Arial" w:cs="Arial" w:eastAsia="Arial" w:hAnsi="Arial"/>
          <w:sz w:val="20"/>
          <w:szCs w:val="20"/>
          <w:color w:val="auto"/>
        </w:rPr>
      </w:pPr>
      <w:r>
        <w:rPr>
          <w:rFonts w:ascii="Arial" w:cs="Arial" w:eastAsia="Arial" w:hAnsi="Arial"/>
          <w:sz w:val="18"/>
          <w:szCs w:val="18"/>
          <w:color w:val="auto"/>
        </w:rPr>
        <w:t>– Net revenue increased in the first nine months of 2020, driven by favorable volume/mix, higher net pricing and incremental net revenues from our acquisitions of Give &amp; Go and Perfect Snacks. These items were partially offset by the significant impact of unfavorable currency translation, as the U.S. dollar strengthened against most currencies in which we operate compared to exchange rates in the prior year, as well as the May 28, 2019 divestiture of most of our cheese business in the Middle East and Africa.</w:t>
      </w:r>
    </w:p>
    <w:p>
      <w:pPr>
        <w:spacing w:after="0" w:line="205" w:lineRule="exact"/>
        <w:rPr>
          <w:rFonts w:ascii="Arial" w:cs="Arial" w:eastAsia="Arial" w:hAnsi="Arial"/>
          <w:sz w:val="20"/>
          <w:szCs w:val="20"/>
          <w:color w:val="auto"/>
        </w:rPr>
      </w:pPr>
    </w:p>
    <w:p>
      <w:pPr>
        <w:ind w:left="660" w:right="2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4.4% to $6.6 billion in the third quarter of 2020 and increased 3.9% to $19.6 billion in the first nine months of 2020 as compared to same periods in the prior year. During the third quarter and first nine months of 2020, Organic Net Revenue grew due to favorable volume/mix and higher net pricing. Refer to our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Significant Items Affecting Comparability </w:t>
      </w:r>
      <w:r>
        <w:rPr>
          <w:rFonts w:ascii="Arial" w:cs="Arial" w:eastAsia="Arial" w:hAnsi="Arial"/>
          <w:sz w:val="18"/>
          <w:szCs w:val="18"/>
          <w:color w:val="auto"/>
        </w:rPr>
        <w:t>above and</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Results of Operations by Reportable Segment, </w:t>
      </w:r>
      <w:r>
        <w:rPr>
          <w:rFonts w:ascii="Arial" w:cs="Arial" w:eastAsia="Arial" w:hAnsi="Arial"/>
          <w:sz w:val="18"/>
          <w:szCs w:val="18"/>
          <w:color w:val="auto"/>
        </w:rPr>
        <w:t>for additional information. Organic Net Revenue is on a constant currency basis and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acquisitions and divestitures. We use Organic Net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180"/>
        <w:spacing w:after="0" w:line="292" w:lineRule="auto"/>
        <w:rPr>
          <w:sz w:val="20"/>
          <w:szCs w:val="20"/>
          <w:color w:val="auto"/>
        </w:rPr>
      </w:pPr>
      <w:r>
        <w:rPr>
          <w:rFonts w:ascii="Arial" w:cs="Arial" w:eastAsia="Arial" w:hAnsi="Arial"/>
          <w:sz w:val="18"/>
          <w:szCs w:val="18"/>
          <w:color w:val="auto"/>
        </w:rPr>
        <w:t xml:space="preserve">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71" w:lineRule="exact"/>
        <w:rPr>
          <w:sz w:val="20"/>
          <w:szCs w:val="20"/>
          <w:color w:val="auto"/>
        </w:rPr>
      </w:pPr>
    </w:p>
    <w:p>
      <w:pPr>
        <w:ind w:left="660" w:right="30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decreased 20.4% to $0.78 in the third quarter of 2020 and decreased 24.2% to $1.66 in the first nine months of 2020 as compared to the same periods in the prior year.</w:t>
      </w:r>
    </w:p>
    <w:p>
      <w:pPr>
        <w:ind w:left="980" w:right="8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 Diluted EPS decreased in the third quarter of 2020, primarily driven by lapping the prior-year benefit from Swiss tax reform (refer to Note 14, </w:t>
      </w:r>
      <w:r>
        <w:rPr>
          <w:rFonts w:ascii="Arial" w:cs="Arial" w:eastAsia="Arial" w:hAnsi="Arial"/>
          <w:sz w:val="18"/>
          <w:szCs w:val="18"/>
          <w:i w:val="1"/>
          <w:iCs w:val="1"/>
          <w:color w:val="auto"/>
        </w:rPr>
        <w:t>Income Taxes</w:t>
      </w:r>
      <w:r>
        <w:rPr>
          <w:rFonts w:ascii="Arial" w:cs="Arial" w:eastAsia="Arial" w:hAnsi="Arial"/>
          <w:sz w:val="18"/>
          <w:szCs w:val="18"/>
          <w:color w:val="auto"/>
        </w:rPr>
        <w:t>), partially offset by gains on equity method investment transactions, lapping the prior-year loss on interest rate swaps, favorable year-over-year mark-to-market impacts from currency and commodity derivatives and lower Simplify to Grow program costs.</w:t>
      </w:r>
    </w:p>
    <w:p>
      <w:pPr>
        <w:spacing w:after="0" w:line="1" w:lineRule="exact"/>
        <w:rPr>
          <w:rFonts w:ascii="Arial" w:cs="Arial" w:eastAsia="Arial" w:hAnsi="Arial"/>
          <w:sz w:val="18"/>
          <w:szCs w:val="18"/>
          <w:color w:val="auto"/>
        </w:rPr>
      </w:pPr>
    </w:p>
    <w:p>
      <w:pPr>
        <w:ind w:left="980" w:right="80" w:hanging="324"/>
        <w:spacing w:after="0" w:line="253" w:lineRule="auto"/>
        <w:rPr>
          <w:rFonts w:ascii="Arial" w:cs="Arial" w:eastAsia="Arial" w:hAnsi="Arial"/>
          <w:sz w:val="18"/>
          <w:szCs w:val="18"/>
          <w:color w:val="auto"/>
        </w:rPr>
      </w:pPr>
      <w:r>
        <w:rPr>
          <w:rFonts w:ascii="Arial" w:cs="Arial" w:eastAsia="Arial" w:hAnsi="Arial"/>
          <w:sz w:val="18"/>
          <w:szCs w:val="18"/>
          <w:color w:val="auto"/>
        </w:rPr>
        <w:t>– Diluted EPS decreased during the first nine months of 2020, primarily driven by lapping the prior-year benefit from Swiss tax reform, costs associated with the JDE Peet's transaction, unfavorable year-over-year mark-to-market impacts from currency and commodity derivatives, higher intangible asset impairment charges, lapping a prior-year gain on divestiture, lapping the prior-year benefit from pension participation changes and lapping prior-year net earnings from divestitures. These factors were partially offset by gains on equity method investment transactions, higher Adjusted EPS, lower Simplify to Grow program costs and lower losses related to interest rate swaps.</w:t>
      </w:r>
    </w:p>
    <w:p>
      <w:pPr>
        <w:spacing w:after="0" w:line="20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EPS, a non-GAAP financial measure, decreased 1.6% to $0.63 in the third quarter of 2020 and increased 2.7% to $1.92 in the first nine months of 2020 as compared to the same periods in the prior year. On a constant currency basis, Adjusted EPS was flat at $0.64 in the third quarter of 2020 and increased 5.9% to $1.98 in the first nine months of 2020 as compared to the same periods in the prior year.</w:t>
      </w:r>
    </w:p>
    <w:p>
      <w:pPr>
        <w:spacing w:after="0" w:line="2" w:lineRule="exact"/>
        <w:rPr>
          <w:rFonts w:ascii="Arial" w:cs="Arial" w:eastAsia="Arial" w:hAnsi="Arial"/>
          <w:sz w:val="18"/>
          <w:szCs w:val="18"/>
          <w:color w:val="auto"/>
        </w:rPr>
      </w:pPr>
    </w:p>
    <w:p>
      <w:pPr>
        <w:ind w:left="980" w:right="34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decreased in the third quarter of 2020, driven by higher taxes, primarily due to non-recurring discrete tax items and changes in our mix of earnings, and unfavorable currency translation, mostly offset by gains in operating activities, an increase in benefit plan non-service income and fewer shares outstanding.</w:t>
      </w:r>
    </w:p>
    <w:p>
      <w:pPr>
        <w:spacing w:after="0" w:line="1" w:lineRule="exact"/>
        <w:rPr>
          <w:rFonts w:ascii="Arial" w:cs="Arial" w:eastAsia="Arial" w:hAnsi="Arial"/>
          <w:sz w:val="18"/>
          <w:szCs w:val="18"/>
          <w:color w:val="auto"/>
        </w:rPr>
      </w:pPr>
    </w:p>
    <w:p>
      <w:pPr>
        <w:ind w:left="980" w:right="16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increased in the first nine months of 2020, driven by gains in operating activities, an increase in benefit plan non-service income, fewer shares outstanding and lower interest expense, net, partially offset by unfavorable currency translation, higher taxes and a decrease in equity method investment earnings.</w:t>
      </w:r>
    </w:p>
    <w:p>
      <w:pPr>
        <w:spacing w:after="0" w:line="1" w:lineRule="exact"/>
        <w:rPr>
          <w:sz w:val="20"/>
          <w:szCs w:val="20"/>
          <w:color w:val="auto"/>
        </w:rPr>
      </w:pPr>
    </w:p>
    <w:p>
      <w:pPr>
        <w:ind w:left="660" w:right="180"/>
        <w:spacing w:after="0" w:line="258"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0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2019 and discussed in the footnotes to our financial statements.</w:t>
      </w:r>
    </w:p>
    <w:p>
      <w:pPr>
        <w:spacing w:after="0" w:line="2" w:lineRule="exact"/>
        <w:rPr>
          <w:sz w:val="20"/>
          <w:szCs w:val="20"/>
          <w:color w:val="auto"/>
        </w:rPr>
      </w:pPr>
    </w:p>
    <w:p>
      <w:pPr>
        <w:ind w:left="660" w:right="1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first nine months of 2020, in part due to increased consumer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snacks purchases for in-home consumption during the COVID-19 outbreak. As further discussed below and in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volatility in global consumer, commodity, currency and capital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significantly during the first nine months of 2020 and is expected to continue until the COVID-19 outbreak is largely resolved.</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We continue to monitor and respond to the COVID-19 outbreak. While its full impact is not yet known, it has had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negative effect on the economy and could have a material negative effect on our business and results in the future, particularly if there are significant adverse changes to consumer demand or significant disruptions to the supply, production or distribution of our products or the credit or financial stability of our customers and other business partners. An economic or credit crisis could occur and impair credit availability and our ability to raise capital when needed. A disruption in the financial markets may also have a negative effect on our derivative counterparties and could also impair our banking or other business partners, on whom we rely for access to capital and as counterparties for a number of our derivative contracts. Any of these and other developments could materially harm our business, results of operations and financial condition. We will continue to prioritize the safety of our employees and consumers. As we manage operations during the pandemic, we may continue to incur increased labor, customer service, logistics and other costs. As consumer demand for our products evolves, we could see continued shifts in product mix that could have a negative impact on results. As discussed in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we are working to mitigate any negative impacts to our business from the COVID-19 outbreak, but we may not be able to fully predict or respond to all impacts on a timely basis to prevent near- and long-term adverse impacts to our results.</w:t>
      </w:r>
    </w:p>
    <w:p>
      <w:pPr>
        <w:spacing w:after="0" w:line="5" w:lineRule="exact"/>
        <w:rPr>
          <w:rFonts w:ascii="Arial" w:cs="Arial" w:eastAsia="Arial" w:hAnsi="Arial"/>
          <w:sz w:val="18"/>
          <w:szCs w:val="18"/>
          <w:color w:val="auto"/>
        </w:rPr>
      </w:pPr>
    </w:p>
    <w:p>
      <w:pPr>
        <w:ind w:left="660" w:hanging="328"/>
        <w:spacing w:after="0" w:line="267"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Brexit. </w:t>
      </w:r>
      <w:r>
        <w:rPr>
          <w:rFonts w:ascii="Arial" w:cs="Arial" w:eastAsia="Arial" w:hAnsi="Arial"/>
          <w:sz w:val="17"/>
          <w:szCs w:val="17"/>
          <w:color w:val="auto"/>
        </w:rPr>
        <w:t>On December 31, 2020, the United Kingdom will be completing the withdrawal process from the European Union.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the United Kingdom will effectively remain in the E.U.’s customs union and single market while a trade deal with the European Union is negotiated. On December 31, 2020, the United Kingdom will either exit the European Union and begin a new trade relationship with the European Union or will exit without a trade deal. As we approach the planned U.K. exit at the end of 2020, we are taking protective measures in response to the potential impacts on our results of operations and financial condition. Our exposure to disruptions to our supply chain, the imposition of tariffs and currency devaluation in the United Kingdom could result in a material impact to our consolidated revenue, earnings and cash flow. In the nine months ended September 30, 2020, we generated 8.8% of our consolidated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trade and other cross-border operating agreements, there could be increased costs from re-imposition of tariffs on trade between the United Kingdom and other countries, including those in the European Union, increased shipping costs and delays because of the need for customs inspections and procedures, and shortages or elimination of certain goods if supplies are disrupted or it becomes cost prohibitive for us to offer those goods. The United Kingdom will also need to negotiate its own tax and trade treaties with countries all over the world, which could take years to complete. If the ultimate terms of the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U.K.’s separation from the European Union negatively impact the U.K. economy or result in disruptions to sales or our supply chain, the impact to our results of operations and financial condition could be material. We are taking measures to increase our resources in customer service &amp; logistics together with increasing our inventory levels of imported raw materials, packaging and finished goods in the United Kingdom to help us manage through Brexit and the inherent risks. Resulting impacts and market volatility can vary significantly depending on the final terms of the U.K.’s exit from the European Union.</w:t>
      </w:r>
    </w:p>
    <w:p>
      <w:pPr>
        <w:spacing w:after="0" w:line="2" w:lineRule="exact"/>
        <w:rPr>
          <w:sz w:val="20"/>
          <w:szCs w:val="20"/>
          <w:color w:val="auto"/>
        </w:rPr>
      </w:pPr>
    </w:p>
    <w:p>
      <w:pPr>
        <w:ind w:left="660" w:right="60" w:hanging="328"/>
        <w:spacing w:after="0" w:line="250"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During the third quarter of 2019, we recorded the impact of Swiss tax reform, and we continue to monitor for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interpretative guidance that could result in changes to the amounts we have recorded. In the United States, while the 2017 U.S. tax reform reduced the U.S. corporate tax rate and included some beneficial provisions, other provisions have, and in the future will have, an adverse effect on our results. We continue to evaluate the impacts as additional guidance on implementing the legislation becomes available. While additional guidance has been issued by the IRS and the U.S. Treasury Department, there are still some areas that may not be clarified for some time. Also, a number of U.S. states have not updated their laws to take into account the new federal legislation. As a result, there may be additional impacts of the new laws on our future results of operations and financial condition. It is possible that U.S. or Swiss tax reform or related interpretations could change and have an adverse effect on us that could be material. Refer to Note 14, </w:t>
      </w:r>
      <w:r>
        <w:rPr>
          <w:rFonts w:ascii="Arial" w:cs="Arial" w:eastAsia="Arial" w:hAnsi="Arial"/>
          <w:sz w:val="18"/>
          <w:szCs w:val="18"/>
          <w:i w:val="1"/>
          <w:iCs w:val="1"/>
          <w:color w:val="auto"/>
        </w:rPr>
        <w:t>Income Taxes</w:t>
      </w:r>
      <w:r>
        <w:rPr>
          <w:rFonts w:ascii="Arial" w:cs="Arial" w:eastAsia="Arial" w:hAnsi="Arial"/>
          <w:sz w:val="18"/>
          <w:szCs w:val="18"/>
          <w:color w:val="auto"/>
        </w:rPr>
        <w:t>, and our Annual Report on Form 10-K for the year ended December 31, 2019 for more information on Swiss and U.S. tax reform.</w:t>
      </w:r>
    </w:p>
    <w:p>
      <w:pPr>
        <w:spacing w:after="0" w:line="3" w:lineRule="exact"/>
        <w:rPr>
          <w:rFonts w:ascii="Arial" w:cs="Arial" w:eastAsia="Arial" w:hAnsi="Arial"/>
          <w:sz w:val="18"/>
          <w:szCs w:val="18"/>
          <w:i w:val="1"/>
          <w:iCs w:val="1"/>
          <w:color w:val="auto"/>
        </w:rPr>
      </w:pPr>
    </w:p>
    <w:p>
      <w:pPr>
        <w:ind w:left="660" w:right="10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apply highly inflationary accounting for our Argentinian subsidiaries, and during the nine months ended September 30, 2020, we recorded a remeasurement loss of $7 million within selling, general and administrative expenses related to the revaluation of our Argentinian peso denominated net monetary position. The mix of monetary assets and liabilities and the exchange rate to convert Argentinian pesos to U.S. dollars could change over time, so it is difficult to predict the overall impact of the Argentina highly inflationary accounting on future net earnings.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80" w:type="dxa"/>
            <w:vAlign w:val="bottom"/>
            <w:gridSpan w:val="3"/>
          </w:tcPr>
          <w:p>
            <w:pPr>
              <w:jc w:val="center"/>
              <w:ind w:right="1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580" w:type="dxa"/>
            <w:vAlign w:val="bottom"/>
            <w:gridSpan w:val="2"/>
          </w:tcPr>
          <w:p>
            <w:pPr>
              <w:jc w:val="center"/>
              <w:ind w:left="473"/>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See Note</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45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4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7"/>
              </w:rPr>
              <w:t>Note 7</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(111)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Implementation charges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(141)</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gains/(losses) from derivatives </w:t>
            </w:r>
            <w:r>
              <w:rPr>
                <w:rFonts w:ascii="Arial" w:cs="Arial" w:eastAsia="Arial" w:hAnsi="Arial"/>
                <w:sz w:val="23"/>
                <w:szCs w:val="23"/>
                <w:b w:val="1"/>
                <w:bCs w:val="1"/>
                <w:color w:val="auto"/>
                <w:vertAlign w:val="superscript"/>
              </w:rPr>
              <w:t>(1)</w:t>
            </w:r>
          </w:p>
        </w:tc>
        <w:tc>
          <w:tcPr>
            <w:tcW w:w="14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7"/>
              </w:rPr>
              <w:t>Note 9</w:t>
            </w:r>
          </w:p>
        </w:tc>
        <w:tc>
          <w:tcPr>
            <w:tcW w:w="11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Acquisition and divestiture-related costs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integration costs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Acquisition-related costs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Divestiture-related costs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Arial" w:cs="Arial" w:eastAsia="Arial" w:hAnsi="Arial"/>
                <w:sz w:val="18"/>
                <w:szCs w:val="18"/>
                <w:color w:val="auto"/>
              </w:rPr>
              <w:t>Net gain on divestiture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associated with JDE Peet's transaction</w:t>
            </w:r>
          </w:p>
        </w:tc>
        <w:tc>
          <w:tcPr>
            <w:tcW w:w="14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7"/>
              </w:rPr>
              <w:t>Note 6</w:t>
            </w:r>
          </w:p>
        </w:tc>
        <w:tc>
          <w:tcPr>
            <w:tcW w:w="11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480" w:type="dxa"/>
            <w:vAlign w:val="bottom"/>
            <w:gridSpan w:val="3"/>
          </w:tcPr>
          <w:p>
            <w:pPr>
              <w:jc w:val="center"/>
              <w:ind w:right="400"/>
              <w:spacing w:after="0"/>
              <w:rPr>
                <w:sz w:val="20"/>
                <w:szCs w:val="20"/>
                <w:color w:val="auto"/>
              </w:rPr>
            </w:pPr>
            <w:r>
              <w:rPr>
                <w:rFonts w:ascii="Arial" w:cs="Arial" w:eastAsia="Arial" w:hAnsi="Arial"/>
                <w:sz w:val="18"/>
                <w:szCs w:val="18"/>
                <w:color w:val="auto"/>
                <w:w w:val="97"/>
              </w:rPr>
              <w:t>Note 1</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4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Note 10</w:t>
            </w: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3"/>
                <w:szCs w:val="23"/>
                <w:b w:val="1"/>
                <w:bCs w:val="1"/>
                <w:color w:val="auto"/>
                <w:vertAlign w:val="superscript"/>
              </w:rPr>
              <w:t>(2)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related to interest rate swaps</w:t>
            </w:r>
          </w:p>
        </w:tc>
        <w:tc>
          <w:tcPr>
            <w:tcW w:w="14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8"/>
              </w:rPr>
              <w:t>Note 8 &amp; 9</w:t>
            </w:r>
          </w:p>
        </w:tc>
        <w:tc>
          <w:tcPr>
            <w:tcW w:w="11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Swiss tax reform net impacts</w:t>
            </w:r>
          </w:p>
        </w:tc>
        <w:tc>
          <w:tcPr>
            <w:tcW w:w="1480" w:type="dxa"/>
            <w:vAlign w:val="bottom"/>
            <w:gridSpan w:val="3"/>
          </w:tcPr>
          <w:p>
            <w:pPr>
              <w:jc w:val="center"/>
              <w:ind w:right="400"/>
              <w:spacing w:after="0"/>
              <w:rPr>
                <w:sz w:val="20"/>
                <w:szCs w:val="20"/>
                <w:color w:val="auto"/>
              </w:rPr>
            </w:pPr>
            <w:r>
              <w:rPr>
                <w:rFonts w:ascii="Arial" w:cs="Arial" w:eastAsia="Arial" w:hAnsi="Arial"/>
                <w:sz w:val="18"/>
                <w:szCs w:val="18"/>
                <w:color w:val="auto"/>
              </w:rPr>
              <w:t>Note 14</w:t>
            </w: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175"/>
        </w:trPr>
        <w:tc>
          <w:tcPr>
            <w:tcW w:w="4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Gain/(loss) on equity method investment</w:t>
            </w:r>
          </w:p>
        </w:tc>
        <w:tc>
          <w:tcPr>
            <w:tcW w:w="1480" w:type="dxa"/>
            <w:vAlign w:val="bottom"/>
            <w:gridSpan w:val="3"/>
            <w:vMerge w:val="restart"/>
            <w:shd w:val="clear" w:color="auto" w:fill="CCEEFF"/>
          </w:tcPr>
          <w:p>
            <w:pPr>
              <w:jc w:val="center"/>
              <w:ind w:right="400"/>
              <w:spacing w:after="0"/>
              <w:rPr>
                <w:sz w:val="20"/>
                <w:szCs w:val="20"/>
                <w:color w:val="auto"/>
              </w:rPr>
            </w:pPr>
            <w:r>
              <w:rPr>
                <w:rFonts w:ascii="Arial" w:cs="Arial" w:eastAsia="Arial" w:hAnsi="Arial"/>
                <w:sz w:val="18"/>
                <w:szCs w:val="18"/>
                <w:color w:val="auto"/>
                <w:w w:val="97"/>
              </w:rPr>
              <w:t>Note 6</w:t>
            </w:r>
          </w:p>
        </w:tc>
        <w:tc>
          <w:tcPr>
            <w:tcW w:w="110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537</w:t>
            </w:r>
          </w:p>
        </w:tc>
        <w:tc>
          <w:tcPr>
            <w:tcW w:w="5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23"/>
                <w:szCs w:val="23"/>
                <w:b w:val="1"/>
                <w:bCs w:val="1"/>
                <w:color w:val="auto"/>
                <w:vertAlign w:val="superscript"/>
              </w:rPr>
              <w:t>(3)</w:t>
            </w:r>
          </w:p>
        </w:tc>
        <w:tc>
          <w:tcPr>
            <w:tcW w:w="148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(4)</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Effective tax rate </w:t>
            </w:r>
            <w:r>
              <w:rPr>
                <w:rFonts w:ascii="Arial" w:cs="Arial" w:eastAsia="Arial" w:hAnsi="Arial"/>
                <w:sz w:val="23"/>
                <w:szCs w:val="23"/>
                <w:b w:val="1"/>
                <w:bCs w:val="1"/>
                <w:color w:val="auto"/>
                <w:vertAlign w:val="superscript"/>
              </w:rPr>
              <w:t>(5)</w:t>
            </w:r>
          </w:p>
        </w:tc>
        <w:tc>
          <w:tcPr>
            <w:tcW w:w="14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Note 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impacts recorded in operating income and interest expense and other, net.</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Gain/(loss) on equity method investment transactions is recorded outside pre-tax operating results on the condensed consolidated statement of earnings.</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ind w:left="340" w:right="840" w:hanging="332"/>
        <w:spacing w:after="0" w:line="264"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our effective tax rate and Swiss tax reform and to our Annual Report on Form 10-K for the year ended December 31, 2019 for more information on the impact of Swiss and U.S. tax reform.</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6,665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508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1,135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7"/>
              </w:rPr>
              <w:t>1,119</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5"/>
                <w:szCs w:val="15"/>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0.78</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0.98</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$310 million (4.9%) to $6,665 million in the third quarter of 2020, and Organic Net Revenue</w:t>
      </w:r>
    </w:p>
    <w:p>
      <w:pPr>
        <w:spacing w:after="0" w:line="31" w:lineRule="exact"/>
        <w:rPr>
          <w:sz w:val="20"/>
          <w:szCs w:val="20"/>
          <w:color w:val="auto"/>
        </w:rPr>
      </w:pPr>
    </w:p>
    <w:p>
      <w:pPr>
        <w:jc w:val="both"/>
        <w:ind w:right="360" w:firstLine="8"/>
        <w:spacing w:after="0" w:line="258" w:lineRule="auto"/>
        <w:tabs>
          <w:tab w:leader="none" w:pos="178" w:val="left"/>
        </w:tabs>
        <w:numPr>
          <w:ilvl w:val="0"/>
          <w:numId w:val="23"/>
        </w:numPr>
        <w:rPr>
          <w:rFonts w:ascii="Arial" w:cs="Arial" w:eastAsia="Arial" w:hAnsi="Arial"/>
          <w:sz w:val="11"/>
          <w:szCs w:val="11"/>
          <w:color w:val="auto"/>
        </w:rPr>
      </w:pPr>
      <w:r>
        <w:rPr>
          <w:rFonts w:ascii="Arial" w:cs="Arial" w:eastAsia="Arial" w:hAnsi="Arial"/>
          <w:sz w:val="18"/>
          <w:szCs w:val="18"/>
          <w:color w:val="auto"/>
        </w:rPr>
        <w:t xml:space="preserve">increased $277 million (4.4%) to $6,632 million. Developed markets net revenue increased 9.6% and developed markets Organic Net Revenue increased 3.8% </w:t>
      </w:r>
      <w:r>
        <w:rPr>
          <w:rFonts w:ascii="Arial" w:cs="Arial" w:eastAsia="Arial" w:hAnsi="Arial"/>
          <w:sz w:val="10"/>
          <w:szCs w:val="10"/>
          <w:color w:val="auto"/>
        </w:rPr>
        <w:t>(1)</w:t>
      </w:r>
      <w:r>
        <w:rPr>
          <w:rFonts w:ascii="Arial" w:cs="Arial" w:eastAsia="Arial" w:hAnsi="Arial"/>
          <w:sz w:val="18"/>
          <w:szCs w:val="18"/>
          <w:color w:val="auto"/>
        </w:rPr>
        <w:t xml:space="preserve">. Emerging markets net revenues decreased 3.1%, including an unfavorable currency impact, and emerging markets Organic Net Revenue increased 5.3%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209"/>
        </w:trPr>
        <w:tc>
          <w:tcPr>
            <w:tcW w:w="96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4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4.9 %</w:t>
            </w:r>
          </w:p>
        </w:tc>
      </w:tr>
      <w:tr>
        <w:trPr>
          <w:trHeight w:val="229"/>
        </w:trPr>
        <w:tc>
          <w:tcPr>
            <w:tcW w:w="9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29"/>
        </w:trPr>
        <w:tc>
          <w:tcPr>
            <w:tcW w:w="9600" w:type="dxa"/>
            <w:vAlign w:val="bottom"/>
          </w:tcPr>
          <w:p>
            <w:pPr>
              <w:ind w:left="66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1.4 pp</w:t>
            </w:r>
          </w:p>
        </w:tc>
      </w:tr>
      <w:tr>
        <w:trPr>
          <w:trHeight w:val="230"/>
        </w:trPr>
        <w:tc>
          <w:tcPr>
            <w:tcW w:w="9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Impact of acquisition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4.4 %</w:t>
            </w:r>
          </w:p>
        </w:tc>
      </w:tr>
      <w:tr>
        <w:trPr>
          <w:trHeight w:val="230"/>
        </w:trPr>
        <w:tc>
          <w:tcPr>
            <w:tcW w:w="9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pp</w:t>
            </w:r>
          </w:p>
        </w:tc>
      </w:tr>
      <w:tr>
        <w:trPr>
          <w:trHeight w:val="243"/>
        </w:trPr>
        <w:tc>
          <w:tcPr>
            <w:tcW w:w="9600" w:type="dxa"/>
            <w:vAlign w:val="bottom"/>
          </w:tcPr>
          <w:p>
            <w:pPr>
              <w:ind w:left="66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2.0 pp</w:t>
            </w:r>
          </w:p>
        </w:tc>
      </w:tr>
    </w:tbl>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revenue increase of 4.9% was driven by our underlying Organic Net Revenue growth of 4.4% and the impact of an acquisition, partially offset by unfavorable currency. For the third quarter of 2020, net revenues were higher in developed markets, primarily North America and Europe, where due to the COVID-19 outbreak and response, demand for our products, particularly biscuits and chocolate, grew significantly as consumers increased their food purchases for in-home consumption. However, our gum and candy categories, as well as our world travel retail and foodservice businesses, continued to be negatively impacted by COVID-19. In emerging markets, where we have a greater concentration of traditional trade, the majority of our markets grew but some markets were still challenged by COVID-19 impacts, particularly those with significant gum and candy portfolios. Overall, as the negative impacts of COVID-19 experienced earlier in the year subsided in the third quarter, revenue growth returned in a number of our key emerging markets, though overall emerging markets net revenues declined due to unfavorable currency impacts. In addition, growth in the quarter benefited from the impact of trade restocking to return inventory levels closer to pre-COVID-19 rates as spikes in North America biscuit and European retail, and traditional trade closures in emerging markets resulted in trade inventories below historical levels as we exited the second quarter.</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Organic Net Revenue growth was driven by favorable volume/mix and higher net pricing. Favorable volume/mix in all regions except Latin America was driven by strong volume gains tempered by unfavorable mix reflecting shifts in consumer purchases in response to the COVID-19 outbreak. Higher net pricing in all regions except Europe was due to the benefit of carryover pricing from 2019 as well as the effects of input cost-driven pricing actions taken during the first nine months of 2020. The April 1, 2020 acquisition of Give &amp; Go added incremental net revenues of $ 125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Unfavorable currency impacts decreased net revenues by $ 92 million, due primarily to the strength of the U.S. dollar relative to several currencies, including the Brazilian real, Argentinian peso, Russian ruble, Mexican peso and Indian rupee, partially offset by the strength of several currencies relative to the U.S. dollar, including the euro, British pound sterling and Australian dollar.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$ 259 million (29.6%) to $1,135 million in the third quarter of 2020.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$100 million (9.4%) to $1,165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$112 million (10.5%) to $1,177 million due to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Other/rounding</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1,065</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Three Months Ended September 30, 2019</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0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10.5 %</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9.4 %</w:t>
            </w: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1,165</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September 30, 2020</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Other/rounding</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1,135</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29.6 %</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58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right="36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our Annual Report on Form 10-K for the year ended December 31, 2019 for more information on Swiss tax reform.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third quarter of 2020, we realized higher net pricing and favorable volume/mix, which was partially offset by increased input costs. Higher net pricing, which included the carryover impact of pricing actions taken in 2019 as well as the effects of input cost-driven pricing actions taken during the first nine months of 2020, was reflected across all regions except Europe. Favorable volume/mix, primarily due to overall volume increases tempered by the net negative volume impact on some parts of our business from the COVID-19 outbreak, was driven by North America, Europe and AMEA, which was partially offset by unfavorable volume/mix in Latin America. The increase in input costs was driven by higher raw material costs, partially offset by lower manufacturing costs driven by productivity net of incremental COVID-19 related costs. Higher raw material costs were in part due to higher currency exchange transaction costs on imported materials, as well as higher cocoa, energy, grains, nuts, packaging, sugar, oils and other ingredients costs, partially offset by lower costs for dairy.</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Total selling, general and administrative expenses increased $18 million from the third quarter of 2019, due to a number of factors noted in the table above, including in part, the impact of acquisitions and higher divestiture-related costs, which were more than offset by lower implementation costs incurred for the Simplify to Grow Program, a favorable currency impact related to expenses and lapping prior-year CEO transition remuneration. Excluding these factors, selling, general and administrative expenses increased $22 million from the third quarter of 2019. The increase was driven primarily by higher overhead costs reflecting route-to-market investments as well as incremental COVID-19 related costs and higher advertising and consumer promotion costs.</w:t>
      </w:r>
    </w:p>
    <w:p>
      <w:pPr>
        <w:spacing w:after="0" w:line="2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Unfavorable currency changes decreased operating income by $12 million due primarily to the strength of the U.S. dollar relative to several currencies, including the Brazilian real, Russian ruble, Indian rupee and South African rand, partially offset by the strength of several currencies relative to the U.S. dollar, including the euro, British pound sterling and Australian dollar.</w:t>
      </w:r>
    </w:p>
    <w:p>
      <w:pPr>
        <w:spacing w:after="0" w:line="19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Operating income margin increased from 13.8% in the third quarter of 2019 to 17.0% in the third quarter of 2020. The increase in operating income margin was driven primarily by the year-over-year favorable change in mark-to-market gains/(losses) from currency and commodity hedging activities, higher Adjusted Operating Income margin and lower Simplify to Grow program costs. Adjusted Operating Income margin increased from 16.8% for the third quarter of 2019 to 17.5% for the third quarter of 2020. The increase in Adjusted Operating Income margin was driven primarily by higher net pricing, lower manufacturing costs and selling, general and administrative cost leverage, partially offset by higher raw material costs.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31"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$1,119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$307 million (21.5%) in the third quarter of 2020. Diluted EPS attributable to Mondelēz International was $0.78 in the third quarter of 2020, down $ 0.20 (20.4%) from the third quarter of 2019.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$0.63 in the third quarter of 2020, down $0.01 (1.6%) from the third quarter of 2019.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$0.64 in the third quarter of 2020, flat from the third quarter of 2019.</w:t>
      </w:r>
    </w:p>
    <w:p>
      <w:pPr>
        <w:sectPr>
          <w:pgSz w:w="11900" w:h="16838" w:orient="portrait"/>
          <w:cols w:equalWidth="0" w:num="1">
            <w:col w:w="11180"/>
          </w:cols>
          <w:pgMar w:left="320" w:top="360" w:right="399" w:bottom="1440" w:gutter="0" w:footer="0" w:header="0"/>
        </w:sectPr>
      </w:pPr>
    </w:p>
    <w:p>
      <w:pPr>
        <w:spacing w:after="0" w:line="35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September 30, 2019</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Swiss tax reform net impacts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Changes in benefit plan non-service income</w:t>
      </w:r>
    </w:p>
    <w:p>
      <w:pPr>
        <w:ind w:left="800"/>
        <w:spacing w:after="0" w:line="230"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p>
      <w:pPr>
        <w:ind w:left="800"/>
        <w:spacing w:after="0" w:line="215"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6"/>
          <w:szCs w:val="16"/>
          <w:color w:val="auto"/>
        </w:rPr>
        <w:t>Unfavorable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2020</w:t>
      </w:r>
    </w:p>
    <w:p>
      <w:pPr>
        <w:ind w:left="800"/>
        <w:spacing w:after="0" w:line="214"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(7)</w:t>
      </w:r>
    </w:p>
    <w:p>
      <w:pPr>
        <w:ind w:left="800"/>
        <w:spacing w:after="0" w:line="231"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Three Months Ended September 30, 2020</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917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9" w:lineRule="exact"/>
        <w:rPr>
          <w:sz w:val="20"/>
          <w:szCs w:val="20"/>
          <w:color w:val="auto"/>
        </w:rPr>
      </w:pPr>
    </w:p>
    <w:p>
      <w:pPr>
        <w:ind w:left="1040" w:hanging="1034"/>
        <w:spacing w:after="0"/>
        <w:tabs>
          <w:tab w:leader="none" w:pos="10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0.98</w:t>
      </w:r>
    </w:p>
    <w:p>
      <w:pPr>
        <w:spacing w:after="0" w:line="44"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24"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(0.53)</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17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1" w:lineRule="exact"/>
        <w:rPr>
          <w:sz w:val="20"/>
          <w:szCs w:val="20"/>
          <w:color w:val="auto"/>
        </w:rPr>
      </w:pPr>
    </w:p>
    <w:p>
      <w:pPr>
        <w:ind w:left="1040" w:hanging="1034"/>
        <w:spacing w:after="0"/>
        <w:tabs>
          <w:tab w:leader="none" w:pos="10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0.64</w:t>
      </w:r>
    </w:p>
    <w:p>
      <w:pPr>
        <w:spacing w:after="0" w:line="44"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0.05</w:t>
      </w:r>
    </w:p>
    <w:p>
      <w:pPr>
        <w:spacing w:after="0" w:line="24"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(0.08)</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17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1"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0.64</w:t>
      </w:r>
    </w:p>
    <w:p>
      <w:pPr>
        <w:spacing w:after="0" w:line="44"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917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3" w:lineRule="exact"/>
        <w:rPr>
          <w:sz w:val="20"/>
          <w:szCs w:val="20"/>
          <w:color w:val="auto"/>
        </w:rPr>
      </w:pPr>
    </w:p>
    <w:p>
      <w:pPr>
        <w:ind w:left="1040" w:hanging="1034"/>
        <w:spacing w:after="0"/>
        <w:tabs>
          <w:tab w:leader="none" w:pos="10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0.63</w:t>
      </w:r>
    </w:p>
    <w:p>
      <w:pPr>
        <w:spacing w:after="0" w:line="44"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24"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0.19</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17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42" w:lineRule="exact"/>
        <w:rPr>
          <w:sz w:val="20"/>
          <w:szCs w:val="20"/>
          <w:color w:val="auto"/>
        </w:rPr>
      </w:pPr>
    </w:p>
    <w:p>
      <w:pPr>
        <w:ind w:left="1040" w:hanging="1034"/>
        <w:spacing w:after="0"/>
        <w:tabs>
          <w:tab w:leader="none" w:pos="10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917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wp:posOffset>
            </wp:positionV>
            <wp:extent cx="917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060" w:space="720"/>
            <w:col w:w="1400"/>
          </w:cols>
          <w:pgMar w:left="320" w:top="360" w:right="399" w:bottom="1440" w:gutter="0" w:footer="0" w:header="0"/>
          <w:type w:val="continuous"/>
        </w:sectPr>
      </w:pPr>
    </w:p>
    <w:p>
      <w:pPr>
        <w:spacing w:after="0" w:line="15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for information on our interest swaps that we no longer designate as cash flow hedges.</w:t>
      </w:r>
    </w:p>
    <w:p>
      <w:pPr>
        <w:spacing w:after="0" w:line="1" w:lineRule="exact"/>
        <w:rPr>
          <w:rFonts w:ascii="Arial" w:cs="Arial" w:eastAsia="Arial" w:hAnsi="Arial"/>
          <w:sz w:val="14"/>
          <w:szCs w:val="14"/>
          <w:color w:val="auto"/>
        </w:rPr>
      </w:pPr>
    </w:p>
    <w:p>
      <w:pPr>
        <w:ind w:left="340" w:right="66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investees, such as acquisition and divestiture-related costs and restructuring program costs.</w:t>
      </w: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gain/(loss) on equity method investment transactions.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146"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19,283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18,955</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510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2,704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2,399</w:t>
            </w: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5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5"/>
                <w:szCs w:val="15"/>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$328 million (1.7%) to $19,283 million in the first nine months of 2020, and Organic Net Revenue</w:t>
      </w:r>
    </w:p>
    <w:p>
      <w:pPr>
        <w:spacing w:after="0" w:line="31" w:lineRule="exact"/>
        <w:rPr>
          <w:sz w:val="20"/>
          <w:szCs w:val="20"/>
          <w:color w:val="auto"/>
        </w:rPr>
      </w:pPr>
    </w:p>
    <w:p>
      <w:pPr>
        <w:ind w:right="360" w:firstLine="8"/>
        <w:spacing w:after="0" w:line="280" w:lineRule="auto"/>
        <w:tabs>
          <w:tab w:leader="none" w:pos="178" w:val="left"/>
        </w:tabs>
        <w:numPr>
          <w:ilvl w:val="0"/>
          <w:numId w:val="31"/>
        </w:numPr>
        <w:rPr>
          <w:rFonts w:ascii="Arial" w:cs="Arial" w:eastAsia="Arial" w:hAnsi="Arial"/>
          <w:sz w:val="10"/>
          <w:szCs w:val="10"/>
          <w:color w:val="auto"/>
        </w:rPr>
      </w:pPr>
      <w:r>
        <w:rPr>
          <w:rFonts w:ascii="Arial" w:cs="Arial" w:eastAsia="Arial" w:hAnsi="Arial"/>
          <w:sz w:val="17"/>
          <w:szCs w:val="17"/>
          <w:color w:val="auto"/>
        </w:rPr>
        <w:t xml:space="preserve">increased $736 million (3.9%) to $19,636 million. Developed markets net revenue increased 7.1% and developed markets Organic Net Revenue increased 5.2%. Emerging markets net revenues decreased 7.2%, including an unfavorable currency impact, and emerging markets Organic Net Revenue increased 1.7% </w:t>
      </w:r>
      <w:r>
        <w:rPr>
          <w:rFonts w:ascii="Arial" w:cs="Arial" w:eastAsia="Arial" w:hAnsi="Arial"/>
          <w:sz w:val="9"/>
          <w:szCs w:val="9"/>
          <w:color w:val="auto"/>
        </w:rPr>
        <w:t>(1)</w:t>
      </w:r>
      <w:r>
        <w:rPr>
          <w:rFonts w:ascii="Arial" w:cs="Arial" w:eastAsia="Arial" w:hAnsi="Arial"/>
          <w:sz w:val="17"/>
          <w:szCs w:val="17"/>
          <w:color w:val="auto"/>
        </w:rPr>
        <w:t>. The underlying changes in net revenues and Organic Net Revenue are detailed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0"/>
        </w:trPr>
        <w:tc>
          <w:tcPr>
            <w:tcW w:w="96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29"/>
        </w:trPr>
        <w:tc>
          <w:tcPr>
            <w:tcW w:w="9600" w:type="dxa"/>
            <w:vAlign w:val="bottom"/>
          </w:tcPr>
          <w:p>
            <w:pPr>
              <w:ind w:left="54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r>
        <w:trPr>
          <w:trHeight w:val="229"/>
        </w:trPr>
        <w:tc>
          <w:tcPr>
            <w:tcW w:w="9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6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3.3 pp</w:t>
            </w:r>
          </w:p>
        </w:tc>
      </w:tr>
      <w:tr>
        <w:trPr>
          <w:trHeight w:val="229"/>
        </w:trPr>
        <w:tc>
          <w:tcPr>
            <w:tcW w:w="9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Impact of divestiture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pp</w:t>
            </w:r>
          </w:p>
        </w:tc>
      </w:tr>
      <w:tr>
        <w:trPr>
          <w:trHeight w:val="230"/>
        </w:trPr>
        <w:tc>
          <w:tcPr>
            <w:tcW w:w="9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(1.4)pp</w:t>
            </w:r>
          </w:p>
        </w:tc>
      </w:tr>
      <w:tr>
        <w:trPr>
          <w:trHeight w:val="223"/>
        </w:trPr>
        <w:tc>
          <w:tcPr>
            <w:tcW w:w="9600" w:type="dxa"/>
            <w:vAlign w:val="bottom"/>
            <w:shd w:val="clear" w:color="auto" w:fill="CCEEFF"/>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3.9 %</w:t>
            </w:r>
          </w:p>
        </w:tc>
      </w:tr>
      <w:tr>
        <w:trPr>
          <w:trHeight w:val="230"/>
        </w:trPr>
        <w:tc>
          <w:tcPr>
            <w:tcW w:w="9600" w:type="dxa"/>
            <w:vAlign w:val="bottom"/>
          </w:tcPr>
          <w:p>
            <w:pPr>
              <w:ind w:left="660"/>
              <w:spacing w:after="0"/>
              <w:rPr>
                <w:sz w:val="20"/>
                <w:szCs w:val="20"/>
                <w:color w:val="auto"/>
              </w:rPr>
            </w:pPr>
            <w:r>
              <w:rPr>
                <w:rFonts w:ascii="Arial" w:cs="Arial" w:eastAsia="Arial" w:hAnsi="Arial"/>
                <w:sz w:val="18"/>
                <w:szCs w:val="18"/>
                <w:color w:val="auto"/>
              </w:rPr>
              <w:t>Favorable volume/mix</w:t>
            </w:r>
          </w:p>
        </w:tc>
        <w:tc>
          <w:tcPr>
            <w:tcW w:w="1620" w:type="dxa"/>
            <w:vAlign w:val="bottom"/>
          </w:tcPr>
          <w:p>
            <w:pPr>
              <w:jc w:val="right"/>
              <w:spacing w:after="0"/>
              <w:rPr>
                <w:sz w:val="20"/>
                <w:szCs w:val="20"/>
                <w:color w:val="auto"/>
              </w:rPr>
            </w:pPr>
            <w:r>
              <w:rPr>
                <w:rFonts w:ascii="Arial" w:cs="Arial" w:eastAsia="Arial" w:hAnsi="Arial"/>
                <w:sz w:val="18"/>
                <w:szCs w:val="18"/>
                <w:color w:val="auto"/>
              </w:rPr>
              <w:t>2.0 pp</w:t>
            </w:r>
          </w:p>
        </w:tc>
      </w:tr>
      <w:tr>
        <w:trPr>
          <w:trHeight w:val="229"/>
        </w:trPr>
        <w:tc>
          <w:tcPr>
            <w:tcW w:w="9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Higher net pricing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pp</w:t>
            </w:r>
          </w:p>
        </w:tc>
      </w:tr>
    </w:tbl>
    <w:p>
      <w:pPr>
        <w:spacing w:after="0" w:line="24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revenue increase of 1.7% was driven by our underlying Organic Net Revenue growth of 3.9% and the impact of acquisitions, mostly offset by unfavorable currency and the impact of a prior-year divestiture. Net revenues were higher in developed markets, particularly North America, where due to the COVID-19 outbreak and response, demand for our products, primarily biscuits and chocolate, grew significantly as consumers increased their food purchases for in-home consumption. However, our gum and candy categories as well as our world travel retail and foodservice businesses were negatively impacted by COVID-19. In emerging markets, where we have a greater concentration of traditional trade, several markets were challenged by COVID-19 impacts, particularly those with significant gum and candy portfolios. Overall, as the negative impacts of COVID-19 experienced earlier in the year subsided in the third quarter, revenue growth began to recover in a number of our key emerging markets, though overall emerging markets net revenues declined due to unfavorable currency impacts.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Organic Net Revenue growth was driven by favorable volume/mix and higher net pricing. Favorable volume/mix in all regions except Latin America and AMEA included strong volume gains tempered by unfavorable mix reflecting shifts in consumer purchases in response to the COVID-19 outbreak. Higher net pricing in all regions except Europe was due to the benefit of carryover pricing from 2019 as well as the effects of input cost-driven pricing actions taken during the first nine months of 2020. The April 1, 2020 acquisition of Give &amp; Go added incremental net revenues of $ 216 million and the July 16, 2019 acquisition of a majority interest in Perfect Snacks added incremental net revenues of $55 million in the first nine months of 2020. Unfavorable currency impacts decreased net revenues by $624 million, due primarily to the strength of the U.S. dollar relative to most currencies, including the Brazilian real, Argentinian peso, Russian ruble, Mexican peso, Indian rupee, South African rand and Australian dollar, partially offset by the strength of several currencies relative to the U.S. dollar, including the Philippine peso, Egyptian pound and euro. The impact of the May 28, 2019 divestiture of most of our cheese business in the Middle East and Africa resulted in a year-over-year decline in net revenues of $55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$233 million (7.9%) to $2,704 million in the first nine months of 2020.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$50 million (1.6%) to $3,213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$136 million (4.3%) to $3,299 million due to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00"/>
              <w:spacing w:after="0"/>
              <w:rPr>
                <w:sz w:val="20"/>
                <w:szCs w:val="20"/>
                <w:color w:val="auto"/>
              </w:rPr>
            </w:pPr>
            <w:r>
              <w:rPr>
                <w:rFonts w:ascii="Arial" w:cs="Arial" w:eastAsia="Arial" w:hAnsi="Arial"/>
                <w:sz w:val="18"/>
                <w:szCs w:val="18"/>
                <w:color w:val="auto"/>
              </w:rPr>
              <w:t>Swiss tax reform impact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Other/rounding</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3,163</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Nine Months Ended September 30, 2019</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Prior-year VAT-related settlements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4.3 %</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1.6 %</w:t>
            </w: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3,213</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Nine Months Ended September 30, 2020</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(8)</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Other/rounding</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40" w:hanging="332"/>
        <w:spacing w:after="0" w:line="264"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ind w:left="340" w:right="520" w:hanging="332"/>
        <w:spacing w:after="0" w:line="254"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2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the first nine months of 2020, we realized higher net pricing and favorable volume/mix, which was largely offset by increased input costs. Higher net pricing, which included the carryover impact of pricing actions taken in 2019 as well as the effects of input cost-driven pricing actions taken during the first nine months of 2020, was reflected in all regions except Europe. Favorable volume/mix was driven by North America and Europe, which was partially offset by unfavorable volume/mix in Latin America and AMEA. The increase in input costs was driven by higher raw material costs, partially offset by lower manufacturing costs driven by productivity net of incremental COVID-19 related costs. Higher raw material costs were in part due to higher currency exchange transaction costs on imported materials, as well as higher cocoa, dairy, energy, nuts, oils, packaging, sugar and other ingredients costs, partially offset by lower costs for grains.</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selling, general and administrative expenses increased $88 million from the first nine months of 2019, due to a number of factors noted in the table above, including in part, the impact of acquisitions, costs associated with the JDE Peet's transaction, lapping the benefit from prior-year pension participation changes, higher acquisition-related costs and higher remeasurement loss of net monetary position, which were more than offset by a favorable currency impact related to expenses, lower implementation costs incurred for the Simplify to Grow Program, lapping prior-year VAT-related settlements, lapping prior-year CEO transition remuneration and lapping the prior-year divestiture. Excluding these factors, selling, general and administrative expenses increased $94 million from the first nine months of 2019. The increase was driven primarily by higher overheads reflecting route-to-market investments as well as incremental COVID-19 related costs and higher advertising and consumer promotion costs.</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recorded an expense of $11 million from VAT-related settlements in Latin America in the first nine months of 2019. Unfavorable currency changes decreased operating income by $86 million due primarily to the strength of the U.S. dollar relative to most currencies, including the Brazilian real, Russian ruble, Argentinian peso, Indian rupee, Australian dollar and South African rand, partially offset by the strength of several currencies relative to the U.S. dollar, including the Egyptian pound, Philippine peso and euro.</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income margin decreased from 15.5% in the first nine months of 2019 to 14.0% in the first nine months of 2020. The decrease in operating income margin was driven primarily by the year-over-year unfavorable change in mark-to-market gains/(losses) from currency and commodity hedging activities, higher intangible asset impairment charges, lapping the prior-year gain on a divestiture, costs associated with the JDE Peet's transaction, lapping the benefit from prior-year pension participation changes and higher acquisition-related costs, partially offset by lower costs for the Simplify to Grow Program. Adjusted Operating Income margin for the first nine months of 2020 was flat to the first nine months of 2019 at 16.7%. Adjusted Operating Income margin was unchanged as higher pricing, lower manufacturing costs reflecting productivity net of incremental COVD-19 costs, and selling, general and administrative cost leverage was offset by higher raw material costs.</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$2,399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$797 million (24.9%) in the first nine months of 2020. Diluted EPS attributable to Mondelēz International was $1.66 in the first nine months of 2020, down $0.53 (24.2%) from the first nine months of 2019.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$ 1.92 in the first nine months of 2020, up $0.05 (2.7%) from the first nine months of 2019.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$1.98 in the first nine months of 2020, up $0.11 (5.9%) from the first nine months of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34"/>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76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center"/>
              <w:ind w:left="679"/>
              <w:spacing w:after="0"/>
              <w:rPr>
                <w:sz w:val="20"/>
                <w:szCs w:val="20"/>
                <w:color w:val="auto"/>
              </w:rPr>
            </w:pPr>
            <w:r>
              <w:rPr>
                <w:rFonts w:ascii="Arial" w:cs="Arial" w:eastAsia="Arial" w:hAnsi="Arial"/>
                <w:sz w:val="16"/>
                <w:szCs w:val="16"/>
                <w:b w:val="1"/>
                <w:bCs w:val="1"/>
                <w:color w:val="auto"/>
              </w:rPr>
              <w:t>2.19</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b w:val="1"/>
                <w:bCs w:val="1"/>
                <w:color w:val="auto"/>
              </w:rPr>
              <w:t>Nine Months Ended September 30, 2019</w:t>
            </w:r>
          </w:p>
        </w:tc>
        <w:tc>
          <w:tcPr>
            <w:tcW w:w="2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 (3)</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Net gain on divestitures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Swiss tax reform net impacts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Net loss on equity method investment transaction </w:t>
            </w:r>
            <w:r>
              <w:rPr>
                <w:rFonts w:ascii="Arial" w:cs="Arial" w:eastAsia="Arial" w:hAnsi="Arial"/>
                <w:sz w:val="21"/>
                <w:szCs w:val="21"/>
                <w:color w:val="auto"/>
                <w:vertAlign w:val="superscript"/>
              </w:rPr>
              <w:t>(6)</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(7)</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9"/>
        </w:trPr>
        <w:tc>
          <w:tcPr>
            <w:tcW w:w="9760" w:type="dxa"/>
            <w:vAlign w:val="bottom"/>
          </w:tcPr>
          <w:p>
            <w:pPr>
              <w:ind w:left="680"/>
              <w:spacing w:after="0" w:line="210"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ind w:left="679"/>
              <w:spacing w:after="0"/>
              <w:rPr>
                <w:sz w:val="20"/>
                <w:szCs w:val="20"/>
                <w:color w:val="auto"/>
              </w:rPr>
            </w:pPr>
            <w:r>
              <w:rPr>
                <w:rFonts w:ascii="Arial" w:cs="Arial" w:eastAsia="Arial" w:hAnsi="Arial"/>
                <w:sz w:val="16"/>
                <w:szCs w:val="16"/>
                <w:b w:val="1"/>
                <w:bCs w:val="1"/>
                <w:color w:val="auto"/>
              </w:rPr>
              <w:t>1.87</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Increase in operations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rPr>
                <w:sz w:val="20"/>
                <w:szCs w:val="20"/>
                <w:color w:val="auto"/>
              </w:rPr>
            </w:pPr>
            <w:r>
              <w:rPr>
                <w:rFonts w:ascii="Arial" w:cs="Arial" w:eastAsia="Arial" w:hAnsi="Arial"/>
                <w:sz w:val="16"/>
                <w:szCs w:val="16"/>
                <w:color w:val="auto"/>
              </w:rPr>
              <w:t>Decrease in equity method investment net earnings</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VAT-related settlements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rPr>
                <w:sz w:val="20"/>
                <w:szCs w:val="20"/>
                <w:color w:val="auto"/>
              </w:rPr>
            </w:pPr>
            <w:r>
              <w:rPr>
                <w:rFonts w:ascii="Arial" w:cs="Arial" w:eastAsia="Arial" w:hAnsi="Arial"/>
                <w:sz w:val="16"/>
                <w:szCs w:val="16"/>
                <w:color w:val="auto"/>
              </w:rPr>
              <w:t>Changes in benefit plan non-service income</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(9)</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(10)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0"/>
        </w:trPr>
        <w:tc>
          <w:tcPr>
            <w:tcW w:w="9760" w:type="dxa"/>
            <w:vAlign w:val="bottom"/>
          </w:tcPr>
          <w:p>
            <w:pPr>
              <w:ind w:left="680"/>
              <w:spacing w:after="0" w:line="210"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ind w:left="679"/>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0"/>
        </w:trPr>
        <w:tc>
          <w:tcPr>
            <w:tcW w:w="9760" w:type="dxa"/>
            <w:vAlign w:val="bottom"/>
          </w:tcPr>
          <w:p>
            <w:pPr>
              <w:ind w:left="680"/>
              <w:spacing w:after="0" w:line="210"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ind w:left="679"/>
              <w:spacing w:after="0"/>
              <w:rPr>
                <w:sz w:val="20"/>
                <w:szCs w:val="20"/>
                <w:color w:val="auto"/>
              </w:rPr>
            </w:pPr>
            <w:r>
              <w:rPr>
                <w:rFonts w:ascii="Arial" w:cs="Arial" w:eastAsia="Arial" w:hAnsi="Arial"/>
                <w:sz w:val="16"/>
                <w:szCs w:val="16"/>
                <w:b w:val="1"/>
                <w:bCs w:val="1"/>
                <w:color w:val="auto"/>
              </w:rPr>
              <w:t>1.92</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 (3)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Costs associated with JDE Peet's transaction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6"/>
        </w:trPr>
        <w:tc>
          <w:tcPr>
            <w:tcW w:w="9760" w:type="dxa"/>
            <w:vAlign w:val="bottom"/>
            <w:tcBorders>
              <w:bottom w:val="single" w:sz="8" w:color="CCEEFF"/>
            </w:tcBorders>
          </w:tcPr>
          <w:p>
            <w:pPr>
              <w:ind w:left="800"/>
              <w:spacing w:after="0" w:line="216" w:lineRule="exact"/>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42"/>
        </w:trPr>
        <w:tc>
          <w:tcPr>
            <w:tcW w:w="9760" w:type="dxa"/>
            <w:vAlign w:val="bottom"/>
            <w:shd w:val="clear" w:color="auto" w:fill="CCEEFF"/>
          </w:tcPr>
          <w:p>
            <w:pPr>
              <w:ind w:left="680"/>
              <w:spacing w:after="0" w:line="142"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center"/>
              <w:ind w:left="679"/>
              <w:spacing w:after="0"/>
              <w:rPr>
                <w:sz w:val="20"/>
                <w:szCs w:val="20"/>
                <w:color w:val="auto"/>
              </w:rPr>
            </w:pPr>
            <w:r>
              <w:rPr>
                <w:rFonts w:ascii="Arial" w:cs="Arial" w:eastAsia="Arial" w:hAnsi="Arial"/>
                <w:sz w:val="16"/>
                <w:szCs w:val="16"/>
                <w:b w:val="1"/>
                <w:bCs w:val="1"/>
                <w:color w:val="auto"/>
              </w:rPr>
              <w:t>1.66</w:t>
            </w:r>
          </w:p>
        </w:tc>
        <w:tc>
          <w:tcPr>
            <w:tcW w:w="0" w:type="dxa"/>
            <w:vAlign w:val="bottom"/>
          </w:tcPr>
          <w:p>
            <w:pPr>
              <w:spacing w:after="0"/>
              <w:rPr>
                <w:sz w:val="1"/>
                <w:szCs w:val="1"/>
                <w:color w:val="auto"/>
              </w:rPr>
            </w:pPr>
          </w:p>
        </w:tc>
      </w:tr>
      <w:tr>
        <w:trPr>
          <w:trHeight w:val="209"/>
        </w:trPr>
        <w:tc>
          <w:tcPr>
            <w:tcW w:w="9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Nine Months Ended September 30, 2020</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9" w:lineRule="exact"/>
        <w:rPr>
          <w:rFonts w:ascii="Arial" w:cs="Arial" w:eastAsia="Arial" w:hAnsi="Arial"/>
          <w:sz w:val="14"/>
          <w:szCs w:val="14"/>
          <w:color w:val="auto"/>
        </w:rPr>
      </w:pPr>
    </w:p>
    <w:p>
      <w:pPr>
        <w:ind w:left="340" w:right="14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ind w:left="340" w:right="20" w:hanging="332"/>
        <w:spacing w:after="0" w:line="264"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reflected the impact of prior-quarter sales of KDP and JDE Peet’s shares within divested results as if the sales occurred at the beginning of all periods presented.</w:t>
      </w:r>
    </w:p>
    <w:p>
      <w:pPr>
        <w:spacing w:after="0" w:line="1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Refer to Note 9, Financial Instruments, for information on our interest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Refer to Note 14, Income Taxes, and our Annual Report on Form 10-K for the year ended December 31, 2019 for more information on Swiss tax reform.</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Refer to Note 6, Equity Method Investments, for more information on the gain/(loss) on equity method investment transactions.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hanging="332"/>
        <w:spacing w:after="0" w:line="264" w:lineRule="auto"/>
        <w:tabs>
          <w:tab w:leader="none" w:pos="339"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60" w:right="5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0"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8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2,526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9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Net gain on divestiture</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Acquisition-related costs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1,135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6"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506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05"/>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50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1,847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506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(40.4)%</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revenues decreased $ 126 million (17.1%), due to unfavorable currency (20.2 pp) and unfavorable volume/mix (5.1 pp), partially offset by higher net pricing (8.2 pp). Unfavorable currency impacts were due primarily to the strength of the U.S. dollar relative to most currencies in the region including the Brazilian real, Argentinian peso and Mexican peso. Unfavorable volume/mix was due to the negative volume impact from the COVID-19 outbreak as well as the impact of pricing-related elasticity, partially offset by the benefit from trade inventory restocking to return inventory levels closer to pre-COVID-19 rates. Unfavorable volume/mix was driven by declines in gum, candy and biscuits, partially offset by gains in refreshment beverages, chocolate and cheese &amp; grocery. Higher net pricing was reflected across all categories, driven primarily by Argentina, Brazil and Mexico.</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Segment operating income decreased $ 7 million (8.3%), primarily due to higher raw material costs, unfavorable volume/mix and unfavorable currency. These unfavorable items were partially offset by higher net pricing, lower manufacturing costs (net of incremental COVID-19 related costs), lower other selling, general administrative expenses and lower costs incurred for the Simplify to Grow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revenues decreased $ 426 million (18.7%), due to unfavorable currency (18.5 pp) and unfavorable volume/mix (8.3 pp), partially offset by higher net pricing (8.1 pp). Unfavorable currency impacts were due primarily to the strength of the U.S. dollar relative to most currencies in the region including the Brazilian real, Argentinian peso and Mexican peso. Unfavorable volume/mix was due to the negative volume impact from the COVID-19 outbreak as well as the impact of pricing-related elasticity. Unfavorable volume/mix was driven by declines in gum, candy and biscuits, partially offset by gains in cheese &amp; grocery, refreshment beverages and chocolate. Higher net pricing was reflected across all categories, driven primarily by Argentina, Brazil and Mexico.</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Segment operating income decreased $101 million (40.4%), primarily due to higher raw material costs, unfavorable volume/mix, unfavorable currency, higher other selling, general and administrative expenses (net of lapping the expense of VAT-related settlements in 2019) and a higher remeasurement loss of net monetary position. These unfavorable items were partially offset by higher net pricing, lower manufacturing costs (net of incremental COVID-19 related costs), lower costs incurred for the Simplify to Grow Program and lower advertising and consumer promotion costs.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1,470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324"/>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4,209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revenues increased $ 51 million (3.6%), due to higher net pricing (2.4 pp) and favorable volume/mix (1.8 pp), partially offset by unfavorable currency (0.6 pp). Higher net pricing was reflected across all categories. Favorable volume/mix reflected overall volume gains as the negative impact from COVID-19 related lockdowns impacting our traditional trade markets subsided during the quarter. Volume/mix also reflected a benefit from trade inventory restocking to return inventory levels closer to pre-COVID-19 rates. Favorable volume/mix was driven by gains in biscuits, cheese &amp; grocery, chocolate and refreshment beverages partially offset by declines in gum and candy. Unfavorable currency impacts were due to the strength of the U.S. dollar relative to several currencies in the region, including the Indian rupee and South African rand, partially offset by the strength of several currencies relative to the U.S. dollar, including the Australian dollar, Chinese yuan and Philippine peso.</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Segment operating income increased $22 million (11.7%), primarily due to higher net pricing, lower manufacturing costs (net of incremental COVID-19 related costs), lapping prior-year intangible asset impairment charges, favorable volume/mix and lower other selling, general and administrative expenses. These favorable items were partially offset by higher raw material costs, higher Simplify to Grow program costs and higher divestiture-related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revenues decreased $103 million (2.4%), due to unfavorable currency (2.3 pp), the impact of a divestiture (1.3 pp) and unfavorable volume/mix (0.5 pp), partially offset by higher net pricing (1.7 pp). Unfavorable currency impacts were due to the strength of the U.S. dollar relative to several currencies in the region, including the Indian rupee, South African rand, Australian dollar and Chinese yuan, partially offset by the strength of several currencies relative to the U.S. dollar, including the Egyptian pound and Philippine peso. The May 28, 2019 divestiture of most of our cheese business in the Middle East and Africa resulted in a year-over-year decline in net revenues of $55 million. Unfavorable volume/mix was due to unfavorable product mix as overall higher volume was tempered by the negative volume impact from COVID-19 related lockdowns impacting our traditional trade markets. Unfavorable volume/mix was driven by declines in gum, candy, chocolate and refreshment beverages, partially offset by gains in biscuits and cheese &amp; grocery. Higher net pricing was driven by refreshment beverages, biscuits, chocolate and cheese &amp; grocery, partially offset by lower net pricing in gum and candy.</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Segment operating income decreased $20 million (3.1%), primarily due to higher raw material costs, unfavorable volume/mix, unfavorable currency, higher costs incurred for the Simplify to Grow Program and the impact of the prior-year divestiture. These unfavorable items were partially offset by higher net pricing, lower manufacturing costs (net of incremental COVID-19 related costs), lower other selling, general and administrative expenses and lower intangible asset impairment charges.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2,526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30.5 %</w:t>
            </w:r>
          </w:p>
        </w:tc>
      </w:tr>
      <w:tr>
        <w:trPr>
          <w:trHeight w:val="581"/>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7,248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1,201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revenues increased $149 million (6.3%), due to favorable volume/mix (3.6 pp) and favorable currency (2.9 pp), partially offset by lower net pricing (0.2 pp). Favorable volume/mix was due to overall higher volume, which was tempered by the net negative volume impact from the COVID-19 outbreak, as overall increased food purchases for in-home consumption and the benefit from trade inventory restocking to return inventory levels closer to pre-COVID-19 rates were partially offset by a negative volume impact on our world travel retail and foodservice businesses due to lockdowns and other restrictions. Favorable volume/mix was driven by gains in chocolate, biscuits and cheese</w:t>
      </w:r>
    </w:p>
    <w:p>
      <w:pPr>
        <w:spacing w:after="0" w:line="2" w:lineRule="exact"/>
        <w:rPr>
          <w:sz w:val="20"/>
          <w:szCs w:val="20"/>
          <w:color w:val="auto"/>
        </w:rPr>
      </w:pPr>
    </w:p>
    <w:p>
      <w:pPr>
        <w:ind w:right="20" w:firstLine="8"/>
        <w:spacing w:after="0" w:line="255" w:lineRule="auto"/>
        <w:tabs>
          <w:tab w:leader="none" w:pos="1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grocery, partially offset by declines in candy, gum and refreshment beverages. Favorable currency impacts reflected the strength of several currencies in the region relative to the U.S. dollar, primarily the euro and British pound sterling, partially offset by the strength of the U.S. dollar relative to several currencies, including the Russian ruble and Turkish lira. Lower net pricing was driven by biscuits, partially offset by higher net pricing in chocolate, refreshment beverages, cheese &amp; grocery, gum and candy.</w:t>
      </w:r>
    </w:p>
    <w:p>
      <w:pPr>
        <w:spacing w:after="0" w:line="2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Segment operating income increased $101 million (30.5%), primarily due to lower costs incurred for the Simplify to Grow Program, lower intangible asset impairment charges, favorable volume/mix, favorable currency and lower advertising and consumer promotion costs. These favorable items were partially offset by higher raw material costs, higher other selling, general and administrative expenses and lower net pricing.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revenues increased $73 million (1.0%), due to favorable volume/mix (2.5 pp), partially offset by unfavorable currency (1.3 pp) and lower net pricing (0.2 pp). Favorable volume/mix due to overall higher volume was tempered by the net impact from the COVID-19 outbreak, as overall increased food purchases for in-home consumption were partially offset by a negative volume impact on our world travel retail and foodservice businesses due to lockdowns and other restrictions. Favorable volume/mix was driven by gains in chocolate, cheese &amp; grocery, biscuits and refreshment beverages, partially offset by declines in gum and candy. Unfavorable currency impacts reflected the strength of the U.S. dollar relative to most currencies in the region, including the Russian ruble, Turkish lira and Norwegian krone, partially offset by the strength of several currencies in the region relative to the U.S. dollar, primarily the euro and Swiss franc. Lower net pricing was driven by biscuits and chocolate, partially offset by higher net pricing in cheese &amp; grocery, candy, gum and refreshment beverages.</w:t>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Segment operating income decreased $38 million (3.1%), primarily due to higher raw material costs, higher other selling, general and administrative expenses, unfavorable currency, higher manufacturing costs driven by incremental COVID-19 related costs, higher intangible asset impairment charges and lower net pricing. These unfavorable items were partially offset by favorable volume/mix, lower Simplify to Grow Program costs and lower advertising and consumer promotion costs.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2,059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581"/>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5,979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1,192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1,096</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revenues increased $236 million (12.9%), due to favorable volume/mix (4.2 pp), the impact of acquisitions (6.8 pp) and higher net pricing (2.1 pp), partially offset by unfavorable currency (0.2 pp). Favorable volume/mix, in part due to the positive volume impact from COVID-19 as consumers increased their food purchases for in-home consumption as well as the benefit from trade inventory restocking to return inventory levels closer to pre-COVID-19 rates, was driven by gains in biscuits, partially offset by declines in gum, chocolate and candy. The April 1, 2020 acquisition of Give &amp; Go added incremental net revenues of $125 million in the third quarter of 2020. Higher net pricing was reflected across all categories except gum. Unfavorable currency impact was due to the strength of the U.S. dollar relative to the Canadian dollar.</w:t>
      </w:r>
    </w:p>
    <w:p>
      <w:pPr>
        <w:spacing w:after="0" w:line="190"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Segment operating income increased $17 million (4.6%), primarily due to favorable volume/mix, higher net pricing and the impact of acquisitions. These favorable items were partially offset by intangible asset impairment charges, higher advertising and consumer promotion costs, higher other selling, general and administrative expenses, higher Simplify to Grow Program costs and higher raw material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revenues increased $784 million (15.1%), due to favorable volume/mix (7.8 pp), the impact of acquisitions (5.2 pp) and higher net pricing (2.3 pp), partially offset by unfavorable currency (0.2 pp). Favorable volume/mix, in part due to the positive volume impact from COVID-19 as consumers increased their food purchases for in-home consumption, was driven by gains in biscuits and candy, partially offset by declines in gum and chocolate. The April 1, 2020 acquisition of Give &amp; Go added incremental net revenues of $ 216 million and the July 16, 2019 acquisition of a majority interest in Perfect Snacks added net revenues of $ 55 million in the first nine months of 2020. Higher net pricing was driven by biscuits, chocolate and candy, partially offset by lower net pricing in gum. Unfavorable currency impact was due to the strength of the U.S. dollar relative to the Canadian dollar.</w:t>
      </w:r>
    </w:p>
    <w:p>
      <w:pPr>
        <w:spacing w:after="0" w:line="20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Segment operating income increased $96 million (8.8%), primarily due to favorable volume/mix, higher net pricing and the impact of acquisitions. These favorable items were partially offset by intangible asset impairment charges, higher advertising and consumer promotion costs, higher other selling, general and administrative expenses (including incremental COVID-19 related costs), lapping the benefit from prior-year pension participation changes, higher raw material costs, higher manufacturing costs driven by incremental COVID-19 related costs and higher Simplify to Grow Program costs.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In light of the current uncertainty in the global markets related to the COVID-19 outbreak,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As a precautionary measure and to preserve financial flexibility, we temporarily increased our credit facility borrowing capacity in the first nine months of 2020. In the third quarter of 2020, we completed the retirement of this incremental short-term borrowing capacity and have returned our credit facility available capacity to pre-COVID-19 levels.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additional details. We also continue to utilize our commercial paper program and international credit lines, and we secured and continue to evaluate long-term debt issuances to meet our short- and longer-term funding requirements. We also use intercompany loans with our international subsidiaries to improve financial flexibility. In connection with various legislatively authorized tax payment deferral mechanisms available for income tax, indirect tax (such as value-added tax) and payroll tax in a number of jurisdictions, we were able to defer certain of these tax payments, which provided a cash benefit that will reverse when the cash tax payments become due. Overall, we do not expect any negative effects to our funding sources that would have a material effect on our liquidity; however, if a serious economic or credit market crisis ensues, it could have a material adverse effect on our liquidity,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9"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Net cash provided by operating activities was $2,315 million in the first nine months of 2020 and $1,882 million in the first nine months of 2019. The increase in net cash provided by operating activities was due primarily to lower cash tax payments and lower working capital requirements, partially offset by payments of interest rate swap cash settlements and payments for several indirect tax matters that were resolved during the fourth quarter of 2019 under a tax amnesty program in India.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investing activities was $357 million in the first nine months of 2020 and $735 million in the first nine months of 2019. The decrease in net cash used in investing activities was due primarily to cash received from the sale of shares in the JDE Peet's and KDP offerings and lower capital expenditures, partially offset by cash paid to acquire a majority interest in Give &amp; Go. We continue to make capital expenditures primarily to modernize manufacturing facilities and support new product and productivity initiatives. During the first quarter of 2020 and due to the ongoing COVID-19 pandemic, we reduced our expected 2020 capital expenditures from up to $0.9 billion to up to $0.8 billion, including capital expenditures in connection with our Simplify to Grow Program. We expect to continue to fund these expenditures with cash from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9"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Net cash used in financing activities was $495 million in the first nine months of 2020 and $686 million in the first nine months of 2019. The decrease in cash used in financing activities was primarily due to lower share repurchases and higher net debt issuances, partially offset by higher dividends paid.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nine months of 2020. The nature and amount of our long -term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71.0% (or $13.7 billion) of the $19.3 billion of consolidated net revenue in the nine months ended September 30, 2020. The operations held by MIHN represented approximately 81.1% (or $21.9 billion) of the $27.0 billion of net assets as of September 30, 2020 and 87.2% (or $23.9 billion) of the $27.3 billion of net assets as of December 31, 2019.</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During February 2020, our Board of Directors approved a new $8.0 billion long-term financing authority to replace the prior $5.0 billion authority. As of September 30, 2020, we had $2.0 billion of long-term financing authority remaining.</w:t>
      </w:r>
    </w:p>
    <w:p>
      <w:pPr>
        <w:spacing w:after="0" w:line="171"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In the next 12 months, we expect $796 million of long-term debt to mature in January 2021. We expect to fund this repayment with a combination of cash on hand and short-term borrowings, including issuance of commercial paper.</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Our total debt was $20.1 billion at September 30, 2020 and $18.4 billion at December 31, 2019. Our debt-to-capitalization ratio was 0.43 at September 30, 2020 and 0.40 at December 31, 2019. At September 30, 2020, the weighted-average term of our outstanding long-term debt was 6.6 years. Our average daily commercial paper borrowings outstanding were $3.0 billion in the first nine months of 2020 and $4.2 billion in the first nine months of 2019. We had commercial paper outstanding totaling $0.1 billion as of September 30, 2020 and $2.6 billion as of December 31, 2019. We expect to continue to use commercial paper to finance various short-term financing needs. We continue to 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2020, the primary drivers of the increase in our aggregate commodity costs were higher currency exchange transaction costs on imported materials, as well as increased costs for cocoa, dairy, energy, nuts, oils, packaging, sugar and other ingredients, partially offset by lower costs for grains.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number of external factors such as the current COVID-19 global pandemic,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expect price volatility and a higher aggregate cost environment to continue in the remainder of 2020. While the costs of our principal raw materials fluctuate, we believe there will continue to be an adequate supply of the raw materials we use and that they will generally remain available from numerous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information on debt transactions during 2020.There were no other material developments or changes to our off-balance sheet arrangements and aggregate contractual obligations disclosed in our Annual Report on Form 10-K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nine months ended September 30, 2020.</w:t>
      </w:r>
    </w:p>
    <w:p>
      <w:pPr>
        <w:spacing w:after="0" w:line="1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repurchased shares at an aggregate cost of $17.2 billion, at a weighted-average cost of $40.09 per share, through September 30, 2020 ($0.7 billion in the first nine months of 2020, $1.5 billion in 2019, $2.0 billion in 2018, $2.2 billion in 2017, $2.6 billion in 2016, $3.6 billion in 2015, $1.9 billion in 2014 and $2.7 billion in 2013). The number of shares that we ultimately repurchase under our share repurchase program may vary depending on</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paid dividends of $1,227 million in the first nine months of 2020 and $1,131 million in the first nine months of 2019. The third quarter 2020 dividend of $0.315 per share, declared on July 28, 2020 for shareholders of record as of September 30, 2020, was paid on October 14, 2020.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6"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anticipate that the 2020 distributions will be characterized as dividends under U.S. federal income tax rules. The final determination will be made on an IRS Form 1099–DIV issued in early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2019.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2019.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the impact of new accounting standards.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“project,” “position,” “seek,” “aim,” “potential,” “outlook” and similar expressions are intended to identify our forward-looking statements, including but not limited to statements about: the impact of the COVID-19 outbreak on consumer demand, costs, product mix, the availability of our products, our strategic initiatives, our and our partners’ global supply chains, operations and routes to market, and our financial results; our future performance, including our future revenue and earnings growth; our strategy to accelerate consumer-centric growth, drive operational excellence and create a winning growth culture; volatility in global consumer, commodity, currency and capital markets; price volatility and pricing actions; the cost environment and measures to address increased costs; our ability to meet demand for our products; our tax rate, tax positions, tax proceedings and the impact of U.S. and Swiss tax reform on our results; the United Kingdom’s withdrawal from the European Union and its impact on our business and results, including the consequences of any trade or other cross-border operating agreements, or failure to reach agreements, following the United Kingdom’s withdrawal from the European Union; the costs of, timing of expenditures under and completion of our restructuring program; commodity prices and supply; our investments including in JDE Peet's and KDP; political, business and economic conditions and volatility; currency exchange rates, controls and restrictions and the effect of currency translation on our results of operations; the application of highly inflationary accounting for our Argentinian subsidiaries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pronouncements; pension expenses, contributions and assumptions; our liquidity, funding sources and uses of funding, including debt issuances and our use of commercial paper; our capital structure and liquidity, credit availability and our ability to raise capital, and the impact of market disruptions on us, our counterparties and our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share repurchases; dividends; long-term value for our shareholders; the characterization of 2020 distributions as dividends; compliance with our debt covenants; and our contractual and other obligations.</w:t>
      </w:r>
    </w:p>
    <w:p>
      <w:pPr>
        <w:spacing w:after="0" w:line="1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These forward-looking statements involve risks and uncertainties, many of which are beyond our control, and many of these risks and uncertainties are currently amplified by and may continue to be amplified by the COVID-19 outbreak. Important factors that could cause actual results to differ materially from those described in our forward-looking statements include, but are not limited to, uncertainty about the magnitude, duration, geographic reach, impact on the global economy and related current and potential travel restrictions of the COVID-19 outbreak; the current, and uncertain future, impact of the COVID-19 outbreak on our business, growth, reputation, prospects, financial condition, operating results (including components of our financial results), cash flows and liquidity;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w:t>
      </w:r>
      <w:r>
        <w:rPr>
          <w:rFonts w:ascii="Arial" w:cs="Arial" w:eastAsia="Arial" w:hAnsi="Arial"/>
          <w:sz w:val="18"/>
          <w:szCs w:val="18"/>
          <w:color w:val="212529"/>
        </w:rPr>
        <w:t>the impact of climate change on our supply chain and operations;</w:t>
      </w:r>
      <w:r>
        <w:rPr>
          <w:rFonts w:ascii="Arial" w:cs="Arial" w:eastAsia="Arial" w:hAnsi="Arial"/>
          <w:sz w:val="18"/>
          <w:szCs w:val="18"/>
          <w:color w:val="auto"/>
        </w:rPr>
        <w:t xml:space="preserve">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0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right="160" w:hanging="4"/>
        <w:spacing w:after="0"/>
        <w:tabs>
          <w:tab w:leader="none" w:pos="903" w:val="left"/>
        </w:tabs>
        <w:numPr>
          <w:ilvl w:val="1"/>
          <w:numId w:val="38"/>
        </w:numPr>
        <w:rPr>
          <w:rFonts w:ascii="Arial" w:cs="Arial" w:eastAsia="Arial" w:hAnsi="Arial"/>
          <w:sz w:val="23"/>
          <w:szCs w:val="23"/>
          <w:color w:val="auto"/>
          <w:vertAlign w:val="superscript"/>
        </w:rPr>
      </w:pPr>
      <w:r>
        <w:rPr>
          <w:rFonts w:ascii="Arial" w:cs="Arial" w:eastAsia="Arial" w:hAnsi="Arial"/>
          <w:sz w:val="18"/>
          <w:szCs w:val="18"/>
          <w:color w:val="auto"/>
        </w:rPr>
        <w:t>We also evaluate Organic Net Revenue growth from emerging markets and developed markets. Our emerging markets include our Latin America region in its entirety; the AMEA region, excluding Australia, New Zealand and Japan; and the following countries from the Europe region: Russia, Ukraine, Turkey, Kazakhstan,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215" w:lineRule="exact"/>
        <w:rPr>
          <w:rFonts w:ascii="Arial" w:cs="Arial" w:eastAsia="Arial" w:hAnsi="Arial"/>
          <w:sz w:val="23"/>
          <w:szCs w:val="23"/>
          <w:color w:val="auto"/>
          <w:vertAlign w:val="superscript"/>
        </w:rPr>
      </w:pPr>
    </w:p>
    <w:p>
      <w:pPr>
        <w:ind w:left="660" w:right="140" w:hanging="328"/>
        <w:spacing w:after="0" w:line="21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10"/>
          <w:szCs w:val="10"/>
          <w:color w:val="auto"/>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10"/>
          <w:szCs w:val="10"/>
          <w:color w:val="auto"/>
        </w:rPr>
        <w:t>(9)</w:t>
      </w:r>
      <w:r>
        <w:rPr>
          <w:rFonts w:ascii="Arial" w:cs="Arial" w:eastAsia="Arial" w:hAnsi="Arial"/>
          <w:sz w:val="18"/>
          <w:szCs w:val="18"/>
          <w:color w:val="auto"/>
        </w:rPr>
        <w:t xml:space="preserve">; Swiss tax reform impacts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and costs associated with the JDE Peet's transaction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660" w:hanging="328"/>
        <w:spacing w:after="0" w:line="23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equity method investment transactions;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80" w:right="200" w:hanging="324"/>
        <w:spacing w:after="0" w:line="250"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 xml:space="preserve">When items no longer impact our current or future presentation of non-GAAP operating results, we remove these items from our non-GAAP definitions. During the second quarter of 2020, we added to the non-GAAP definitions the exclusion of costs associated with the JDE Peet's transaction. Refer to Note 6, </w:t>
      </w:r>
      <w:r>
        <w:rPr>
          <w:rFonts w:ascii="Arial" w:cs="Arial" w:eastAsia="Arial" w:hAnsi="Arial"/>
          <w:sz w:val="14"/>
          <w:szCs w:val="14"/>
          <w:i w:val="1"/>
          <w:iCs w:val="1"/>
          <w:color w:val="auto"/>
        </w:rPr>
        <w:t>Equity</w:t>
      </w:r>
      <w:r>
        <w:rPr>
          <w:rFonts w:ascii="Arial" w:cs="Arial" w:eastAsia="Arial" w:hAnsi="Arial"/>
          <w:sz w:val="14"/>
          <w:szCs w:val="14"/>
          <w:color w:val="auto"/>
        </w:rPr>
        <w:t xml:space="preserve"> </w:t>
      </w:r>
      <w:r>
        <w:rPr>
          <w:rFonts w:ascii="Arial" w:cs="Arial" w:eastAsia="Arial" w:hAnsi="Arial"/>
          <w:sz w:val="14"/>
          <w:szCs w:val="14"/>
          <w:i w:val="1"/>
          <w:iCs w:val="1"/>
          <w:color w:val="auto"/>
        </w:rPr>
        <w:t>Method Investments</w:t>
      </w:r>
      <w:r>
        <w:rPr>
          <w:rFonts w:ascii="Arial" w:cs="Arial" w:eastAsia="Arial" w:hAnsi="Arial"/>
          <w:sz w:val="14"/>
          <w:szCs w:val="14"/>
          <w:color w:val="auto"/>
        </w:rPr>
        <w:t>, and Note 14,</w:t>
      </w:r>
      <w:r>
        <w:rPr>
          <w:rFonts w:ascii="Arial" w:cs="Arial" w:eastAsia="Arial" w:hAnsi="Arial"/>
          <w:sz w:val="14"/>
          <w:szCs w:val="14"/>
          <w:i w:val="1"/>
          <w:iCs w:val="1"/>
          <w:color w:val="auto"/>
        </w:rPr>
        <w:t xml:space="preserve"> Income Taxes</w:t>
      </w:r>
      <w:r>
        <w:rPr>
          <w:rFonts w:ascii="Arial" w:cs="Arial" w:eastAsia="Arial" w:hAnsi="Arial"/>
          <w:sz w:val="14"/>
          <w:szCs w:val="14"/>
          <w:color w:val="auto"/>
        </w:rPr>
        <w:t>, for more information on the JDE Peet's transaction.</w:t>
      </w:r>
    </w:p>
    <w:p>
      <w:pPr>
        <w:ind w:left="980" w:right="80" w:hanging="324"/>
        <w:spacing w:after="0" w:line="241"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See Note 2, Acquisitions and Divestitures, and Note 6, Equity Method Investments, for information on acquisitions and divestitures impacting the comparability of our results.</w:t>
      </w:r>
    </w:p>
    <w:p>
      <w:pPr>
        <w:spacing w:after="0" w:line="1" w:lineRule="exact"/>
        <w:rPr>
          <w:rFonts w:ascii="Arial" w:cs="Arial" w:eastAsia="Arial" w:hAnsi="Arial"/>
          <w:sz w:val="14"/>
          <w:szCs w:val="14"/>
          <w:color w:val="auto"/>
        </w:rPr>
      </w:pPr>
    </w:p>
    <w:p>
      <w:pPr>
        <w:jc w:val="both"/>
        <w:ind w:left="980" w:right="140" w:hanging="324"/>
        <w:spacing w:after="0" w:line="241"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60" w:hanging="324"/>
        <w:spacing w:after="0" w:line="241"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60" w:hanging="324"/>
        <w:spacing w:after="0" w:line="241"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520" w:hanging="324"/>
        <w:spacing w:after="0" w:line="241"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right="20" w:hanging="324"/>
        <w:spacing w:after="0" w:line="244" w:lineRule="auto"/>
        <w:tabs>
          <w:tab w:leader="none" w:pos="967" w:val="left"/>
        </w:tabs>
        <w:numPr>
          <w:ilvl w:val="1"/>
          <w:numId w:val="39"/>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are incremental to amounts we would have incurred as ongoing CEO compensation. As a result, in 2017, we excluded amounts expensed for the cash payment</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to Mr. Van de Put and partial vesting of his equity grants. In 2018, we excluded amounts paid for Ms. Rosenfeld’s service as Chairman and partial vesting of</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Mr. Van de Put’s and Ms. Rosenfeld’s equity grants. In 2019, we excluded amounts related to the partial vesting of Mr. Van de Put’s equity grants. During the first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quarter of 2020, Mr. Van de Put's equity grants became fully vested.</w:t>
      </w:r>
    </w:p>
    <w:p>
      <w:pPr>
        <w:spacing w:after="0" w:line="1" w:lineRule="exact"/>
        <w:rPr>
          <w:sz w:val="20"/>
          <w:szCs w:val="20"/>
          <w:color w:val="auto"/>
        </w:rPr>
      </w:pPr>
    </w:p>
    <w:p>
      <w:pPr>
        <w:ind w:left="980" w:right="200" w:hanging="324"/>
        <w:spacing w:after="0" w:line="241" w:lineRule="auto"/>
        <w:tabs>
          <w:tab w:leader="none" w:pos="96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hanging="324"/>
        <w:spacing w:after="0" w:line="241" w:lineRule="auto"/>
        <w:tabs>
          <w:tab w:leader="none" w:pos="979"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We exclude the impact of the 2019 Swiss tax reform and 2017 U.S. tax reform. During the third quarter of 2019, Swiss Federal and Zurich Cantonal tax events drove our recognition of a Swiss tax reform net benefit to our results of operations. On December 22, 2017, the United States enacted tax reform legislation that included a broad range of business tax provisions. We exclude these tax reform impacts from our Adjusted EPS as they do not reflect our ongoing tax obligations under the new tax reforms. 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Swiss tax reform and our Annual Report on Form 10-K for the year ended December 31, 2019 for more information on the impact of Swiss and U.S. tax reform.</w:t>
      </w:r>
    </w:p>
    <w:p>
      <w:pPr>
        <w:spacing w:after="0" w:line="1" w:lineRule="exact"/>
        <w:rPr>
          <w:rFonts w:ascii="Arial" w:cs="Arial" w:eastAsia="Arial" w:hAnsi="Arial"/>
          <w:sz w:val="14"/>
          <w:szCs w:val="14"/>
          <w:color w:val="auto"/>
        </w:rPr>
      </w:pPr>
    </w:p>
    <w:p>
      <w:pPr>
        <w:ind w:left="980" w:right="80" w:hanging="324"/>
        <w:spacing w:after="0" w:line="245" w:lineRule="auto"/>
        <w:tabs>
          <w:tab w:leader="none" w:pos="969"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Applying the definition of “Organic Net Revenue,” the adjustments made to “net revenues” (the most comparable U.S. GAAP financial measure) were to exclude the impact of currency, acquisitions and a divestiture.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ectPr>
          <w:pgSz w:w="11900" w:h="16838" w:orient="portrait"/>
          <w:cols w:equalWidth="0" w:num="1">
            <w:col w:w="11220"/>
          </w:cols>
          <w:pgMar w:left="320" w:top="360" w:right="359" w:bottom="1440" w:gutter="0" w:footer="0" w:header="0"/>
        </w:sectPr>
      </w:pPr>
    </w:p>
    <w:p>
      <w:pPr>
        <w:spacing w:after="0" w:line="89"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For the Three Months Ended September 30, 2020</w:t>
      </w:r>
    </w:p>
    <w:p>
      <w:pPr>
        <w:spacing w:after="0" w:line="30" w:lineRule="exact"/>
        <w:rPr>
          <w:sz w:val="20"/>
          <w:szCs w:val="20"/>
          <w:color w:val="auto"/>
        </w:r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4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 the Three Months Ended September 30,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70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20" w:space="120"/>
            <w:col w:w="4480"/>
          </w:cols>
          <w:pgMar w:left="320" w:top="36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4,376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3,992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6,355</w:t>
            </w:r>
          </w:p>
        </w:tc>
      </w:tr>
      <w:tr>
        <w:trPr>
          <w:trHeight w:val="216"/>
        </w:trPr>
        <w:tc>
          <w:tcPr>
            <w:tcW w:w="2160" w:type="dxa"/>
            <w:vAlign w:val="bottom"/>
          </w:tcPr>
          <w:p>
            <w:pPr>
              <w:ind w:left="12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Impact of acquisition</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2,489</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4,143</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6,632</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2,363</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3,992</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6,355</w:t>
            </w:r>
          </w:p>
        </w:tc>
      </w:tr>
      <w:tr>
        <w:trPr>
          <w:trHeight w:val="20"/>
        </w:trPr>
        <w:tc>
          <w:tcPr>
            <w:tcW w:w="2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0" w:right="359" w:bottom="1440" w:gutter="0" w:footer="0" w:header="0"/>
          <w:type w:val="continuous"/>
        </w:sectPr>
      </w:pPr>
    </w:p>
    <w:p>
      <w:pPr>
        <w:spacing w:after="0" w:line="41"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For the Nine Months Ended September 30, 2020</w:t>
      </w:r>
    </w:p>
    <w:p>
      <w:pPr>
        <w:spacing w:after="0" w:line="30" w:lineRule="exact"/>
        <w:rPr>
          <w:sz w:val="20"/>
          <w:szCs w:val="20"/>
          <w:color w:val="auto"/>
        </w:rPr>
      </w:pPr>
    </w:p>
    <w:tbl>
      <w:tblPr>
        <w:tblLayout w:type="fixed"/>
        <w:tblInd w:w="218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4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Markets</w:t>
            </w: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For the Nine Months Ended September 30,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rPr>
              <w:t>Developed</w:t>
            </w:r>
          </w:p>
        </w:tc>
        <w:tc>
          <w:tcPr>
            <w:tcW w:w="134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Markets</w:t>
            </w: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28"/>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20"/>
            <w:col w:w="4460"/>
          </w:cols>
          <w:pgMar w:left="320" w:top="360" w:right="35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12,660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19,283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11,818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18,955</w:t>
            </w:r>
          </w:p>
        </w:tc>
      </w:tr>
      <w:tr>
        <w:trPr>
          <w:trHeight w:val="216"/>
        </w:trPr>
        <w:tc>
          <w:tcPr>
            <w:tcW w:w="2160" w:type="dxa"/>
            <w:vAlign w:val="bottom"/>
          </w:tcPr>
          <w:p>
            <w:pPr>
              <w:ind w:left="120"/>
              <w:spacing w:after="0"/>
              <w:rPr>
                <w:sz w:val="20"/>
                <w:szCs w:val="20"/>
                <w:color w:val="auto"/>
              </w:rPr>
            </w:pPr>
            <w:r>
              <w:rPr>
                <w:rFonts w:ascii="Arial" w:cs="Arial" w:eastAsia="Arial" w:hAnsi="Arial"/>
                <w:sz w:val="16"/>
                <w:szCs w:val="16"/>
                <w:color w:val="auto"/>
              </w:rPr>
              <w:t>Impact of currency</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Impact of acquisitions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160" w:type="dxa"/>
            <w:vAlign w:val="bottom"/>
          </w:tcPr>
          <w:p>
            <w:pPr>
              <w:ind w:left="120"/>
              <w:spacing w:after="0"/>
              <w:rPr>
                <w:sz w:val="20"/>
                <w:szCs w:val="20"/>
                <w:color w:val="auto"/>
              </w:rPr>
            </w:pPr>
            <w:r>
              <w:rPr>
                <w:rFonts w:ascii="Arial" w:cs="Arial" w:eastAsia="Arial" w:hAnsi="Arial"/>
                <w:sz w:val="16"/>
                <w:szCs w:val="16"/>
                <w:color w:val="auto"/>
              </w:rPr>
              <w:t>Impact of divestiture</w:t>
            </w: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5"/>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18,900</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acquisition integration costs; acquisition and divestiture-related costs; operating income from a divestiture; net gain on a divestiture; costs associated with the JDE Peet's transaction; the remeasurement of net monetary position; impact from pension participation changes; CEO transition remuneration and Swiss tax reform impact. We also evaluate Adjusted Operating Income on a constant currency basis. We believe these measures provide improved comparability of underlying operating results.</w:t>
      </w:r>
    </w:p>
    <w:p>
      <w:pPr>
        <w:spacing w:after="0" w:line="86"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jc w:val="center"/>
        <w:ind w:left="18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29.6 %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(6)</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(7)</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Other/rounding</w:t>
            </w: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20" w:type="dxa"/>
            <w:vAlign w:val="bottom"/>
          </w:tcPr>
          <w:p>
            <w:pPr>
              <w:spacing w:after="0"/>
              <w:rPr>
                <w:sz w:val="19"/>
                <w:szCs w:val="19"/>
                <w:color w:val="auto"/>
              </w:rPr>
            </w:pPr>
          </w:p>
        </w:tc>
        <w:tc>
          <w:tcPr>
            <w:tcW w:w="860" w:type="dxa"/>
            <w:vAlign w:val="bottom"/>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1,165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9.4 %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1,177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10.5 %</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For the 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(8)</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(9)</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(6)</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(7)</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Other/rounding</w:t>
            </w: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880" w:type="dxa"/>
            <w:vAlign w:val="bottom"/>
            <w:gridSpan w:val="2"/>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3,213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3,163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1.6 %</w:t>
            </w:r>
          </w:p>
        </w:tc>
        <w:tc>
          <w:tcPr>
            <w:tcW w:w="20" w:type="dxa"/>
            <w:vAlign w:val="bottom"/>
          </w:tcPr>
          <w:p>
            <w:pPr>
              <w:spacing w:after="0"/>
              <w:rPr>
                <w:sz w:val="19"/>
                <w:szCs w:val="19"/>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Unfavorable currency translation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880" w:type="dxa"/>
            <w:vAlign w:val="bottom"/>
            <w:tcBorders>
              <w:top w:val="single" w:sz="8" w:color="auto"/>
              <w:bottom w:val="single" w:sz="8" w:color="auto"/>
            </w:tcBorders>
            <w:gridSpan w:val="2"/>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3,299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4.3 %</w:t>
            </w:r>
          </w:p>
        </w:tc>
        <w:tc>
          <w:tcPr>
            <w:tcW w:w="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5"/>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right="36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right="14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definitions and related table notes.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Swiss tax reform.</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60" w:right="5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a loss related to interest rate swaps; Swiss tax reform net impacts; gains or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1" w:lineRule="exact"/>
        <w:rPr>
          <w:sz w:val="20"/>
          <w:szCs w:val="20"/>
          <w:color w:val="auto"/>
        </w:rPr>
      </w:pPr>
    </w:p>
    <w:p>
      <w:pPr>
        <w:jc w:val="center"/>
        <w:ind w:left="2060"/>
        <w:spacing w:after="0"/>
        <w:rPr>
          <w:sz w:val="20"/>
          <w:szCs w:val="20"/>
          <w:color w:val="auto"/>
        </w:rPr>
      </w:pPr>
      <w:r>
        <w:rPr>
          <w:rFonts w:ascii="Arial" w:cs="Arial" w:eastAsia="Arial" w:hAnsi="Arial"/>
          <w:sz w:val="14"/>
          <w:szCs w:val="14"/>
          <w:b w:val="1"/>
          <w:bCs w:val="1"/>
          <w:color w:val="auto"/>
        </w:rPr>
        <w:t>For the Three Months Ended</w:t>
      </w:r>
    </w:p>
    <w:p>
      <w:pPr>
        <w:jc w:val="center"/>
        <w:ind w:left="20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(3)</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3"/>
                <w:szCs w:val="23"/>
                <w:color w:val="auto"/>
                <w:vertAlign w:val="superscript"/>
              </w:rPr>
              <w:t>(4)</w:t>
            </w:r>
          </w:p>
        </w:tc>
        <w:tc>
          <w:tcPr>
            <w:tcW w:w="8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Gain on equity method investment</w:t>
            </w:r>
          </w:p>
        </w:tc>
        <w:tc>
          <w:tcPr>
            <w:tcW w:w="8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3"/>
                <w:szCs w:val="23"/>
                <w:color w:val="auto"/>
                <w:vertAlign w:val="superscript"/>
              </w:rPr>
              <w:t>(5)</w:t>
            </w:r>
          </w:p>
        </w:tc>
        <w:tc>
          <w:tcPr>
            <w:tcW w:w="86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Unfavorable currency translation</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86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86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(Gain)/loss on equity method investment</w:t>
            </w:r>
          </w:p>
        </w:tc>
        <w:tc>
          <w:tcPr>
            <w:tcW w:w="86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(0.31)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3"/>
                <w:szCs w:val="23"/>
                <w:color w:val="auto"/>
                <w:vertAlign w:val="superscript"/>
              </w:rPr>
              <w:t>(5)</w:t>
            </w:r>
          </w:p>
        </w:tc>
        <w:tc>
          <w:tcPr>
            <w:tcW w:w="8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Adjusted EPS</w:t>
            </w: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Unfavorable currency translation</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Adjusted EPS (constant currency)</w:t>
            </w: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right="120" w:hanging="332"/>
        <w:spacing w:after="0" w:line="254"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right="40" w:hanging="328"/>
        <w:spacing w:after="0" w:line="252" w:lineRule="auto"/>
        <w:tabs>
          <w:tab w:leader="none" w:pos="656" w:val="left"/>
        </w:tabs>
        <w:numPr>
          <w:ilvl w:val="1"/>
          <w:numId w:val="42"/>
        </w:numPr>
        <w:rPr>
          <w:rFonts w:ascii="Arial" w:cs="Arial" w:eastAsia="Arial" w:hAnsi="Arial"/>
          <w:sz w:val="14"/>
          <w:szCs w:val="14"/>
          <w:color w:val="auto"/>
        </w:rPr>
      </w:pPr>
      <w:r>
        <w:rPr>
          <w:rFonts w:ascii="Arial" w:cs="Arial" w:eastAsia="Arial" w:hAnsi="Arial"/>
          <w:sz w:val="14"/>
          <w:szCs w:val="14"/>
          <w:color w:val="auto"/>
        </w:rPr>
        <w:t>For the three months ended September 30, 2020, taxes for the: Simplify to Grow Program were $(22) million, intangible asset impairment charges were $(12) million, mark-to-market losses from derivatives were $27 million, gain on equity method investment transactions were $77 million and equity method investee items were $(3) million.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both"/>
        <w:ind w:left="660" w:right="40" w:hanging="328"/>
        <w:spacing w:after="0" w:line="250" w:lineRule="auto"/>
        <w:tabs>
          <w:tab w:leader="none" w:pos="656"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three months ended September 30, 2019, taxes for the: Simplify to Grow Program were $(29) million, intangible asset impairment charges were $(14) million, mark-to-market gains from derivatives were $8 million, loss related to interest rate swaps were zero, Swiss tax reform were $(769) million and equity method investee items were $(2) million.</w:t>
      </w:r>
    </w:p>
    <w:p>
      <w:pPr>
        <w:ind w:left="660" w:hanging="328"/>
        <w:spacing w:after="0" w:line="241" w:lineRule="auto"/>
        <w:tabs>
          <w:tab w:leader="none" w:pos="656"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nine months ended September 30, 2020, taxes for the: Simplify to Grow Program were $(55) million, intangible asset impairment charges were $(33) million, mark-to-market losses from derivatives were $(5) million, acquisition-related costs were zero, net earnings from divestiture were zero, costs associated with the JDE Peet's transaction were $261 million, impact from pension participation changes were $(2) million, loss related to interest rate swaps were $(24) million, gain on equity method investment transactions were $94 million and equity method investee items were $(11) million.</w:t>
      </w:r>
    </w:p>
    <w:p>
      <w:pPr>
        <w:spacing w:after="0" w:line="1" w:lineRule="exact"/>
        <w:rPr>
          <w:rFonts w:ascii="Arial" w:cs="Arial" w:eastAsia="Arial" w:hAnsi="Arial"/>
          <w:sz w:val="14"/>
          <w:szCs w:val="14"/>
          <w:color w:val="auto"/>
        </w:rPr>
      </w:pPr>
    </w:p>
    <w:p>
      <w:pPr>
        <w:ind w:left="660" w:hanging="328"/>
        <w:spacing w:after="0" w:line="241" w:lineRule="auto"/>
        <w:tabs>
          <w:tab w:leader="none" w:pos="656"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nine months ended September 30, 2019, taxes for the: Simplify to Grow Program were $(67) million, intangible asset impairment charges were $(14) million, mark-to-market gains from derivatives were $14 million, divestiture-related costs were zero, net earnings from divestiture were $1 million, net gain on divestiture were $2 million, impact from pension participation changes were $9 million, CEO transition remuneration were zero, loss related to interest rate swaps were zero, Swiss tax reform were $(769) million, net loss on equity method investment transaction were $7 million and equity method investee items were $(9) million.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Swiss tax reform.</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and losses on equity method investment transactions.</w:t>
      </w:r>
    </w:p>
    <w:p>
      <w:pPr>
        <w:spacing w:after="0" w:line="1" w:lineRule="exact"/>
        <w:rPr>
          <w:rFonts w:ascii="Arial" w:cs="Arial" w:eastAsia="Arial" w:hAnsi="Arial"/>
          <w:sz w:val="14"/>
          <w:szCs w:val="14"/>
          <w:color w:val="auto"/>
        </w:rPr>
      </w:pPr>
    </w:p>
    <w:p>
      <w:pPr>
        <w:ind w:left="340" w:right="160" w:hanging="332"/>
        <w:spacing w:after="0" w:line="264" w:lineRule="auto"/>
        <w:tabs>
          <w:tab w:leader="none" w:pos="3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2020, 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markets, including commodity, currency and capital markets. While some of these markets such as the U.S. and other major stock markets and certain currencies have rebounded significantly in the second and third quarters of 2020,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are actively working to mitigate these risks and we largely employed existing strategies that are described below to mitigate these market risks related to currency, commodity and interest rate risks.</w:t>
      </w:r>
    </w:p>
    <w:p>
      <w:pPr>
        <w:spacing w:after="0" w:line="209"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nine months ended September 30, 2020.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such as the current COVID-19 global pandemic.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For more information on our 2020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80"/>
        <w:spacing w:after="0" w:line="32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2020 derivative activity. For additional information on our hedging strategies, policies and practices on an ongoing basis, also refer to our Annual Report on Form 10-K for the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2020. Based on this evaluation, the CEO and CFO concluded that our disclosure controls and procedures were effective as of September 30,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2020. Many of our employees and those of our outsourcing partners and other accounting service providers continued to work remotely as a significant number of our and their offices were closed in response to the COVID-19 outbreak. There were no material changes in our internal controls over financial reporting as we were able to continue to maintain our existing controls and procedures over our financial reporting during the quarter ended September 30, 2020.</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0"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2019 and our Quarterly Report on Form 10-Q for the quarterly period ended March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2020 was: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7"/>
                <w:szCs w:val="17"/>
                <w:b w:val="1"/>
                <w:bCs w:val="1"/>
                <w:color w:val="auto"/>
                <w:w w:val="99"/>
                <w:vertAlign w:val="superscript"/>
              </w:rPr>
              <w:t>(2)(3)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August 1-31,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Pr>
          <w:p>
            <w:pPr>
              <w:spacing w:after="0"/>
              <w:rPr>
                <w:sz w:val="19"/>
                <w:szCs w:val="19"/>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September 30,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19"/>
                <w:szCs w:val="19"/>
                <w:color w:val="auto"/>
              </w:rPr>
            </w:pP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240" w:hanging="332"/>
        <w:spacing w:after="0" w:line="250"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3,113 shares, 2,754 shares and 626 shares for the fiscal months of July, August and September 2020, respectively.</w:t>
      </w:r>
    </w:p>
    <w:p>
      <w:pPr>
        <w:ind w:left="340" w:hanging="332"/>
        <w:spacing w:after="0" w:line="241"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proxy statement for the 2020 Annual Meeting of Shareholders, which was filed with the Securities and Exchange Commission on April 1, 2020, contained a typographical error in the section entitled “2021 Annual Meeting of Shareholders – Shareholder Nominations and Proposals for the 2021 Annual Meeting” solely related to the dates by which a shareholder must (a) provide notice to us if the shareholder would like to include a shareholder director candidate in the Company’s proxy materials for the 2021 Annual Meeting of Shareholders and (b) submit a shareholder proposal for possible inclusion in our proxy materials for the 2021 Annual Meeting of Shareholders. The corrected information is set forth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Director Candidates for Possible Inclusion in the Company’s 2021 Proxy Materials (“Proxy Access”)</w:t>
      </w:r>
    </w:p>
    <w:p>
      <w:pPr>
        <w:spacing w:after="0" w:line="24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By-Laws provide for proxy access. One or more shareholders may nominate and include in the 2021 proxy materials director nominees provided that the shareholder(s) and the nominee(s) satisfy the terms, conditions and requirements specified in the By-Laws. The key parameters are:</w:t>
      </w:r>
    </w:p>
    <w:p>
      <w:pPr>
        <w:spacing w:after="0" w:line="19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Minimum Ownership Threshold</w:t>
      </w:r>
      <w:r>
        <w:rPr>
          <w:rFonts w:ascii="Arial" w:cs="Arial" w:eastAsia="Arial" w:hAnsi="Arial"/>
          <w:sz w:val="18"/>
          <w:szCs w:val="18"/>
          <w:color w:val="auto"/>
        </w:rPr>
        <w:t>: the nominating shareholder(s) must own 3% or more of the outstanding Common Stock</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Ownership Duration</w:t>
      </w:r>
      <w:r>
        <w:rPr>
          <w:rFonts w:ascii="Arial" w:cs="Arial" w:eastAsia="Arial" w:hAnsi="Arial"/>
          <w:sz w:val="18"/>
          <w:szCs w:val="18"/>
          <w:color w:val="auto"/>
        </w:rPr>
        <w:t>: such Common Stock must have been held continuously for at least three years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Nominating Group Size</w:t>
      </w:r>
      <w:r>
        <w:rPr>
          <w:rFonts w:ascii="Arial" w:cs="Arial" w:eastAsia="Arial" w:hAnsi="Arial"/>
          <w:sz w:val="18"/>
          <w:szCs w:val="18"/>
          <w:color w:val="auto"/>
        </w:rPr>
        <w:t>: a nominating shareholder group cannot consist of more than 20 shareholders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Number of Nominees</w:t>
      </w:r>
      <w:r>
        <w:rPr>
          <w:rFonts w:ascii="Arial" w:cs="Arial" w:eastAsia="Arial" w:hAnsi="Arial"/>
          <w:sz w:val="18"/>
          <w:szCs w:val="18"/>
          <w:color w:val="auto"/>
        </w:rPr>
        <w:t>: appropriate shareholders may nominate the greater of 20% of the Board or 2 nominees</w:t>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To be included in the proxy materials for the 2021 Annual Meeting of Shareholders, the Corporate Secretary must receive the required written notice and required information specified in the By-Laws on or before December 2,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Possible Inclusion in the Company’s 2021 Proxy Materials</w:t>
      </w:r>
    </w:p>
    <w:p>
      <w:pPr>
        <w:spacing w:after="0" w:line="24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Under SEC Rule 14a-8, a shareholder may submit a proposal for possible inclusion in the 2021 proxy materials for an annual meeting of shareholders. The Corporate Secretary must receive the proposal and other required information at our principal executive offices not later than 120 calendar days before the one-year anniversary date of the proxy statement's release for the previous year's annual meeting. Accordingly, to be considered for inclusion in the proxy materials for the 2021 Annual Meeting of Shareholders, the Corporate Secretary must receive a shareholder's submission of a proposal on or before the close of business on December 2, 2020.</w:t>
      </w:r>
    </w:p>
    <w:p>
      <w:pPr>
        <w:spacing w:after="0" w:line="19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Shareholders should mail all nominations and proposals to the Corporate Secretary at Mondelēz International, Inc., 905 West Fulton Market, Suite 200, Chicago, Illinois 60607.</w:t>
      </w:r>
    </w:p>
    <w:p>
      <w:pPr>
        <w:spacing w:after="0" w:line="17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 xml:space="preserve">Shareholders may obtain a copy of the By-Laws from the Corporate Secretary (please make a written request to the same address) or by visiting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380" w:type="dxa"/>
            <w:vAlign w:val="bottom"/>
            <w:gridSpan w:val="6"/>
            <w:vMerge w:val="restart"/>
          </w:tcPr>
          <w:p>
            <w:pPr>
              <w:ind w:left="22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3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380" w:type="dxa"/>
            <w:vAlign w:val="bottom"/>
            <w:tcBorders>
              <w:top w:val="single" w:sz="8" w:color="auto"/>
            </w:tcBorders>
            <w:gridSpan w:val="10"/>
          </w:tcPr>
          <w:p>
            <w:pPr>
              <w:spacing w:after="0" w:line="169" w:lineRule="exact"/>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10"/>
          </w:tcPr>
          <w:p>
            <w:pPr>
              <w:spacing w:after="0" w:line="176" w:lineRule="exact"/>
              <w:rPr>
                <w:sz w:val="20"/>
                <w:szCs w:val="20"/>
                <w:color w:val="auto"/>
              </w:rPr>
            </w:pPr>
            <w:r>
              <w:rPr>
                <w:rFonts w:ascii="Arial" w:cs="Arial" w:eastAsia="Arial" w:hAnsi="Arial"/>
                <w:sz w:val="18"/>
                <w:szCs w:val="18"/>
                <w:color w:val="auto"/>
              </w:rPr>
              <w:t>long-term debt of the Registrant and its consolidated subsidiaries that does not exceed 10 percent of the total assets</w:t>
            </w: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auto"/>
              </w:rPr>
              <w:t>of the Registrant and its consolidated subsidiaries.</w:t>
            </w:r>
          </w:p>
        </w:tc>
        <w:tc>
          <w:tcPr>
            <w:tcW w:w="0" w:type="dxa"/>
            <w:vAlign w:val="bottom"/>
          </w:tcPr>
          <w:p>
            <w:pPr>
              <w:spacing w:after="0"/>
              <w:rPr>
                <w:sz w:val="1"/>
                <w:szCs w:val="1"/>
                <w:color w:val="auto"/>
              </w:rPr>
            </w:pPr>
          </w:p>
        </w:tc>
      </w:tr>
      <w:tr>
        <w:trPr>
          <w:trHeight w:val="198"/>
        </w:trPr>
        <w:tc>
          <w:tcPr>
            <w:tcW w:w="1000" w:type="dxa"/>
            <w:vAlign w:val="bottom"/>
          </w:tcPr>
          <w:p>
            <w:pPr>
              <w:ind w:left="20"/>
              <w:spacing w:after="0" w:line="198"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10"/>
          </w:tcPr>
          <w:p>
            <w:pPr>
              <w:spacing w:after="0" w:line="198" w:lineRule="exact"/>
              <w:rPr>
                <w:rFonts w:ascii="Arial" w:cs="Arial" w:eastAsia="Arial" w:hAnsi="Arial"/>
                <w:sz w:val="18"/>
                <w:szCs w:val="18"/>
                <w:color w:val="0000FF"/>
              </w:rPr>
            </w:pPr>
            <w:hyperlink r:id="rId107">
              <w:r>
                <w:rPr>
                  <w:rFonts w:ascii="Arial" w:cs="Arial" w:eastAsia="Arial" w:hAnsi="Arial"/>
                  <w:sz w:val="18"/>
                  <w:szCs w:val="18"/>
                  <w:color w:val="0000FF"/>
                </w:rPr>
                <w:t>Third Supplemental Indenture, dated as of September 22, 2020, by and among Mondelez International Holdings</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5"/>
          </w:tcPr>
          <w:p>
            <w:pPr>
              <w:spacing w:after="0" w:line="142" w:lineRule="exact"/>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Netherlands B.V., as issuer, Mondelēz International, Inc., as guarantor, and Deutsche Bank Trust Company</w:t>
              </w:r>
            </w:hyperlink>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10"/>
          </w:tcPr>
          <w:p>
            <w:pPr>
              <w:spacing w:after="0" w:line="189" w:lineRule="exact"/>
              <w:rPr>
                <w:rFonts w:ascii="Arial" w:cs="Arial" w:eastAsia="Arial" w:hAnsi="Arial"/>
                <w:sz w:val="18"/>
                <w:szCs w:val="18"/>
                <w:color w:val="0000FF"/>
              </w:rPr>
            </w:pPr>
            <w:hyperlink r:id="rId107">
              <w:r>
                <w:rPr>
                  <w:rFonts w:ascii="Arial" w:cs="Arial" w:eastAsia="Arial" w:hAnsi="Arial"/>
                  <w:sz w:val="18"/>
                  <w:szCs w:val="18"/>
                  <w:color w:val="0000FF"/>
                </w:rPr>
                <w:t>Americas, as trustee (incorporated by reference to Exhibit 4.2 to the Registrant’s Current Report on Form 8-K filed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with the SEC on September 24, 2020)</w:t>
              </w:r>
              <w:r>
                <w:rPr>
                  <w:rFonts w:ascii="Arial" w:cs="Arial" w:eastAsia="Arial" w:hAnsi="Arial"/>
                  <w:sz w:val="18"/>
                  <w:szCs w:val="18"/>
                  <w:u w:val="single" w:color="auto"/>
                  <w:color w:val="0000FF"/>
                </w:rPr>
                <w:t>.</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Chief Executive Officer pursuant to Rule 13a-14(a)/15d-14(a) of the Securities Exchange Act of 1934,</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74">
              <w:r>
                <w:rPr>
                  <w:rFonts w:ascii="Arial" w:cs="Arial" w:eastAsia="Arial" w:hAnsi="Arial"/>
                  <w:sz w:val="18"/>
                  <w:szCs w:val="18"/>
                  <w:color w:val="0000FF"/>
                  <w:w w:val="99"/>
                </w:rPr>
                <w:t>as amended.</w:t>
              </w:r>
            </w:hyperlink>
          </w:p>
        </w:tc>
        <w:tc>
          <w:tcPr>
            <w:tcW w:w="820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of Chief Financial Officer pursuant to Rule 13a-14(a)/15d-14(a) of the Securities Exchange Act of 1934,</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w:anchor="page75">
              <w:r>
                <w:rPr>
                  <w:rFonts w:ascii="Arial" w:cs="Arial" w:eastAsia="Arial" w:hAnsi="Arial"/>
                  <w:sz w:val="18"/>
                  <w:szCs w:val="18"/>
                  <w:color w:val="0000FF"/>
                  <w:w w:val="97"/>
                </w:rPr>
                <w:t>as amended.</w:t>
              </w:r>
            </w:hyperlink>
          </w:p>
        </w:tc>
        <w:tc>
          <w:tcPr>
            <w:tcW w:w="81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0"/>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Certifications of Chief Executive Officer and Chief Financial Officer pursuant to 18 U.S.C. 1350, as adopted pursuant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to Section 906 of the Sarbanes-Oxley Act of 2002.</w:t>
              </w:r>
            </w:hyperlink>
          </w:p>
        </w:tc>
        <w:tc>
          <w:tcPr>
            <w:tcW w:w="5240" w:type="dxa"/>
            <w:vAlign w:val="bottom"/>
            <w:tcBorders>
              <w:top w:val="single" w:sz="8" w:color="0000FF"/>
            </w:tcBorders>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140" w:right="400" w:hanging="1114"/>
        <w:spacing w:after="0" w:line="216"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2020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3" w:lineRule="exact"/>
        <w:rPr>
          <w:sz w:val="20"/>
          <w:szCs w:val="20"/>
          <w:color w:val="auto"/>
        </w:rPr>
      </w:pPr>
    </w:p>
    <w:p>
      <w:pPr>
        <w:ind w:left="1140" w:right="220" w:hanging="1114"/>
        <w:spacing w:after="0" w:line="234"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2020,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360" w:right="10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23571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November 2,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360" w:right="4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71"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right="160" w:hanging="332"/>
        <w:spacing w:after="0" w:line="323" w:lineRule="auto"/>
        <w:tabs>
          <w:tab w:leader="none" w:pos="32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340" w:right="260" w:hanging="332"/>
        <w:spacing w:after="0" w:line="271"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300" w:right="20" w:hanging="320"/>
        <w:spacing w:after="0" w:line="271"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300" w:right="540" w:hanging="320"/>
        <w:spacing w:after="0" w:line="294" w:lineRule="auto"/>
        <w:tabs>
          <w:tab w:leader="none" w:pos="129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Arial" w:cs="Arial" w:eastAsia="Arial" w:hAnsi="Arial"/>
          <w:sz w:val="17"/>
          <w:szCs w:val="17"/>
          <w:color w:val="auto"/>
        </w:rPr>
      </w:pPr>
    </w:p>
    <w:p>
      <w:pPr>
        <w:ind w:left="1300" w:right="300" w:hanging="320"/>
        <w:spacing w:after="0" w:line="271"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1300" w:right="60" w:hanging="320"/>
        <w:spacing w:after="0" w:line="271"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40" w:hanging="332"/>
        <w:spacing w:after="0" w:line="271"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440" w:hanging="320"/>
        <w:spacing w:after="0" w:line="271"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300" w:right="780" w:hanging="320"/>
        <w:spacing w:after="0" w:line="292"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20320</wp:posOffset>
            </wp:positionV>
            <wp:extent cx="30861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71"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right="160" w:hanging="332"/>
        <w:spacing w:after="0" w:line="323" w:lineRule="auto"/>
        <w:tabs>
          <w:tab w:leader="none" w:pos="3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340" w:right="260" w:hanging="332"/>
        <w:spacing w:after="0" w:line="271"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1300" w:right="20" w:hanging="320"/>
        <w:spacing w:after="0" w:line="271"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300" w:right="540" w:hanging="320"/>
        <w:spacing w:after="0" w:line="294" w:lineRule="auto"/>
        <w:tabs>
          <w:tab w:leader="none" w:pos="129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Arial" w:cs="Arial" w:eastAsia="Arial" w:hAnsi="Arial"/>
          <w:sz w:val="17"/>
          <w:szCs w:val="17"/>
          <w:color w:val="auto"/>
        </w:rPr>
      </w:pPr>
    </w:p>
    <w:p>
      <w:pPr>
        <w:ind w:left="1300" w:right="300" w:hanging="320"/>
        <w:spacing w:after="0" w:line="271"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1300" w:right="60" w:hanging="320"/>
        <w:spacing w:after="0" w:line="271"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7" w:lineRule="exact"/>
        <w:rPr>
          <w:rFonts w:ascii="Arial" w:cs="Arial" w:eastAsia="Arial" w:hAnsi="Arial"/>
          <w:sz w:val="18"/>
          <w:szCs w:val="18"/>
          <w:color w:val="auto"/>
        </w:rPr>
      </w:pPr>
    </w:p>
    <w:p>
      <w:pPr>
        <w:ind w:left="340" w:right="140" w:hanging="332"/>
        <w:spacing w:after="0" w:line="271"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300" w:right="440" w:hanging="320"/>
        <w:spacing w:after="0" w:line="271"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300" w:right="780" w:hanging="320"/>
        <w:spacing w:after="0" w:line="292"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20320</wp:posOffset>
            </wp:positionV>
            <wp:extent cx="30861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2020,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3775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2020,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3775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2020</w:t>
      </w:r>
    </w:p>
    <w:p>
      <w:pPr>
        <w:spacing w:after="0" w:line="32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2"/>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lvl w:ilvl="1">
      <w:lvlJc w:val="left"/>
      <w:lvlText w:val="\endash "/>
      <w:numFmt w:val="bullet"/>
      <w:start w:val="1"/>
    </w:lvl>
  </w:abstractNum>
  <w:abstractNum w:abstractNumId="18">
    <w:nsid w:val="419AC241"/>
    <w:multiLevelType w:val="hybridMultilevel"/>
    <w:lvl w:ilvl="0">
      <w:lvlJc w:val="left"/>
      <w:lvlText w:val="•"/>
      <w:numFmt w:val="bullet"/>
      <w:start w:val="1"/>
    </w:lvl>
    <w:lvl w:ilvl="1">
      <w:lvlJc w:val="left"/>
      <w:lvlText w:val="\endash "/>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5"/>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4"/>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amp;"/>
      <w:numFmt w:val="bullet"/>
      <w:start w:val="1"/>
    </w:lvl>
  </w:abstractNum>
  <w:abstractNum w:abstractNumId="37">
    <w:nsid w:val="725A06FB"/>
    <w:multiLevelType w:val="hybridMultilevel"/>
    <w:lvl w:ilvl="0">
      <w:lvlJc w:val="left"/>
      <w:lvlText w:val="•"/>
      <w:numFmt w:val="bullet"/>
      <w:start w:val="1"/>
    </w:lvl>
    <w:lvl w:ilvl="1">
      <w:lvlJc w:val="left"/>
      <w:lvlText w:val="(%2)."/>
      <w:numFmt w:val="decimal"/>
      <w:start w:val="3"/>
    </w:lvl>
  </w:abstractNum>
  <w:abstractNum w:abstractNumId="38">
    <w:nsid w:val="2CD89A32"/>
    <w:multiLevelType w:val="hybridMultilevel"/>
    <w:lvl w:ilvl="0">
      <w:lvlJc w:val="left"/>
      <w:lvlText w:val="•"/>
      <w:numFmt w:val="bullet"/>
      <w:start w:val="1"/>
    </w:lvl>
    <w:lvl w:ilvl="1">
      <w:lvlJc w:val="left"/>
      <w:lvlText w:val="(%2)"/>
      <w:numFmt w:val="decimal"/>
      <w:start w:val="1"/>
    </w:lvl>
  </w:abstractNum>
  <w:abstractNum w:abstractNumId="39">
    <w:nsid w:val="57E4CCAF"/>
    <w:multiLevelType w:val="hybridMultilevel"/>
    <w:lvl w:ilvl="0">
      <w:lvlJc w:val="left"/>
      <w:lvlText w:val="(%1)"/>
      <w:numFmt w:val="decimal"/>
      <w:start w:val="9"/>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lvl w:ilvl="1">
      <w:lvlJc w:val="left"/>
      <w:lvlText w:val="•"/>
      <w:numFmt w:val="bullet"/>
      <w:start w:val="1"/>
    </w:lvl>
  </w:abstractNum>
  <w:abstractNum w:abstractNumId="42">
    <w:nsid w:val="542289EC"/>
    <w:multiLevelType w:val="hybridMultilevel"/>
    <w:lvl w:ilvl="0">
      <w:lvlJc w:val="left"/>
      <w:lvlText w:val="(%1)"/>
      <w:numFmt w:val="decimal"/>
      <w:start w:val="1"/>
    </w:lvl>
    <w:lvl w:ilvl="1">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01"/>
    </w:lvl>
  </w:abstractNum>
  <w:abstractNum w:abstractNumId="47">
    <w:nsid w:val="684A481A"/>
    <w:multiLevelType w:val="hybridMultilevel"/>
    <w:lvl w:ilvl="0">
      <w:lvlJc w:val="left"/>
      <w:lvlText w:val="%1"/>
      <w:numFmt w:val="decimal"/>
      <w:start w:val="104"/>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07" Type="http://schemas.openxmlformats.org/officeDocument/2006/relationships/hyperlink" Target="http://www.sec.gov/Archives/edgar/data/1103982/000119312520253361/d6987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2020-11-03T05:17:46Z</dcterms:created>
  <dcterms:modified xsi:type="dcterms:W3CDTF">2020-11-03T05:17:46Z</dcterms:modified>
</cp:coreProperties>
</file>