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20" w:after="283"/>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10-Q </w:t>
      </w:r>
    </w:p>
    <w:p>
      <w:pPr>
        <w:pStyle w:val="TextBody"/>
        <w:bidi w:val="0"/>
        <w:spacing w:lineRule="auto" w:line="288" w:before="60" w:after="283"/>
        <w:jc w:val="left"/>
        <w:rPr>
          <w:rFonts w:ascii="Arial;sans-serif" w:hAnsi="Arial;sans-serif"/>
          <w:b/>
          <w:color w:val="000000"/>
          <w:sz w:val="18"/>
        </w:rPr>
      </w:pPr>
      <w:r>
        <w:rPr>
          <w:rFonts w:ascii="Arial;sans-serif" w:hAnsi="Arial;sans-serif"/>
          <w:b/>
          <w:color w:val="000000"/>
          <w:sz w:val="18"/>
        </w:rPr>
        <w:t>(Mark One)</w:t>
      </w:r>
    </w:p>
    <w:tbl>
      <w:tblPr>
        <w:tblW w:w="100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March 31, 2024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OR</w:t>
      </w:r>
    </w:p>
    <w:tbl>
      <w:tblPr>
        <w:tblW w:w="100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transition period from                to                </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 xml:space="preserve">Commission file number 1-16483 </w:t>
      </w:r>
    </w:p>
    <w:p>
      <w:pPr>
        <w:pStyle w:val="TextBody"/>
        <w:bidi w:val="0"/>
        <w:spacing w:before="60" w:after="283"/>
        <w:jc w:val="center"/>
        <w:rPr/>
      </w:pPr>
      <w:r>
        <w:rPr/>
        <w:drawing>
          <wp:inline distT="0" distB="0" distL="0" distR="0">
            <wp:extent cx="100965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9650" cy="247650"/>
                    </a:xfrm>
                    <a:prstGeom prst="rect">
                      <a:avLst/>
                    </a:prstGeom>
                  </pic:spPr>
                </pic:pic>
              </a:graphicData>
            </a:graphic>
          </wp:inline>
        </w:drawing>
      </w:r>
    </w:p>
    <w:p>
      <w:pPr>
        <w:pStyle w:val="TextBody"/>
        <w:bidi w:val="0"/>
        <w:spacing w:lineRule="auto" w:line="288" w:before="60" w:after="283"/>
        <w:jc w:val="center"/>
        <w:rPr>
          <w:rFonts w:ascii="Arial;sans-serif" w:hAnsi="Arial;sans-serif"/>
          <w:b/>
          <w:color w:val="000000"/>
          <w:sz w:val="28"/>
        </w:rPr>
      </w:pPr>
      <w:r>
        <w:rPr>
          <w:rFonts w:ascii="Arial;sans-serif" w:hAnsi="Arial;sans-serif"/>
          <w:b/>
          <w:color w:val="000000"/>
          <w:sz w:val="28"/>
        </w:rPr>
        <w:t xml:space="preserve">Mondelēz International, Inc.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6988" w:type="dxa"/>
        <w:jc w:val="center"/>
        <w:tblInd w:w="0" w:type="dxa"/>
        <w:tblLayout w:type="fixed"/>
        <w:tblCellMar>
          <w:top w:w="28" w:type="dxa"/>
          <w:left w:w="28" w:type="dxa"/>
          <w:bottom w:w="28" w:type="dxa"/>
          <w:right w:w="28" w:type="dxa"/>
        </w:tblCellMar>
      </w:tblPr>
      <w:tblGrid>
        <w:gridCol w:w="797"/>
        <w:gridCol w:w="699"/>
        <w:gridCol w:w="699"/>
        <w:gridCol w:w="699"/>
        <w:gridCol w:w="699"/>
        <w:gridCol w:w="740"/>
        <w:gridCol w:w="773"/>
        <w:gridCol w:w="773"/>
        <w:gridCol w:w="1109"/>
      </w:tblGrid>
      <w:tr>
        <w:trPr/>
        <w:tc>
          <w:tcPr>
            <w:tcW w:w="7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Virginia</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52-2284372</w:t>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905 West Fulton Market, Suite 200</w:t>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16"/>
              </w:rPr>
            </w:pPr>
            <w:r>
              <w:rPr>
                <w:rFonts w:ascii="Arial;sans-serif" w:hAnsi="Arial;sans-serif"/>
                <w:b/>
                <w:color w:val="000000"/>
                <w:sz w:val="16"/>
              </w:rPr>
              <w:t>Chicago,</w:t>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Illinois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60607</w:t>
            </w:r>
          </w:p>
        </w:tc>
      </w:tr>
      <w:tr>
        <w:trPr/>
        <w:tc>
          <w:tcPr>
            <w:tcW w:w="43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288" w:before="0" w:after="0"/>
        <w:jc w:val="center"/>
        <w:rPr/>
      </w:pPr>
      <w:r>
        <w:rPr>
          <w:rFonts w:ascii="Arial;sans-serif" w:hAnsi="Arial;sans-serif"/>
          <w:b w:val="false"/>
          <w:color w:val="000000"/>
          <w:sz w:val="16"/>
        </w:rPr>
        <w:t xml:space="preserve">(Registrant’s telephone number, including area code) </w:t>
      </w:r>
      <w:r>
        <w:rPr>
          <w:rFonts w:ascii="Arial;sans-serif" w:hAnsi="Arial;sans-serif"/>
          <w:b/>
          <w:color w:val="000000"/>
          <w:sz w:val="16"/>
        </w:rPr>
        <w:t xml:space="preserve">(847) 943-4000 </w:t>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Not Applicable</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(Former name, former address and former fiscal year, if changed since last report)</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076" w:type="dxa"/>
        <w:jc w:val="center"/>
        <w:tblInd w:w="0" w:type="dxa"/>
        <w:tblLayout w:type="fixed"/>
        <w:tblCellMar>
          <w:top w:w="28" w:type="dxa"/>
          <w:left w:w="28" w:type="dxa"/>
          <w:bottom w:w="28" w:type="dxa"/>
          <w:right w:w="28" w:type="dxa"/>
        </w:tblCellMar>
      </w:tblPr>
      <w:tblGrid>
        <w:gridCol w:w="1030"/>
        <w:gridCol w:w="904"/>
        <w:gridCol w:w="915"/>
        <w:gridCol w:w="109"/>
        <w:gridCol w:w="109"/>
        <w:gridCol w:w="109"/>
        <w:gridCol w:w="304"/>
        <w:gridCol w:w="304"/>
        <w:gridCol w:w="306"/>
        <w:gridCol w:w="109"/>
        <w:gridCol w:w="109"/>
        <w:gridCol w:w="109"/>
        <w:gridCol w:w="1071"/>
        <w:gridCol w:w="1071"/>
        <w:gridCol w:w="1517"/>
      </w:tblGrid>
      <w:tr>
        <w:trPr/>
        <w:tc>
          <w:tcPr>
            <w:tcW w:w="10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Class A Common Stock,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1.625%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0.250%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0.750%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2.375%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4.500%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MDLZ35A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1.375% Notes due 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3.875% Notes due 2045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MDLZ45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88" w:before="20" w:after="283"/>
        <w:jc w:val="both"/>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80" w:after="283"/>
        <w:jc w:val="both"/>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Arial;sans-serif" w:hAnsi="Arial;sans-serif"/>
          <w:b w:val="false"/>
          <w:color w:val="000000"/>
          <w:sz w:val="16"/>
        </w:rPr>
        <w:t>No  </w:t>
      </w:r>
      <w:r>
        <w:rPr>
          <w:color w:val="000000"/>
        </w:rPr>
        <w:t>☐</w:t>
      </w:r>
    </w:p>
    <w:p>
      <w:pPr>
        <w:pStyle w:val="TextBody"/>
        <w:bidi w:val="0"/>
        <w:spacing w:lineRule="auto" w:line="288" w:before="80" w:after="283"/>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93"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699"/>
        <w:gridCol w:w="699"/>
        <w:gridCol w:w="703"/>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 w:after="283"/>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jc w:val="both"/>
        <w:rPr/>
      </w:pPr>
      <w:r>
        <w:rPr>
          <w:rFonts w:ascii="Arial;sans-serif" w:hAnsi="Arial;sans-serif"/>
          <w:b w:val="false"/>
          <w:color w:val="000000"/>
          <w:sz w:val="16"/>
        </w:rPr>
        <w:t>Indicate by check mark whether the registrant is a shell company (as defined in Rule 12b-2 of the Exchange Act). Yes  </w:t>
      </w:r>
      <w:r>
        <w:rPr>
          <w:color w:val="000000"/>
        </w:rPr>
        <w:t xml:space="preserve"> ☐  </w:t>
      </w:r>
      <w:r>
        <w:rPr>
          <w:rFonts w:ascii="Arial;sans-serif" w:hAnsi="Arial;sans-serif"/>
          <w:b w:val="false"/>
          <w:color w:val="000000"/>
          <w:sz w:val="16"/>
        </w:rPr>
        <w:t>No  </w:t>
      </w:r>
      <w:r>
        <w:rPr>
          <w:rFonts w:ascii="Wingdings;sans-serif" w:hAnsi="Wingdings;sans-serif"/>
          <w:b w:val="false"/>
          <w:color w:val="000000"/>
          <w:sz w:val="16"/>
        </w:rPr>
        <w:t>x</w:t>
      </w:r>
    </w:p>
    <w:p>
      <w:pPr>
        <w:pStyle w:val="TextBody"/>
        <w:bidi w:val="0"/>
        <w:spacing w:before="80" w:after="283"/>
        <w:jc w:val="both"/>
        <w:rPr/>
      </w:pPr>
      <w:r>
        <w:rPr/>
      </w:r>
    </w:p>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At April 25, 2024, there were 1,341,359,018 shares of the registrant’s Class A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1"/>
        <w:gridCol w:w="228"/>
        <w:gridCol w:w="231"/>
        <w:gridCol w:w="2874"/>
        <w:gridCol w:w="2874"/>
        <w:gridCol w:w="2880"/>
        <w:gridCol w:w="250"/>
        <w:gridCol w:w="250"/>
        <w:gridCol w:w="357"/>
      </w:tblGrid>
      <w:tr>
        <w:trPr/>
        <w:tc>
          <w:tcPr>
            <w:tcW w:w="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 No.</w:t>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c95f23a8a74d8884db6f85e38f69db_10">
              <w:r>
                <w:rPr>
                  <w:rStyle w:val="InternetLink"/>
                  <w:rFonts w:ascii="Arial;sans-serif" w:hAnsi="Arial;sans-serif"/>
                  <w:b/>
                  <w:color w:val="0000FF"/>
                  <w:sz w:val="16"/>
                  <w:u w:val="single"/>
                </w:rPr>
                <w:t>PART I</w:t>
              </w:r>
            </w:hyperlink>
          </w:p>
        </w:tc>
        <w:tc>
          <w:tcPr>
            <w:tcW w:w="8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INFORMATION</w:t>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Financial Statements (Unaudited)</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c95f23a8a74d8884db6f85e38f69db_16">
              <w:r>
                <w:rPr>
                  <w:rStyle w:val="InternetLink"/>
                  <w:rFonts w:ascii="Arial;sans-serif" w:hAnsi="Arial;sans-serif"/>
                  <w:b w:val="false"/>
                  <w:color w:val="000080"/>
                  <w:sz w:val="16"/>
                  <w:u w:val="single"/>
                </w:rPr>
                <w:t>Condensed Consolidated Statements of Earning</w:t>
              </w:r>
            </w:hyperlink>
            <w:hyperlink w:anchor="i46c95f23a8a74d8884db6f85e38f69db_16">
              <w:r>
                <w:rPr>
                  <w:rStyle w:val="InternetLink"/>
                  <w:rFonts w:ascii="Arial;sans-serif" w:hAnsi="Arial;sans-serif"/>
                  <w:b w:val="false"/>
                  <w:color w:val="000080"/>
                  <w:sz w:val="16"/>
                  <w:u w:val="single"/>
                </w:rPr>
                <w:t>s</w:t>
              </w:r>
            </w:hyperlink>
            <w:r>
              <w:rPr>
                <w:color w:val="000000"/>
              </w:rPr>
              <w:t xml:space="preserve"> </w:t>
            </w:r>
            <w:hyperlink w:anchor="i46c95f23a8a74d8884db6f85e38f69db_16">
              <w:r>
                <w:rPr>
                  <w:rStyle w:val="InternetLink"/>
                  <w:rFonts w:ascii="Arial;sans-serif" w:hAnsi="Arial;sans-serif"/>
                  <w:b w:val="false"/>
                  <w:color w:val="0000FF"/>
                  <w:sz w:val="16"/>
                  <w:u w:val="single"/>
                </w:rPr>
                <w:t>for the Three Months Ended March 31, 2024 and 2023</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16">
              <w:r>
                <w:rPr>
                  <w:rStyle w:val="InternetLink"/>
                  <w:rFonts w:ascii="Arial;sans-serif" w:hAnsi="Arial;sans-serif"/>
                  <w:b w:val="false"/>
                  <w:strike w:val="false"/>
                  <w:dstrike w:val="false"/>
                  <w:color w:val="000000"/>
                  <w:sz w:val="16"/>
                  <w:u w:val="none"/>
                  <w:effect w:val="none"/>
                </w:rPr>
                <w:t>1</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c95f23a8a74d8884db6f85e38f69db_19">
              <w:r>
                <w:rPr>
                  <w:rStyle w:val="InternetLink"/>
                  <w:rFonts w:ascii="Arial;sans-serif" w:hAnsi="Arial;sans-serif"/>
                  <w:b w:val="false"/>
                  <w:color w:val="0000FF"/>
                  <w:sz w:val="16"/>
                  <w:u w:val="single"/>
                </w:rPr>
                <w:t>Condensed Consolidated Statements of Comprehensive Earnings for the Three Months Ended March 31, 2024 and 2023</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19">
              <w:r>
                <w:rPr>
                  <w:rStyle w:val="InternetLink"/>
                  <w:rFonts w:ascii="Arial;sans-serif" w:hAnsi="Arial;sans-serif"/>
                  <w:b w:val="false"/>
                  <w:strike w:val="false"/>
                  <w:dstrike w:val="false"/>
                  <w:color w:val="000000"/>
                  <w:sz w:val="16"/>
                  <w:u w:val="none"/>
                  <w:effect w:val="none"/>
                </w:rPr>
                <w:t>2</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c95f23a8a74d8884db6f85e38f69db_22">
              <w:r>
                <w:rPr>
                  <w:rStyle w:val="InternetLink"/>
                  <w:rFonts w:ascii="Arial;sans-serif" w:hAnsi="Arial;sans-serif"/>
                  <w:b w:val="false"/>
                  <w:color w:val="0000FF"/>
                  <w:sz w:val="16"/>
                  <w:u w:val="single"/>
                </w:rPr>
                <w:t>Condensed Consolidated Balance Sheets at March 31, 2024 and December 31, 2023</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22">
              <w:r>
                <w:rPr>
                  <w:rStyle w:val="InternetLink"/>
                  <w:rFonts w:ascii="Arial;sans-serif" w:hAnsi="Arial;sans-serif"/>
                  <w:b w:val="false"/>
                  <w:strike w:val="false"/>
                  <w:dstrike w:val="false"/>
                  <w:color w:val="000000"/>
                  <w:sz w:val="16"/>
                  <w:u w:val="none"/>
                  <w:effect w:val="none"/>
                </w:rPr>
                <w:t>3</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c95f23a8a74d8884db6f85e38f69db_25">
              <w:r>
                <w:rPr>
                  <w:rStyle w:val="InternetLink"/>
                  <w:rFonts w:ascii="Arial;sans-serif" w:hAnsi="Arial;sans-serif"/>
                  <w:b w:val="false"/>
                  <w:color w:val="0000FF"/>
                  <w:sz w:val="16"/>
                  <w:u w:val="single"/>
                </w:rPr>
                <w:t>Condensed Consolidated Statements of Equity for the Three Months Ended March 31, 2024 and 2023</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25">
              <w:r>
                <w:rPr>
                  <w:rStyle w:val="InternetLink"/>
                  <w:rFonts w:ascii="Arial;sans-serif" w:hAnsi="Arial;sans-serif"/>
                  <w:b w:val="false"/>
                  <w:strike w:val="false"/>
                  <w:dstrike w:val="false"/>
                  <w:color w:val="000000"/>
                  <w:sz w:val="16"/>
                  <w:u w:val="none"/>
                  <w:effect w:val="none"/>
                </w:rPr>
                <w:t>4</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c95f23a8a74d8884db6f85e38f69db_28">
              <w:r>
                <w:rPr>
                  <w:rStyle w:val="InternetLink"/>
                  <w:rFonts w:ascii="Arial;sans-serif" w:hAnsi="Arial;sans-serif"/>
                  <w:b w:val="false"/>
                  <w:color w:val="0000FF"/>
                  <w:sz w:val="16"/>
                  <w:u w:val="single"/>
                </w:rPr>
                <w:t>Condensed Consolidated Statements of Cash Flows for the Three Months Ended March 31, 2024 and 2023</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28">
              <w:r>
                <w:rPr>
                  <w:rStyle w:val="InternetLink"/>
                  <w:rFonts w:ascii="Arial;sans-serif" w:hAnsi="Arial;sans-serif"/>
                  <w:b w:val="false"/>
                  <w:strike w:val="false"/>
                  <w:dstrike w:val="false"/>
                  <w:color w:val="000000"/>
                  <w:sz w:val="16"/>
                  <w:u w:val="none"/>
                  <w:effect w:val="none"/>
                </w:rPr>
                <w:t>5</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c95f23a8a74d8884db6f85e38f69db_31">
              <w:r>
                <w:rPr>
                  <w:rStyle w:val="InternetLink"/>
                  <w:rFonts w:ascii="Arial;sans-serif" w:hAnsi="Arial;sans-serif"/>
                  <w:b w:val="false"/>
                  <w:color w:val="0000FF"/>
                  <w:sz w:val="16"/>
                  <w:u w:val="single"/>
                </w:rPr>
                <w:t>Notes to Condensed Consolidated Financial Statements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31">
              <w:r>
                <w:rPr>
                  <w:rStyle w:val="InternetLink"/>
                  <w:rFonts w:ascii="Arial;sans-serif" w:hAnsi="Arial;sans-serif"/>
                  <w:b w:val="false"/>
                  <w:strike w:val="false"/>
                  <w:dstrike w:val="false"/>
                  <w:color w:val="000000"/>
                  <w:sz w:val="16"/>
                  <w:u w:val="none"/>
                  <w:effect w:val="none"/>
                </w:rPr>
                <w:t>6</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2.</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6c95f23a8a74d8884db6f85e38f69db_82">
              <w:r>
                <w:rPr>
                  <w:rStyle w:val="InternetLink"/>
                  <w:rFonts w:ascii="Arial;sans-serif" w:hAnsi="Arial;sans-serif"/>
                  <w:b w:val="false"/>
                  <w:color w:val="0000FF"/>
                  <w:sz w:val="16"/>
                  <w:u w:val="single"/>
                </w:rPr>
                <w:t>Management’s Discussion and Analysis of Financial Condition and Results of Operations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82">
              <w:r>
                <w:rPr>
                  <w:rStyle w:val="InternetLink"/>
                  <w:rFonts w:ascii="Arial;sans-serif" w:hAnsi="Arial;sans-serif"/>
                  <w:b w:val="false"/>
                  <w:strike w:val="false"/>
                  <w:dstrike w:val="false"/>
                  <w:color w:val="000000"/>
                  <w:sz w:val="16"/>
                  <w:u w:val="none"/>
                  <w:effect w:val="none"/>
                </w:rPr>
                <w:t>27</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3.</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c95f23a8a74d8884db6f85e38f69db_124">
              <w:r>
                <w:rPr>
                  <w:rStyle w:val="InternetLink"/>
                  <w:rFonts w:ascii="Arial;sans-serif" w:hAnsi="Arial;sans-serif"/>
                  <w:b w:val="false"/>
                  <w:color w:val="0000FF"/>
                  <w:sz w:val="16"/>
                  <w:u w:val="single"/>
                </w:rPr>
                <w:t>Quantitative and Qualitative Disclosures about Market Risk</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124">
              <w:r>
                <w:rPr>
                  <w:rStyle w:val="InternetLink"/>
                  <w:rFonts w:ascii="Arial;sans-serif" w:hAnsi="Arial;sans-serif"/>
                  <w:b w:val="false"/>
                  <w:strike w:val="false"/>
                  <w:dstrike w:val="false"/>
                  <w:color w:val="000000"/>
                  <w:sz w:val="16"/>
                  <w:u w:val="none"/>
                  <w:effect w:val="none"/>
                </w:rPr>
                <w:t>46</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4.</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c95f23a8a74d8884db6f85e38f69db_127">
              <w:r>
                <w:rPr>
                  <w:rStyle w:val="InternetLink"/>
                  <w:rFonts w:ascii="Arial;sans-serif" w:hAnsi="Arial;sans-serif"/>
                  <w:b w:val="false"/>
                  <w:color w:val="0000FF"/>
                  <w:sz w:val="16"/>
                  <w:u w:val="single"/>
                </w:rPr>
                <w:t>Controls and Procedures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127">
              <w:r>
                <w:rPr>
                  <w:rStyle w:val="InternetLink"/>
                  <w:rFonts w:ascii="Arial;sans-serif" w:hAnsi="Arial;sans-serif"/>
                  <w:b w:val="false"/>
                  <w:strike w:val="false"/>
                  <w:dstrike w:val="false"/>
                  <w:color w:val="000000"/>
                  <w:sz w:val="16"/>
                  <w:u w:val="none"/>
                  <w:effect w:val="none"/>
                </w:rPr>
                <w:t>46</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c95f23a8a74d8884db6f85e38f69db_130">
              <w:r>
                <w:rPr>
                  <w:rStyle w:val="InternetLink"/>
                  <w:rFonts w:ascii="Arial;sans-serif" w:hAnsi="Arial;sans-serif"/>
                  <w:b/>
                  <w:color w:val="0000FF"/>
                  <w:sz w:val="16"/>
                  <w:u w:val="single"/>
                </w:rPr>
                <w:t>PART II</w:t>
              </w:r>
            </w:hyperlink>
          </w:p>
        </w:tc>
        <w:tc>
          <w:tcPr>
            <w:tcW w:w="8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INFORMATION</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c95f23a8a74d8884db6f85e38f69db_133">
              <w:r>
                <w:rPr>
                  <w:rStyle w:val="InternetLink"/>
                  <w:rFonts w:ascii="Arial;sans-serif" w:hAnsi="Arial;sans-serif"/>
                  <w:b w:val="false"/>
                  <w:color w:val="0000FF"/>
                  <w:sz w:val="16"/>
                  <w:u w:val="single"/>
                </w:rPr>
                <w:t>Legal Proceedings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133">
              <w:r>
                <w:rPr>
                  <w:rStyle w:val="InternetLink"/>
                  <w:rFonts w:ascii="Arial;sans-serif" w:hAnsi="Arial;sans-serif"/>
                  <w:b w:val="false"/>
                  <w:strike w:val="false"/>
                  <w:dstrike w:val="false"/>
                  <w:color w:val="000000"/>
                  <w:sz w:val="16"/>
                  <w:u w:val="none"/>
                  <w:effect w:val="none"/>
                </w:rPr>
                <w:t>47</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1A.</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c95f23a8a74d8884db6f85e38f69db_136">
              <w:r>
                <w:rPr>
                  <w:rStyle w:val="InternetLink"/>
                  <w:rFonts w:ascii="Arial;sans-serif" w:hAnsi="Arial;sans-serif"/>
                  <w:b w:val="false"/>
                  <w:color w:val="0000FF"/>
                  <w:sz w:val="16"/>
                  <w:u w:val="single"/>
                </w:rPr>
                <w:t>Risk Factors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136">
              <w:r>
                <w:rPr>
                  <w:rStyle w:val="InternetLink"/>
                  <w:rFonts w:ascii="Arial;sans-serif" w:hAnsi="Arial;sans-serif"/>
                  <w:b w:val="false"/>
                  <w:strike w:val="false"/>
                  <w:dstrike w:val="false"/>
                  <w:color w:val="000000"/>
                  <w:sz w:val="16"/>
                  <w:u w:val="none"/>
                  <w:effect w:val="none"/>
                </w:rPr>
                <w:t>47</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2.</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c95f23a8a74d8884db6f85e38f69db_139">
              <w:r>
                <w:rPr>
                  <w:rStyle w:val="InternetLink"/>
                  <w:rFonts w:ascii="Arial;sans-serif" w:hAnsi="Arial;sans-serif"/>
                  <w:b w:val="false"/>
                  <w:color w:val="0000FF"/>
                  <w:sz w:val="16"/>
                  <w:u w:val="single"/>
                </w:rPr>
                <w:t>Unregistered Sales of Equity Securities and Use of Proceeds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139">
              <w:r>
                <w:rPr>
                  <w:rStyle w:val="InternetLink"/>
                  <w:rFonts w:ascii="Arial;sans-serif" w:hAnsi="Arial;sans-serif"/>
                  <w:b w:val="false"/>
                  <w:strike w:val="false"/>
                  <w:dstrike w:val="false"/>
                  <w:color w:val="000000"/>
                  <w:sz w:val="16"/>
                  <w:u w:val="none"/>
                  <w:effect w:val="none"/>
                </w:rPr>
                <w:t>47</w:t>
              </w:r>
            </w:hyperlink>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5.</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c95f23a8a74d8884db6f85e38f69db_142">
              <w:r>
                <w:rPr>
                  <w:rStyle w:val="InternetLink"/>
                  <w:rFonts w:ascii="Arial;sans-serif" w:hAnsi="Arial;sans-serif"/>
                  <w:b w:val="false"/>
                  <w:color w:val="0000FF"/>
                  <w:sz w:val="16"/>
                  <w:u w:val="single"/>
                </w:rPr>
                <w:t>Other Information</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142">
              <w:r>
                <w:rPr>
                  <w:rStyle w:val="InternetLink"/>
                  <w:rFonts w:ascii="Arial;sans-serif" w:hAnsi="Arial;sans-serif"/>
                  <w:b w:val="false"/>
                  <w:strike w:val="false"/>
                  <w:dstrike w:val="false"/>
                  <w:color w:val="000000"/>
                  <w:sz w:val="16"/>
                  <w:u w:val="none"/>
                  <w:effect w:val="none"/>
                </w:rPr>
                <w:t>47</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Item 6.</w:t>
            </w:r>
          </w:p>
        </w:tc>
        <w:tc>
          <w:tcPr>
            <w:tcW w:w="862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6c95f23a8a74d8884db6f85e38f69db_145">
              <w:r>
                <w:rPr>
                  <w:rStyle w:val="InternetLink"/>
                  <w:rFonts w:ascii="Arial;sans-serif" w:hAnsi="Arial;sans-serif"/>
                  <w:b w:val="false"/>
                  <w:color w:val="0000FF"/>
                  <w:sz w:val="16"/>
                  <w:u w:val="single"/>
                </w:rPr>
                <w:t>Exhibits</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145">
              <w:r>
                <w:rPr>
                  <w:rStyle w:val="InternetLink"/>
                  <w:rFonts w:ascii="Arial;sans-serif" w:hAnsi="Arial;sans-serif"/>
                  <w:b w:val="false"/>
                  <w:strike w:val="false"/>
                  <w:dstrike w:val="false"/>
                  <w:color w:val="000000"/>
                  <w:sz w:val="16"/>
                  <w:u w:val="none"/>
                  <w:effect w:val="none"/>
                </w:rPr>
                <w:t>48</w:t>
              </w:r>
            </w:hyperlink>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46c95f23a8a74d8884db6f85e38f69db_148">
              <w:r>
                <w:rPr>
                  <w:rStyle w:val="InternetLink"/>
                  <w:rFonts w:ascii="Arial;sans-serif" w:hAnsi="Arial;sans-serif"/>
                  <w:b w:val="false"/>
                  <w:color w:val="0000FF"/>
                  <w:sz w:val="16"/>
                  <w:u w:val="single"/>
                </w:rPr>
                <w:t>Signature</w:t>
              </w:r>
            </w:hyperlink>
          </w:p>
        </w:tc>
        <w:tc>
          <w:tcPr>
            <w:tcW w:w="85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c95f23a8a74d8884db6f85e38f69db_148">
              <w:r>
                <w:rPr>
                  <w:rStyle w:val="InternetLink"/>
                  <w:rFonts w:ascii="Arial;sans-serif" w:hAnsi="Arial;sans-serif"/>
                  <w:b w:val="false"/>
                  <w:strike w:val="false"/>
                  <w:dstrike w:val="false"/>
                  <w:color w:val="000000"/>
                  <w:sz w:val="16"/>
                  <w:u w:val="none"/>
                  <w:effect w:val="none"/>
                </w:rPr>
                <w:t>49</w:t>
              </w:r>
            </w:hyperlink>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 this report, for all periods presented, “we,” “us,” “our,” “the Company” and “Mondelēz International” refer to Mondelēz International, Inc. and subsidiaries. References to “Common Stock” refer to our Class A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49935"/>
                <wp:effectExtent l="0" t="0" r="0" b="0"/>
                <wp:wrapNone/>
                <wp:docPr id="3" name="Frame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per share data)</w:t>
      </w:r>
    </w:p>
    <w:p>
      <w:pPr>
        <w:pStyle w:val="TextBody"/>
        <w:bidi w:val="0"/>
        <w:spacing w:lineRule="auto" w:line="288" w:before="0" w:after="0"/>
        <w:jc w:val="center"/>
        <w:rPr/>
      </w:pPr>
      <w:r>
        <w:rPr>
          <w:rFonts w:ascii="Arial;sans-serif" w:hAnsi="Arial;sans-serif"/>
          <w:b/>
          <w:color w:val="000000"/>
          <w:sz w:val="20"/>
        </w:rPr>
        <w:t>(Unaudited)</w:t>
      </w:r>
      <w:r>
        <w:rPr>
          <w:color w:val="000000"/>
        </w:rPr>
        <w:t xml:space="preserve"> </w:t>
      </w:r>
    </w:p>
    <w:tbl>
      <w:tblPr>
        <w:tblW w:w="9583" w:type="dxa"/>
        <w:jc w:val="center"/>
        <w:tblInd w:w="0" w:type="dxa"/>
        <w:tblLayout w:type="fixed"/>
        <w:tblCellMar>
          <w:top w:w="28" w:type="dxa"/>
          <w:left w:w="28" w:type="dxa"/>
          <w:bottom w:w="28" w:type="dxa"/>
          <w:right w:w="28" w:type="dxa"/>
        </w:tblCellMar>
      </w:tblPr>
      <w:tblGrid>
        <w:gridCol w:w="2440"/>
        <w:gridCol w:w="2137"/>
        <w:gridCol w:w="2157"/>
        <w:gridCol w:w="221"/>
        <w:gridCol w:w="678"/>
        <w:gridCol w:w="114"/>
        <w:gridCol w:w="114"/>
        <w:gridCol w:w="114"/>
        <w:gridCol w:w="114"/>
        <w:gridCol w:w="221"/>
        <w:gridCol w:w="678"/>
        <w:gridCol w:w="114"/>
        <w:gridCol w:w="109"/>
        <w:gridCol w:w="109"/>
        <w:gridCol w:w="109"/>
        <w:gridCol w:w="154"/>
      </w:tblGrid>
      <w:tr>
        <w:trPr/>
        <w:tc>
          <w:tcPr>
            <w:tcW w:w="2440"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and exit costs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plan non-service income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marketable securities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(Loss)/gain on equity method investment transactions including impairments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 net earnings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Noncontrolling interest earnings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earnings attributable to </w:t>
              <w:br/>
              <w:t>   Mondelēz International</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 share data:</w:t>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earnings per share attributable to </w:t>
              <w:br/>
              <w:t>   Mondelēz International</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earnings per share attributable to </w:t>
              <w:br/>
              <w:t>   Mondelēz International</w:t>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49935"/>
                <wp:effectExtent l="0" t="0" r="0" b="0"/>
                <wp:wrapNone/>
                <wp:docPr id="6" name="Frame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7378" w:type="dxa"/>
        <w:jc w:val="left"/>
        <w:tblInd w:w="0" w:type="dxa"/>
        <w:tblLayout w:type="fixed"/>
        <w:tblCellMar>
          <w:top w:w="28" w:type="dxa"/>
          <w:left w:w="28" w:type="dxa"/>
          <w:bottom w:w="28" w:type="dxa"/>
          <w:right w:w="28" w:type="dxa"/>
        </w:tblCellMar>
      </w:tblPr>
      <w:tblGrid>
        <w:gridCol w:w="1638"/>
        <w:gridCol w:w="1436"/>
        <w:gridCol w:w="1455"/>
        <w:gridCol w:w="221"/>
        <w:gridCol w:w="678"/>
        <w:gridCol w:w="114"/>
        <w:gridCol w:w="114"/>
        <w:gridCol w:w="114"/>
        <w:gridCol w:w="114"/>
        <w:gridCol w:w="221"/>
        <w:gridCol w:w="678"/>
        <w:gridCol w:w="114"/>
        <w:gridCol w:w="109"/>
        <w:gridCol w:w="109"/>
        <w:gridCol w:w="109"/>
        <w:gridCol w:w="154"/>
      </w:tblGrid>
      <w:tr>
        <w:trPr/>
        <w:tc>
          <w:tcPr>
            <w:tcW w:w="163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earnings/(losses), net of tax:</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other benefit plans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 cash flow hedges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earnings/(losses)</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earnings/(losses)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less: Comprehensive earnings/(losses) </w:t>
              <w:br/>
              <w:t>   attributable to noncontrolling interests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 xml:space="preserve">Comprehensive earnings/(losses) attributable to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20"/>
              </w:rPr>
              <w:t>Mondelēz International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49935"/>
                <wp:effectExtent l="0" t="0" r="0" b="0"/>
                <wp:wrapNone/>
                <wp:docPr id="9" name="Frame4"/>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62"/>
        <w:gridCol w:w="2286"/>
        <w:gridCol w:w="2318"/>
        <w:gridCol w:w="211"/>
        <w:gridCol w:w="751"/>
        <w:gridCol w:w="109"/>
        <w:gridCol w:w="109"/>
        <w:gridCol w:w="109"/>
        <w:gridCol w:w="109"/>
        <w:gridCol w:w="291"/>
        <w:gridCol w:w="1036"/>
        <w:gridCol w:w="214"/>
      </w:tblGrid>
      <w:tr>
        <w:trPr/>
        <w:tc>
          <w:tcPr>
            <w:tcW w:w="2662"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Trade receivables, less allowance ($48 and $66,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receivables, less allowance ($40 and $50,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23,896 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pension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71,391 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marketing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employment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19,013 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pension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postretirement health care costs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43,025 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Commitments and Contingencies (Note 12)</w:t>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Common Stock, no par value ( 5,000,000,000 shares authorized, 1,996,537,778 shares issued)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32,216 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34,236 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(652,553,982 and 648,055,073 shares,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(27,174)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Mondelēz International Shareholders’ Equity</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28,332 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28,366 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71,391 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49935"/>
                <wp:effectExtent l="0" t="0" r="0" b="0"/>
                <wp:wrapNone/>
                <wp:docPr id="12" name="Frame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1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of U.S. dollars, except per share data)</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73"/>
        <w:gridCol w:w="539"/>
        <w:gridCol w:w="545"/>
        <w:gridCol w:w="181"/>
        <w:gridCol w:w="406"/>
        <w:gridCol w:w="109"/>
        <w:gridCol w:w="109"/>
        <w:gridCol w:w="109"/>
        <w:gridCol w:w="109"/>
        <w:gridCol w:w="181"/>
        <w:gridCol w:w="571"/>
        <w:gridCol w:w="109"/>
        <w:gridCol w:w="109"/>
        <w:gridCol w:w="109"/>
        <w:gridCol w:w="109"/>
        <w:gridCol w:w="181"/>
        <w:gridCol w:w="571"/>
        <w:gridCol w:w="109"/>
        <w:gridCol w:w="109"/>
        <w:gridCol w:w="109"/>
        <w:gridCol w:w="109"/>
        <w:gridCol w:w="230"/>
        <w:gridCol w:w="726"/>
        <w:gridCol w:w="140"/>
        <w:gridCol w:w="109"/>
        <w:gridCol w:w="109"/>
        <w:gridCol w:w="109"/>
        <w:gridCol w:w="181"/>
        <w:gridCol w:w="593"/>
        <w:gridCol w:w="109"/>
        <w:gridCol w:w="109"/>
        <w:gridCol w:w="109"/>
        <w:gridCol w:w="109"/>
        <w:gridCol w:w="331"/>
        <w:gridCol w:w="550"/>
        <w:gridCol w:w="200"/>
        <w:gridCol w:w="109"/>
        <w:gridCol w:w="109"/>
        <w:gridCol w:w="109"/>
        <w:gridCol w:w="181"/>
        <w:gridCol w:w="571"/>
        <w:gridCol w:w="156"/>
      </w:tblGrid>
      <w:tr>
        <w:trPr/>
        <w:tc>
          <w:tcPr>
            <w:tcW w:w="7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Mondelēz International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Earnings/</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Equity</w:t>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Three Months Ended March 31, 2024</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January 1, 2024</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Exercise of stock options and issuance of</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Cash dividends declared ($0.425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March 31, 2024</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(11,132)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Three Months Ended March 31, 2023</w:t>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January 1, 2023</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(10,947)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Comprehensive earnings/(losses):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earnings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Other comprehensive earnings/(losses),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net of income taxes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Exercise of stock options and issuance of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other stock awards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repurchased</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Cash dividends declared ($0.385 per share)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 xml:space="preserve">Dividends paid on noncontrolling interest </w:t>
            </w:r>
          </w:p>
          <w:p>
            <w:pPr>
              <w:pStyle w:val="TableContents"/>
              <w:bidi w:val="0"/>
              <w:spacing w:lineRule="auto" w:line="240" w:before="0" w:after="0"/>
              <w:ind w:left="0" w:right="0" w:hanging="180"/>
              <w:jc w:val="left"/>
              <w:rPr>
                <w:color w:val="000000"/>
              </w:rPr>
            </w:pPr>
            <w:r>
              <w:rPr>
                <w:color w:val="000000"/>
              </w:rPr>
              <w:t>   </w:t>
            </w:r>
            <w:r>
              <w:rPr>
                <w:rFonts w:ascii="Arial;sans-serif" w:hAnsi="Arial;sans-serif"/>
                <w:b w:val="false"/>
                <w:color w:val="000000"/>
                <w:sz w:val="14"/>
              </w:rPr>
              <w:t>and other activities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March 31, 2023</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(10,814)</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28,274 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185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49935"/>
                <wp:effectExtent l="0" t="0" r="0" b="0"/>
                <wp:wrapNone/>
                <wp:docPr id="15" name="Frame6"/>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1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Mondelēz International, Inc. and Subsidiaries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millions of U.S. dollars)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w:t>
      </w:r>
    </w:p>
    <w:tbl>
      <w:tblPr>
        <w:tblW w:w="9703" w:type="dxa"/>
        <w:jc w:val="left"/>
        <w:tblInd w:w="0" w:type="dxa"/>
        <w:tblLayout w:type="fixed"/>
        <w:tblCellMar>
          <w:top w:w="28" w:type="dxa"/>
          <w:left w:w="28" w:type="dxa"/>
          <w:bottom w:w="28" w:type="dxa"/>
          <w:right w:w="28" w:type="dxa"/>
        </w:tblCellMar>
      </w:tblPr>
      <w:tblGrid>
        <w:gridCol w:w="2637"/>
        <w:gridCol w:w="2319"/>
        <w:gridCol w:w="2334"/>
        <w:gridCol w:w="227"/>
        <w:gridCol w:w="663"/>
        <w:gridCol w:w="117"/>
        <w:gridCol w:w="117"/>
        <w:gridCol w:w="117"/>
        <w:gridCol w:w="117"/>
        <w:gridCol w:w="227"/>
        <w:gridCol w:w="663"/>
        <w:gridCol w:w="165"/>
      </w:tblGrid>
      <w:tr>
        <w:trPr/>
        <w:tc>
          <w:tcPr>
            <w:tcW w:w="2637"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OPERATING ACTIVITIES</w:t>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earnings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earnings to operating cash flows:</w:t>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provision</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impairments and accelerated depreciation</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Loss/(gain) on equity method investment transactions including impairments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 net earnings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from equity method investments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 on derivative contracts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marketable securities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items, net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Change in assets and liabilities, </w:t>
              <w:br/>
              <w:t>   net of acquisitions and divestitures:</w:t>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net</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pension and postretirement assets and liabilities, net</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INVESTING ACTIVITIES</w:t>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net of cash received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divestitures including equity method and marketable security investments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derivative settlements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Payments for derivative settlements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Contributions to investments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sale of property, plant and equipment and other</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by/(used in) investing activities</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PROVIDED BY/(USED IN) FINANCING ACTIVITIES</w:t>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(repayments)/issuances of short-term borrowings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proceeds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repayments</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w:t>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49935"/>
                <wp:effectExtent l="0" t="0" r="0" b="0"/>
                <wp:wrapNone/>
                <wp:docPr id="18" name="Frame7"/>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Mondelēz International,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 Basis of Presentation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Principles of Consolidation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with readily determinable fair values for which we do not have the ability to exercise significant influence are measured at fair value.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War in Ukraine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February 2022, Russia began a military invasion of Ukraine and we closed our operations and facilities in Ukraine. In March 2022, our two Ukrainian manufacturing facilities in Trostyanets and Vyshhorod were significantly damaged. We continue to make targeted repairs on both our plants and have partially reopened and restarted production in both plants. We also continue to support our Ukraine employees, including paying salaries to those not yet able to return to work until production returns. We continue to consolidate both our Ukrainian and Russian subsidiaries and continue to evaluate our ability to control our operating activities and businesses on an ongoing basis. We base our estimates on historical experience, expectations of future impacts and other assumptions that we believe are reasonable. Given the uncertainty of the ongoing effects of the war in Ukraine, and its impact on the global economic environment, our estimates could be significantly different than future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Highly Inflationary Accounting</w:t>
      </w:r>
    </w:p>
    <w:p>
      <w:pPr>
        <w:pStyle w:val="TextBody"/>
        <w:bidi w:val="0"/>
        <w:spacing w:lineRule="auto" w:line="288" w:before="0" w:after="0"/>
        <w:jc w:val="both"/>
        <w:rPr/>
      </w:pPr>
      <w:r>
        <w:rPr>
          <w:rFonts w:ascii="Arial;sans-serif" w:hAnsi="Arial;sans-serif"/>
          <w:b w:val="false"/>
          <w:color w:val="000000"/>
          <w:sz w:val="20"/>
        </w:rPr>
        <w:t xml:space="preserve">Within our consolidated entities, Argentina and </w:t>
      </w:r>
      <w:r>
        <w:rPr>
          <w:rFonts w:ascii="Arial;sans-serif" w:hAnsi="Arial;sans-serif"/>
          <w:b w:val="false"/>
          <w:i/>
          <w:color w:val="000000"/>
          <w:sz w:val="20"/>
        </w:rPr>
        <w:t xml:space="preserve">Türkiye </w:t>
      </w:r>
      <w:r>
        <w:rPr>
          <w:rFonts w:ascii="Arial;sans-serif" w:hAnsi="Arial;sans-serif"/>
          <w:b w:val="false"/>
          <w:color w:val="000000"/>
          <w:sz w:val="20"/>
        </w:rPr>
        <w:t>(Turkey)</w:t>
      </w:r>
      <w:r>
        <w:rPr>
          <w:color w:val="000000"/>
        </w:rPr>
        <w:t xml:space="preserve"> </w:t>
      </w:r>
      <w:r>
        <w:rPr>
          <w:rFonts w:ascii="Arial;sans-serif" w:hAnsi="Arial;sans-serif"/>
          <w:b w:val="false"/>
          <w:color w:val="000000"/>
          <w:sz w:val="20"/>
        </w:rPr>
        <w:t>are accounted for as highly inflationary economies. Argentina and Türkiye represent 1.4% and 0.9% of our consolidated net revenues with remeasurement losses of $2 million and $6 million for the three months ended March 31, 2024, respectively. Given the continued volatility of these currencies, impacts to our financial statements in future periods could be significantly different from historical levels.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Cash Equivalents and Restricted Cash</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and cash equivalents include demand deposits with banks and all highly liquid investments with original maturities of three months or less. Restricted cash primarily includes cash held on behalf of financial institutions in accordance with accounts receivable factoring arrangements and letters of credit arrangements with legally restricted cash collateral provisions. Restricted cash is recorded within other current assets and was $86 million as of March 31, 2024 and $74 million as of December 31, 2023. Total cash, cash equivalents and restricted cash was $1,462 million as of March 31, 2024 and $1,884 million as of December 31,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49935"/>
                <wp:effectExtent l="0" t="0" r="0" b="0"/>
                <wp:wrapNone/>
                <wp:docPr id="21" name="Frame8"/>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Allowances for Credit Losses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allowances for credit losses consisted of:</w:t>
      </w:r>
    </w:p>
    <w:tbl>
      <w:tblPr>
        <w:tblW w:w="10205" w:type="dxa"/>
        <w:jc w:val="center"/>
        <w:tblInd w:w="0" w:type="dxa"/>
        <w:tblLayout w:type="fixed"/>
        <w:tblCellMar>
          <w:top w:w="28" w:type="dxa"/>
          <w:left w:w="28" w:type="dxa"/>
          <w:bottom w:w="28" w:type="dxa"/>
          <w:right w:w="28" w:type="dxa"/>
        </w:tblCellMar>
      </w:tblPr>
      <w:tblGrid>
        <w:gridCol w:w="1239"/>
        <w:gridCol w:w="791"/>
        <w:gridCol w:w="794"/>
        <w:gridCol w:w="609"/>
        <w:gridCol w:w="1087"/>
        <w:gridCol w:w="318"/>
        <w:gridCol w:w="109"/>
        <w:gridCol w:w="109"/>
        <w:gridCol w:w="109"/>
        <w:gridCol w:w="724"/>
        <w:gridCol w:w="1292"/>
        <w:gridCol w:w="378"/>
        <w:gridCol w:w="109"/>
        <w:gridCol w:w="109"/>
        <w:gridCol w:w="109"/>
        <w:gridCol w:w="659"/>
        <w:gridCol w:w="1175"/>
        <w:gridCol w:w="485"/>
      </w:tblGrid>
      <w:tr>
        <w:trPr/>
        <w:tc>
          <w:tcPr>
            <w:tcW w:w="123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Trade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Other Current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Allowance for Long-Term Receivables</w:t>
            </w:r>
          </w:p>
        </w:tc>
      </w:tr>
      <w:tr>
        <w:trPr/>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2024</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recovery for expected credit losses</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Write-offs charged against the allowance</w:t>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vAlign w:val="center"/>
          </w:tcPr>
          <w:p>
            <w:pPr>
              <w:pStyle w:val="TableContents"/>
              <w:bidi w:val="0"/>
              <w:spacing w:before="0" w:after="283"/>
              <w:jc w:val="left"/>
              <w:rPr>
                <w:sz w:val="4"/>
                <w:szCs w:val="4"/>
              </w:rPr>
            </w:pPr>
            <w:r>
              <w:rPr>
                <w:sz w:val="4"/>
                <w:szCs w:val="4"/>
              </w:rPr>
            </w:r>
          </w:p>
        </w:tc>
        <w:tc>
          <w:tcPr>
            <w:tcW w:w="2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9" w:type="dxa"/>
            <w:gridSpan w:val="3"/>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2024</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Transfers of Financial Assets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outstanding principal amount of receivables under our uncommitted revolving non-recourse accounts receivable factoring arrangements amounted to $473 million as of March 31, 2024 and $262 million as of December 31, 2023. The incremental cost of factoring receivables under this arrangement was not material for all periods presented. The proceeds from the sales of receivables are included in cash from operating activities in the condensed consolidated statements of 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Non-Cash Lease Transactions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recorded $12 million in operating lease and $22 million in finance lease right-of-use assets obtained in exchange for lease obligations during the three months ended March 31, 2024 and $39 million in operating lease and $27 million in finance lease right-of-use assets obtained in exchange for lease obligations during the three months ended March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Supply Chain Financing</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part of our continued efforts to improve our working capital efficiency, we have worked with our suppliers over the past several years to optimize our terms and conditions, which include the extension of payment terms. We also facilitate voluntary supply chain financing (“SCF”) programs through several participating financial institutions. We have been informed by the participating financial institutions that our outstanding accounts payable related to suppliers that participate in the SCF programs was $2.5 billion and $2.4 billion, respectively, as of March 31, 2024 and December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New Accounting Pronouncements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September 2022, the FASB issued an ASU which enhances the transparency of supplier finance programs by requiring additional disclosure about the key terms of these programs and a roll-forward of the related obligations to understand the effects of these programs on working capital, liquidity and cash flows. The ASU is effective for fiscal years beginning after December 15, 2022, except for the roll-forward requirement, which is effective for fiscal years beginning after December 15, 2023. We adopted, with the exception of the roll-forward requirement, this standard in the first quarter of 2023 and it did not have a material impact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November 2023, the FASB issued an ASU which improves reportable segment disclosure requirements, primarily through enhanced disclosures about significant segment expenses. The ASU is effective for fiscal years beginning after December 15, 2023 and early adoption is permitted. We are currently assessing the impact on our consolidated financial statements and related segment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December 2023, the FASB issued an ASU which enhances the transparency of income tax disclosures, primarily related to the rate reconciliation and income taxes paid information. The ASU is effective for fiscal years beginning after December 15, 2024 and early adoption is permitted. We are currently assessing the impact on our consolidated financial statements and related disclosures.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49935"/>
                <wp:effectExtent l="0" t="0" r="0" b="0"/>
                <wp:wrapNone/>
                <wp:docPr id="24" name="Frame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2. Divestitures </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i/>
          <w:color w:val="000000"/>
          <w:sz w:val="20"/>
        </w:rPr>
      </w:pPr>
      <w:r>
        <w:rPr>
          <w:rFonts w:ascii="Arial;sans-serif" w:hAnsi="Arial;sans-serif"/>
          <w:b w:val="false"/>
          <w:i/>
          <w:color w:val="000000"/>
          <w:sz w:val="20"/>
        </w:rPr>
        <w:t>Developed Market Gum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October 1, 2023, we completed the sale of our developed market gum business in the United States, Canada and Europe to Perfetti Van Melle Group, excluding the Portugal business which we sold on October 23, 2023 after obtaining regulatory approval.</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recorded divestiture-related costs of $4 million in the three months ended March 31, 2024 and divestiture-related costs of $30 million in the three months ended March 31, 2023.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disposition was not considered a strategic shift that would have a major effect on our operations or financial results; therefore, the results of the disposed business were not classified as discontinued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3. Inventories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5470" w:type="dxa"/>
        <w:jc w:val="left"/>
        <w:tblInd w:w="0" w:type="dxa"/>
        <w:tblLayout w:type="fixed"/>
        <w:tblCellMar>
          <w:top w:w="28" w:type="dxa"/>
          <w:left w:w="28" w:type="dxa"/>
          <w:bottom w:w="28" w:type="dxa"/>
          <w:right w:w="28" w:type="dxa"/>
        </w:tblCellMar>
      </w:tblPr>
      <w:tblGrid>
        <w:gridCol w:w="630"/>
        <w:gridCol w:w="553"/>
        <w:gridCol w:w="556"/>
        <w:gridCol w:w="288"/>
        <w:gridCol w:w="883"/>
        <w:gridCol w:w="149"/>
        <w:gridCol w:w="109"/>
        <w:gridCol w:w="109"/>
        <w:gridCol w:w="109"/>
        <w:gridCol w:w="435"/>
        <w:gridCol w:w="1332"/>
        <w:gridCol w:w="317"/>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product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reserves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3,562 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3,615 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4. Property, Plant and Equipment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plant and equipment consisted of the following:</w:t>
      </w:r>
    </w:p>
    <w:tbl>
      <w:tblPr>
        <w:tblW w:w="7031" w:type="dxa"/>
        <w:jc w:val="center"/>
        <w:tblInd w:w="0" w:type="dxa"/>
        <w:tblLayout w:type="fixed"/>
        <w:tblCellMar>
          <w:top w:w="28" w:type="dxa"/>
          <w:left w:w="28" w:type="dxa"/>
          <w:bottom w:w="28" w:type="dxa"/>
          <w:right w:w="28" w:type="dxa"/>
        </w:tblCellMar>
      </w:tblPr>
      <w:tblGrid>
        <w:gridCol w:w="1195"/>
        <w:gridCol w:w="1050"/>
        <w:gridCol w:w="1055"/>
        <w:gridCol w:w="288"/>
        <w:gridCol w:w="883"/>
        <w:gridCol w:w="149"/>
        <w:gridCol w:w="109"/>
        <w:gridCol w:w="109"/>
        <w:gridCol w:w="109"/>
        <w:gridCol w:w="435"/>
        <w:gridCol w:w="1332"/>
        <w:gridCol w:w="317"/>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and land improvements</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building improvements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12,693 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12,736 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17,599 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17,690 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9,574 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9,694 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three months ended March 31, 2024, capital expenditures of $299 million excluded $418 million of accrued capital expenditures remaining unpaid at March 31, 2024 and included payment for a portion of the $471 million of capital expenditures that were accrued and unpaid at December 31, 2023. For the three months ended March 31, 2023, capital expenditures of $223 million excluded $290 million of accrued capital expenditures remaining unpaid at March 31, 2023 and included payment for a portion of the $324 million of capital expenditures that were accrued and unpaid at December 31,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49935"/>
                <wp:effectExtent l="0" t="0" r="0" b="0"/>
                <wp:wrapNone/>
                <wp:docPr id="27" name="Frame10"/>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2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5. Goodwill and Intangible Assets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goodwill consisted of:</w:t>
      </w:r>
    </w:p>
    <w:p>
      <w:pPr>
        <w:pStyle w:val="TextBody"/>
        <w:bidi w:val="0"/>
        <w:spacing w:before="0" w:after="0"/>
        <w:jc w:val="both"/>
        <w:rPr/>
      </w:pPr>
      <w:r>
        <w:rPr/>
      </w:r>
    </w:p>
    <w:tbl>
      <w:tblPr>
        <w:tblW w:w="9604" w:type="dxa"/>
        <w:jc w:val="left"/>
        <w:tblInd w:w="0" w:type="dxa"/>
        <w:tblLayout w:type="fixed"/>
        <w:tblCellMar>
          <w:top w:w="28" w:type="dxa"/>
          <w:left w:w="28" w:type="dxa"/>
          <w:bottom w:w="28" w:type="dxa"/>
          <w:right w:w="28" w:type="dxa"/>
        </w:tblCellMar>
      </w:tblPr>
      <w:tblGrid>
        <w:gridCol w:w="1267"/>
        <w:gridCol w:w="873"/>
        <w:gridCol w:w="664"/>
        <w:gridCol w:w="262"/>
        <w:gridCol w:w="803"/>
        <w:gridCol w:w="135"/>
        <w:gridCol w:w="109"/>
        <w:gridCol w:w="109"/>
        <w:gridCol w:w="109"/>
        <w:gridCol w:w="211"/>
        <w:gridCol w:w="646"/>
        <w:gridCol w:w="109"/>
        <w:gridCol w:w="109"/>
        <w:gridCol w:w="109"/>
        <w:gridCol w:w="109"/>
        <w:gridCol w:w="211"/>
        <w:gridCol w:w="646"/>
        <w:gridCol w:w="109"/>
        <w:gridCol w:w="109"/>
        <w:gridCol w:w="109"/>
        <w:gridCol w:w="109"/>
        <w:gridCol w:w="245"/>
        <w:gridCol w:w="873"/>
        <w:gridCol w:w="126"/>
        <w:gridCol w:w="109"/>
        <w:gridCol w:w="109"/>
        <w:gridCol w:w="109"/>
        <w:gridCol w:w="211"/>
        <w:gridCol w:w="75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 2023</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Acquisitions </w:t>
            </w:r>
            <w:r>
              <w:rPr>
                <w:rFonts w:ascii="Arial;sans-serif" w:hAnsi="Arial;sans-serif"/>
                <w:b w:val="false"/>
                <w:color w:val="000000"/>
                <w:sz w:val="13"/>
              </w:rPr>
              <w:t>(1)</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2023</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2024</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(1)Purchase price allocation adjustments for Ricolino and Clif Bar during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Intangible Assets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Intangible assets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7"/>
        <w:gridCol w:w="409"/>
        <w:gridCol w:w="411"/>
        <w:gridCol w:w="228"/>
        <w:gridCol w:w="812"/>
        <w:gridCol w:w="117"/>
        <w:gridCol w:w="109"/>
        <w:gridCol w:w="109"/>
        <w:gridCol w:w="109"/>
        <w:gridCol w:w="275"/>
        <w:gridCol w:w="844"/>
        <w:gridCol w:w="142"/>
        <w:gridCol w:w="109"/>
        <w:gridCol w:w="109"/>
        <w:gridCol w:w="109"/>
        <w:gridCol w:w="224"/>
        <w:gridCol w:w="797"/>
        <w:gridCol w:w="115"/>
        <w:gridCol w:w="109"/>
        <w:gridCol w:w="109"/>
        <w:gridCol w:w="109"/>
        <w:gridCol w:w="228"/>
        <w:gridCol w:w="812"/>
        <w:gridCol w:w="117"/>
        <w:gridCol w:w="109"/>
        <w:gridCol w:w="109"/>
        <w:gridCol w:w="109"/>
        <w:gridCol w:w="275"/>
        <w:gridCol w:w="844"/>
        <w:gridCol w:w="142"/>
        <w:gridCol w:w="109"/>
        <w:gridCol w:w="109"/>
        <w:gridCol w:w="109"/>
        <w:gridCol w:w="223"/>
        <w:gridCol w:w="795"/>
        <w:gridCol w:w="173"/>
      </w:tblGrid>
      <w:tr>
        <w:trPr/>
        <w:tc>
          <w:tcPr>
            <w:tcW w:w="58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millions)</w:t>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Definite-life intangible assets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Indefinite-life intangible assets </w:t>
            </w:r>
            <w:r>
              <w:rPr>
                <w:rFonts w:ascii="Arial;sans-serif" w:hAnsi="Arial;sans-serif"/>
                <w:b w:val="false"/>
                <w:color w:val="000000"/>
                <w:sz w:val="13"/>
              </w:rPr>
              <w:t>(1)</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21,788 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(2,174)</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19,614 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21,991 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19,836 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(1)In 2023, we recorded $26 million of intangible asset impairment charges related to a chocolate brand in the North America segment for $20 million and a biscuit brand in the Europe segment for $6 million in the third quarter.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Indefinite-life intangible assets consist principally of brand names purchased through our acquisitions of Nabisco Holdings Corp., the global </w:t>
      </w:r>
      <w:r>
        <w:rPr>
          <w:rFonts w:ascii="Arial;sans-serif" w:hAnsi="Arial;sans-serif"/>
          <w:b w:val="false"/>
          <w:i/>
          <w:color w:val="000000"/>
          <w:sz w:val="20"/>
        </w:rPr>
        <w:t>LU</w:t>
      </w:r>
      <w:r>
        <w:rPr>
          <w:color w:val="000000"/>
        </w:rPr>
        <w:t xml:space="preserve"> </w:t>
      </w:r>
      <w:r>
        <w:rPr>
          <w:rFonts w:ascii="Arial;sans-serif" w:hAnsi="Arial;sans-serif"/>
          <w:b w:val="false"/>
          <w:color w:val="000000"/>
          <w:sz w:val="20"/>
        </w:rPr>
        <w:t xml:space="preserve">biscuit business of Groupe Danone S.A., Cadbury Limited and Clif Bar. Definite-life intangible assets consist primarily of trademarks, customer-related intangibles, process technology, licenses and non-compete agreements.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Amortization expense for intangible assets was $38 million for the three months ended March 31, 2024 and $39 million for the three months ended March 31, 2023. For the next five years, we currently estimate annual amortization expense of approximately $125 million in 2024-2026 and approximately $90 million in 2027 and 2028 (reflecting March 31, 2024 exchange rates).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Impairment Assessment: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test our reporting units and brands for impairment annually as of July 1, or more frequently if events or circumstances indicate it is more likely than not that the fair value of a reporting unit or brand is less than its carrying amount. During the first quarter of 2024, we evaluated our goodwill impairment and intangible asset impairment risk through an assessment of potential triggering events. We considered qualitative and quantitative information in our assessment. We concluded there were no impairment indicators.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our 2023 annual indefinite-life intangible asset testing, we identified thirteen brands that each had a fair value in excess of book value of 10% or less. The aggregate book value of the thirteen brands was $3.6 billion as of March 31, 2024, of which $1.9 billion is related to five recently acquired brands. We believe our current plans for each of these brands will support the current carrying values, but if plans to grow brand earnings and expand margin are not met or specific valuation factors outside of our control, such as discount rates, change then a brand or brands could become impaired in the future.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49935"/>
                <wp:effectExtent l="0" t="0" r="0" b="0"/>
                <wp:wrapNone/>
                <wp:docPr id="30" name="Frame11"/>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2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6. Investments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Marketable Securities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2, 2023, we sold approximately 30 million shares of Keurig Dr Pepper Inc. (NASDAQ: "KDP"), which reduced our ownership interest by 2.1 percentage points, from 5.3% to 3.2% of the total outstanding shares. We received approximately $1.0 billion in proceeds and recorded a pre-tax gain on equity method transactions of $493 million ($368 million after-tax) on this sale during the first quarter of 2023. This reduction in ownership, to below 5% of the outstanding shares, resulted in a change of accounting for our KDP investment, from equity method investment accounting to accounting for equity interests with readily determinable fair values ("marketable securities") as we no longer had significant influence over KDP. Marketable securities are measured at fair value based on quoted prices in active markets for identical assets (Level 1). Subsequently in 2023, we sold the remainder of our shares of KDP and exited our investment in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Pre-tax gains for marketable securities are summarized below:</w:t>
      </w:r>
    </w:p>
    <w:p>
      <w:pPr>
        <w:pStyle w:val="TextBody"/>
        <w:bidi w:val="0"/>
        <w:spacing w:before="0" w:after="0"/>
        <w:jc w:val="both"/>
        <w:rPr/>
      </w:pPr>
      <w:r>
        <w:rPr/>
      </w:r>
    </w:p>
    <w:tbl>
      <w:tblPr>
        <w:tblW w:w="9405" w:type="dxa"/>
        <w:jc w:val="left"/>
        <w:tblInd w:w="0" w:type="dxa"/>
        <w:tblLayout w:type="fixed"/>
        <w:tblCellMar>
          <w:top w:w="28" w:type="dxa"/>
          <w:left w:w="28" w:type="dxa"/>
          <w:bottom w:w="28" w:type="dxa"/>
          <w:right w:w="28" w:type="dxa"/>
        </w:tblCellMar>
      </w:tblPr>
      <w:tblGrid>
        <w:gridCol w:w="2317"/>
        <w:gridCol w:w="2038"/>
        <w:gridCol w:w="2050"/>
        <w:gridCol w:w="748"/>
        <w:gridCol w:w="1706"/>
        <w:gridCol w:w="546"/>
      </w:tblGrid>
      <w:tr>
        <w:trPr/>
        <w:tc>
          <w:tcPr>
            <w:tcW w:w="2317"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March 31, 2023</w:t>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Unrealized gain on marketable securities held as of the end of the period</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 income and other</w:t>
            </w:r>
          </w:p>
        </w:tc>
        <w:tc>
          <w:tcPr>
            <w:tcW w:w="2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gain on marketable securities</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reported no marketable securities as of March 31, 2024 and $1.6 billion as of March 31, 2023 in </w:t>
      </w:r>
      <w:r>
        <w:rPr>
          <w:rFonts w:ascii="Arial;sans-serif" w:hAnsi="Arial;sans-serif"/>
          <w:b w:val="false"/>
          <w:i/>
          <w:color w:val="000000"/>
          <w:sz w:val="20"/>
        </w:rPr>
        <w:t>Other current assets</w:t>
      </w:r>
      <w:r>
        <w:rPr>
          <w:color w:val="000000"/>
        </w:rPr>
        <w:t xml:space="preserve"> </w:t>
      </w:r>
      <w:r>
        <w:rPr>
          <w:rFonts w:ascii="Arial;sans-serif" w:hAnsi="Arial;sans-serif"/>
          <w:b w:val="false"/>
          <w:color w:val="000000"/>
          <w:sz w:val="20"/>
        </w:rPr>
        <w:t>in the condensed consolidated balance sheet.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Equity Method Investments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equity method investments include, but are not limited to, our ownership interests in JDE Peet's (Euronext Amsterdam: "JDEP"), Dong Suh Foods Corporation and Dong Suh Oil &amp; Fats Co. Ltd. Our ownership interests may change over time due to investee stock-based compensation arrangements, share issuances or other equity-related transactions. As of March 31, 2024, we owned 17.7%, 50.0% and 49.0%, respectively, of these companies' outstanding shares. We continue to have board representation with two directors on JDEP's Board of Directors and have retained certain additional governance rights. As we continue to have significant influence, we continue to account for our investment in JDEP under the equity method.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investments accounted for under the equity method of accounting totaled $2.4 billion as of March 31, 2024 and $3.2 billion as of December 31, 2023. We recorded equity earnings of $31 million and cash dividends of $81 million in the three months ended March 31, 2024, and equity earnings of $35 million and cash dividends of $102 million in the three months ended March 31, 2023.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During the three months ended March 31, 2024, we determined there was an other-than-temporary impairment based on the period of time for which the quoted market price fair value has been less than the carrying value of the investment and the uncertainty surrounding JDEP's stock price recovering to the carrying value. As a result, the investment was written down to its estimated fair value based on the closing price of the underlying equity security of €19.46 per share on March 28, 2024, resulting in an impairment charge of €612 million ($665 million). This charge was included within </w:t>
      </w:r>
      <w:r>
        <w:rPr>
          <w:rFonts w:ascii="Arial;sans-serif" w:hAnsi="Arial;sans-serif"/>
          <w:b w:val="false"/>
          <w:i/>
          <w:color w:val="000000"/>
          <w:sz w:val="20"/>
        </w:rPr>
        <w:t xml:space="preserve">(Loss)/gain on equity method investment transactions including impairments </w:t>
      </w:r>
      <w:r>
        <w:rPr>
          <w:rFonts w:ascii="Arial;sans-serif" w:hAnsi="Arial;sans-serif"/>
          <w:b w:val="false"/>
          <w:color w:val="000000"/>
          <w:sz w:val="20"/>
        </w:rPr>
        <w:t xml:space="preserve">in the condensed consolidated statement of earnings. Any potential future impairments of JDEP will continue to be assessed based upon the other-than-temporary impairment criteria. There was no other than temporary impairment identified in 2023.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JDEP Transactions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30, 2023, we issued options to sell shares of JDEP in tranches equivalent to approximately 7.7 million shares. These options were exercisable at their maturities which were between July 3, 2023 and September 29, 2023, with strike prices ranging from €26.10 to €28.71 per share. Subsequent to the three months ended March 31, 2023, we exercised options on 2.2 million of the 7.7 million shares.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49935"/>
                <wp:effectExtent l="0" t="0" r="0" b="0"/>
                <wp:wrapNone/>
                <wp:docPr id="33" name="Frame1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2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 xml:space="preserve">In 2021, we issued €300 million exchangeable bonds, which are redeemable at maturity in September 2024 at their principal amount in cash or, at our option, through the delivery of an equivalent number of JDEP’s ordinary shares based on an initial exchange price of €35.40 and, as the case may be, an additional amount in cash. If all bonds were redeemed in exchange for JDEP's shares, this would represent approximately 8.5 million shares or approximately 10% of our equity interest in JDEP as of March 31, 2024. Refer to Note 9, </w:t>
      </w:r>
      <w:r>
        <w:rPr>
          <w:rFonts w:ascii="Arial;sans-serif" w:hAnsi="Arial;sans-serif"/>
          <w:b w:val="false"/>
          <w:i/>
          <w:color w:val="000000"/>
          <w:sz w:val="20"/>
        </w:rPr>
        <w:t>Financial Instruments</w:t>
      </w:r>
      <w:r>
        <w:rPr>
          <w:rFonts w:ascii="Arial;sans-serif" w:hAnsi="Arial;sans-serif"/>
          <w:b w:val="false"/>
          <w:color w:val="000000"/>
          <w:sz w:val="20"/>
        </w:rPr>
        <w:t>, for further details on this transaction.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7. Restructuring Program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6, 2014, our Board of Directors approved a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On October 21, 2021, our Board of Directors approved an extension of the restructuring program through 2023, and on July 25, 2023, our Board of Directors approved a further extension of the restructuring program through December 31, 2024. The total $7.7 billion program now consists of $5.4 billion of program charges ($4.1 billion of cash costs and $1.3 billion of non-cash costs) and total capital expenditures of $2.3 billion to be incurred over the life of the program. The current restructuring program, as increased and extended by these actions, is now called the Simplify to Grow Program.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$5.3 billion related to the Simplify to Grow Program. We expect to incur the remainder of the program charges by year-end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Restructuring Costs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Simplify to Grow Program liability activity for the three months ended March 31, 2024 was:</w:t>
      </w:r>
    </w:p>
    <w:tbl>
      <w:tblPr>
        <w:tblW w:w="7979" w:type="dxa"/>
        <w:jc w:val="left"/>
        <w:tblInd w:w="0" w:type="dxa"/>
        <w:tblLayout w:type="fixed"/>
        <w:tblCellMar>
          <w:top w:w="28" w:type="dxa"/>
          <w:left w:w="28" w:type="dxa"/>
          <w:bottom w:w="28" w:type="dxa"/>
          <w:right w:w="28" w:type="dxa"/>
        </w:tblCellMar>
      </w:tblPr>
      <w:tblGrid>
        <w:gridCol w:w="1222"/>
        <w:gridCol w:w="1072"/>
        <w:gridCol w:w="1080"/>
        <w:gridCol w:w="261"/>
        <w:gridCol w:w="595"/>
        <w:gridCol w:w="135"/>
        <w:gridCol w:w="109"/>
        <w:gridCol w:w="109"/>
        <w:gridCol w:w="109"/>
        <w:gridCol w:w="613"/>
        <w:gridCol w:w="1182"/>
        <w:gridCol w:w="319"/>
        <w:gridCol w:w="109"/>
        <w:gridCol w:w="109"/>
        <w:gridCol w:w="109"/>
        <w:gridCol w:w="211"/>
        <w:gridCol w:w="481"/>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Severance</w:t>
              <w:br/>
              <w:t>and related</w:t>
              <w:br/>
              <w:t>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Asset</w:t>
            </w:r>
          </w:p>
          <w:p>
            <w:pPr>
              <w:pStyle w:val="TableContents"/>
              <w:bidi w:val="0"/>
              <w:spacing w:lineRule="auto" w:line="240" w:before="0" w:after="0"/>
              <w:jc w:val="center"/>
              <w:rPr/>
            </w:pPr>
            <w:r>
              <w:rPr>
                <w:rFonts w:ascii="Arial;sans-serif" w:hAnsi="Arial;sans-serif"/>
                <w:b/>
                <w:color w:val="000000"/>
                <w:sz w:val="16"/>
              </w:rPr>
              <w:t xml:space="preserve">Write-downs and Other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balance, January 1, 2024</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Charges</w:t>
            </w:r>
            <w:r>
              <w:rPr>
                <w:color w:val="000000"/>
              </w:rPr>
              <w:t xml:space="preserve"> </w:t>
            </w:r>
            <w:r>
              <w:rPr>
                <w:rFonts w:ascii="Arial;sans-serif" w:hAnsi="Arial;sans-serif"/>
                <w:b w:val="false"/>
                <w:color w:val="000000"/>
                <w:sz w:val="13"/>
              </w:rPr>
              <w:t>(2)</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spent</w:t>
            </w:r>
            <w:r>
              <w:rPr>
                <w:color w:val="000000"/>
              </w:rPr>
              <w:t xml:space="preserve"> </w:t>
            </w:r>
            <w:r>
              <w:rPr>
                <w:rFonts w:ascii="Arial;sans-serif" w:hAnsi="Arial;sans-serif"/>
                <w:b w:val="false"/>
                <w:color w:val="000000"/>
                <w:sz w:val="13"/>
              </w:rPr>
              <w:t>(3)</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Non-cash settlements/adjustments </w:t>
            </w:r>
            <w:r>
              <w:rPr>
                <w:rFonts w:ascii="Arial;sans-serif" w:hAnsi="Arial;sans-serif"/>
                <w:b w:val="false"/>
                <w:color w:val="000000"/>
                <w:sz w:val="13"/>
              </w:rPr>
              <w:t>(4)</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Liability balance, March 31, 2024 </w:t>
            </w:r>
            <w:r>
              <w:rPr>
                <w:rFonts w:ascii="Arial;sans-serif" w:hAnsi="Arial;sans-serif"/>
                <w:b w:val="false"/>
                <w:color w:val="000000"/>
                <w:sz w:val="13"/>
              </w:rPr>
              <w:t>(5)</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gains as a result of assets sold which are included in the restructuring program.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(2)We recorded restructuring charges of $42 million in the three months ended March 31, 2024 and restructuring charges of $30 million in the three months ended March 31, 2023 within asset impairment and exit costs and benefit plan non-service income.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(3)We spent $13 million in the three months ended March 31, 2024 and $18 million in the three months ended March 31, 2023 in cash severance and related costs.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(4)We recognized non-cash asset write-downs (including accelerated depreciation and asset impairments) and other non-cash adjustments, including any gains on sale of restructuring program assets, which totaled a charge of $1 million in the three months ended March 31, 2024 and a charge of $1 million in the three months ended March 31, 2023.</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(5)At March 31, 2024, $119 million of our net restructuring liability was recorded within other current liabilities and $96 million was recorded within other long-term liabilities.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Implementation Costs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Implementation costs are directly attributable to restructuring activities; however, they do not qualify for special accounting treatment as exit or disposal activities. We believe the disclosure of implementation costs provides readers of our financial statements with additional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$11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49935"/>
                <wp:effectExtent l="0" t="0" r="0" b="0"/>
                <wp:wrapNone/>
                <wp:docPr id="36" name="Frame1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3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3" descr=""/>
                                          <pic:cNvPicPr>
                                            <a:picLocks noChangeAspect="1" noChangeArrowheads="1"/>
                                          </pic:cNvPicPr>
                                        </pic:nvPicPr>
                                        <pic:blipFill>
                                          <a:blip r:embed="rId2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three months ended March 31, 2024 and $5 million in the three months ended March 31, 2023. We recorded these costs within cost of sales and general corporate expense within selling, general and administrative expenses.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Restructuring and Implementation Costs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2024 and March 31, 2023, and since inception of the Simplify to Grow Program, we recorded the following restructuring and implementation costs within segment operating income and earnings before income taxes:</w:t>
      </w:r>
    </w:p>
    <w:tbl>
      <w:tblPr>
        <w:tblW w:w="10205" w:type="dxa"/>
        <w:jc w:val="left"/>
        <w:tblInd w:w="0" w:type="dxa"/>
        <w:tblLayout w:type="fixed"/>
        <w:tblCellMar>
          <w:top w:w="28" w:type="dxa"/>
          <w:left w:w="28" w:type="dxa"/>
          <w:bottom w:w="28" w:type="dxa"/>
          <w:right w:w="28" w:type="dxa"/>
        </w:tblCellMar>
      </w:tblPr>
      <w:tblGrid>
        <w:gridCol w:w="1295"/>
        <w:gridCol w:w="912"/>
        <w:gridCol w:w="916"/>
        <w:gridCol w:w="211"/>
        <w:gridCol w:w="481"/>
        <w:gridCol w:w="109"/>
        <w:gridCol w:w="109"/>
        <w:gridCol w:w="109"/>
        <w:gridCol w:w="109"/>
        <w:gridCol w:w="211"/>
        <w:gridCol w:w="481"/>
        <w:gridCol w:w="109"/>
        <w:gridCol w:w="109"/>
        <w:gridCol w:w="109"/>
        <w:gridCol w:w="109"/>
        <w:gridCol w:w="211"/>
        <w:gridCol w:w="646"/>
        <w:gridCol w:w="109"/>
        <w:gridCol w:w="109"/>
        <w:gridCol w:w="109"/>
        <w:gridCol w:w="109"/>
        <w:gridCol w:w="211"/>
        <w:gridCol w:w="646"/>
        <w:gridCol w:w="109"/>
        <w:gridCol w:w="109"/>
        <w:gridCol w:w="109"/>
        <w:gridCol w:w="109"/>
        <w:gridCol w:w="237"/>
        <w:gridCol w:w="541"/>
        <w:gridCol w:w="123"/>
        <w:gridCol w:w="109"/>
        <w:gridCol w:w="109"/>
        <w:gridCol w:w="109"/>
        <w:gridCol w:w="211"/>
        <w:gridCol w:w="646"/>
        <w:gridCol w:w="155"/>
      </w:tblGrid>
      <w:tr>
        <w:trPr/>
        <w:tc>
          <w:tcPr>
            <w:tcW w:w="129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8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Three Months Ended March 31, 2024</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Three Months Ended March 31, 2023</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Project </w:t>
              <w:br/>
              <w:t>(Inception to Date)</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Implementation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5,331 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12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49935"/>
                <wp:effectExtent l="0" t="0" r="0" b="0"/>
                <wp:wrapNone/>
                <wp:docPr id="39" name="Frame14"/>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4" descr=""/>
                                          <pic:cNvPicPr>
                                            <a:picLocks noChangeAspect="1" noChangeArrowheads="1"/>
                                          </pic:cNvPicPr>
                                        </pic:nvPicPr>
                                        <pic:blipFill>
                                          <a:blip r:embed="rId2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8. Debt and Borrowing Arrangements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Short-Term Borrowings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short-term borrowings and related weighted-average interest rates consisted of:</w:t>
      </w:r>
    </w:p>
    <w:tbl>
      <w:tblPr>
        <w:tblW w:w="8251" w:type="dxa"/>
        <w:jc w:val="left"/>
        <w:tblInd w:w="0" w:type="dxa"/>
        <w:tblLayout w:type="fixed"/>
        <w:tblCellMar>
          <w:top w:w="28" w:type="dxa"/>
          <w:left w:w="28" w:type="dxa"/>
          <w:bottom w:w="28" w:type="dxa"/>
          <w:right w:w="28" w:type="dxa"/>
        </w:tblCellMar>
      </w:tblPr>
      <w:tblGrid>
        <w:gridCol w:w="902"/>
        <w:gridCol w:w="792"/>
        <w:gridCol w:w="795"/>
        <w:gridCol w:w="292"/>
        <w:gridCol w:w="667"/>
        <w:gridCol w:w="152"/>
        <w:gridCol w:w="115"/>
        <w:gridCol w:w="115"/>
        <w:gridCol w:w="115"/>
        <w:gridCol w:w="270"/>
        <w:gridCol w:w="271"/>
        <w:gridCol w:w="656"/>
        <w:gridCol w:w="109"/>
        <w:gridCol w:w="109"/>
        <w:gridCol w:w="109"/>
        <w:gridCol w:w="292"/>
        <w:gridCol w:w="667"/>
        <w:gridCol w:w="152"/>
        <w:gridCol w:w="135"/>
        <w:gridCol w:w="135"/>
        <w:gridCol w:w="135"/>
        <w:gridCol w:w="270"/>
        <w:gridCol w:w="271"/>
        <w:gridCol w:w="725"/>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br/>
              <w:t>Outstanding</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br/>
              <w:t>Outstanding</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 Rate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loans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short-term borrowings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uncommitted credit lines and committed credit lines available as of March 31, 2024 and December 31, 2023 include:</w:t>
      </w:r>
    </w:p>
    <w:tbl>
      <w:tblPr>
        <w:tblW w:w="9759" w:type="dxa"/>
        <w:jc w:val="left"/>
        <w:tblInd w:w="0" w:type="dxa"/>
        <w:tblLayout w:type="fixed"/>
        <w:tblCellMar>
          <w:top w:w="28" w:type="dxa"/>
          <w:left w:w="28" w:type="dxa"/>
          <w:bottom w:w="28" w:type="dxa"/>
          <w:right w:w="28" w:type="dxa"/>
        </w:tblCellMar>
      </w:tblPr>
      <w:tblGrid>
        <w:gridCol w:w="1021"/>
        <w:gridCol w:w="897"/>
        <w:gridCol w:w="902"/>
        <w:gridCol w:w="359"/>
        <w:gridCol w:w="820"/>
        <w:gridCol w:w="185"/>
        <w:gridCol w:w="109"/>
        <w:gridCol w:w="109"/>
        <w:gridCol w:w="109"/>
        <w:gridCol w:w="476"/>
        <w:gridCol w:w="850"/>
        <w:gridCol w:w="249"/>
        <w:gridCol w:w="109"/>
        <w:gridCol w:w="109"/>
        <w:gridCol w:w="109"/>
        <w:gridCol w:w="359"/>
        <w:gridCol w:w="820"/>
        <w:gridCol w:w="185"/>
        <w:gridCol w:w="121"/>
        <w:gridCol w:w="121"/>
        <w:gridCol w:w="121"/>
        <w:gridCol w:w="461"/>
        <w:gridCol w:w="821"/>
        <w:gridCol w:w="337"/>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Facility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Borrowed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Facility Amount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Borrowed Amount</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9"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Uncommitted credit facilities</w:t>
            </w:r>
            <w:r>
              <w:rPr>
                <w:color w:val="000000"/>
              </w:rPr>
              <w:t xml:space="preserve"> </w:t>
            </w:r>
            <w:r>
              <w:rPr>
                <w:rFonts w:ascii="Arial;sans-serif" w:hAnsi="Arial;sans-serif"/>
                <w:b w:val="false"/>
                <w:color w:val="000000"/>
                <w:sz w:val="13"/>
              </w:rPr>
              <w:t>(1)</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Credit facilities: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February 19, 2025 </w:t>
            </w:r>
            <w:r>
              <w:rPr>
                <w:rFonts w:ascii="Arial;sans-serif" w:hAnsi="Arial;sans-serif"/>
                <w:b w:val="false"/>
                <w:color w:val="000000"/>
                <w:sz w:val="13"/>
              </w:rPr>
              <w:t>(2)</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February 23, 2027 </w:t>
            </w:r>
            <w:r>
              <w:rPr>
                <w:rFonts w:ascii="Arial;sans-serif" w:hAnsi="Arial;sans-serif"/>
                <w:b w:val="false"/>
                <w:color w:val="000000"/>
                <w:sz w:val="13"/>
              </w:rPr>
              <w:t>(2)</w:t>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Various </w:t>
            </w:r>
            <w:r>
              <w:rPr>
                <w:rFonts w:ascii="Arial;sans-serif" w:hAnsi="Arial;sans-serif"/>
                <w:b w:val="false"/>
                <w:color w:val="000000"/>
                <w:sz w:val="13"/>
              </w:rPr>
              <w:t>(3)</w:t>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(1)Prior year facility amount has been revised.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(2)We maintain senior unsecured revolving credit facilities for general corporate purposes, including working capital needs, and to support our commercial paper program. The revolving credit agreements include a covenant that we maintain a minimum shareholders' equity of at least $25.0 billion, excluding accumulated other comprehensive earnings/(losses), the cumulative effects of any changes in accounting principles and earnings/(losses) recognized in connection with the ongoing application of any mark-to-market accounting for pensions and other retirement plans. At March 31, 2024, we complied with this covenant as our shareholders' equity, as defined by the covenant, was $39.6 billion. The revolving credit facility also contains customary representations, covenants and events of default. There are no credit rating triggers, provisions or other financial covenants that could require us to post collateral as security.</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(3)On April 18, 2023, and subsequently amended on October 3, 2023, we entered into a credit facility secured by pledged deposits classified as long-term other assets. Draw downs on the facility bear a variable rate based on SOFR plus applicable margin. On April 5, 2024, we drew down $0.15 billion which is due on February 15, 2029.</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Debt Repayments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2024, we repaid the following notes (in millions):</w:t>
      </w:r>
    </w:p>
    <w:p>
      <w:pPr>
        <w:pStyle w:val="TextBody"/>
        <w:bidi w:val="0"/>
        <w:spacing w:before="0" w:after="0"/>
        <w:jc w:val="both"/>
        <w:rPr/>
      </w:pPr>
      <w:r>
        <w:rPr/>
      </w:r>
    </w:p>
    <w:tbl>
      <w:tblPr>
        <w:tblW w:w="5390" w:type="dxa"/>
        <w:jc w:val="left"/>
        <w:tblInd w:w="0" w:type="dxa"/>
        <w:tblLayout w:type="fixed"/>
        <w:tblCellMar>
          <w:top w:w="28" w:type="dxa"/>
          <w:left w:w="28" w:type="dxa"/>
          <w:bottom w:w="28" w:type="dxa"/>
          <w:right w:w="28" w:type="dxa"/>
        </w:tblCellMar>
      </w:tblPr>
      <w:tblGrid>
        <w:gridCol w:w="407"/>
        <w:gridCol w:w="357"/>
        <w:gridCol w:w="360"/>
        <w:gridCol w:w="109"/>
        <w:gridCol w:w="109"/>
        <w:gridCol w:w="109"/>
        <w:gridCol w:w="384"/>
        <w:gridCol w:w="384"/>
        <w:gridCol w:w="386"/>
        <w:gridCol w:w="109"/>
        <w:gridCol w:w="109"/>
        <w:gridCol w:w="109"/>
        <w:gridCol w:w="250"/>
        <w:gridCol w:w="250"/>
        <w:gridCol w:w="251"/>
        <w:gridCol w:w="109"/>
        <w:gridCol w:w="109"/>
        <w:gridCol w:w="109"/>
        <w:gridCol w:w="404"/>
        <w:gridCol w:w="404"/>
        <w:gridCol w:w="572"/>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USD Equivalent</w:t>
            </w:r>
          </w:p>
        </w:tc>
      </w:tr>
      <w:tr>
        <w:trPr/>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$500</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2023, we did not complete any debt repayments.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Debt Issuances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2024, we issued the following notes (in millions):</w:t>
      </w:r>
    </w:p>
    <w:p>
      <w:pPr>
        <w:pStyle w:val="TextBody"/>
        <w:bidi w:val="0"/>
        <w:spacing w:before="0" w:after="0"/>
        <w:jc w:val="both"/>
        <w:rPr/>
      </w:pPr>
      <w:r>
        <w:rPr/>
      </w:r>
    </w:p>
    <w:tbl>
      <w:tblPr>
        <w:tblW w:w="9359"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369"/>
        <w:gridCol w:w="369"/>
        <w:gridCol w:w="371"/>
        <w:gridCol w:w="109"/>
        <w:gridCol w:w="109"/>
        <w:gridCol w:w="109"/>
        <w:gridCol w:w="449"/>
        <w:gridCol w:w="449"/>
        <w:gridCol w:w="451"/>
        <w:gridCol w:w="109"/>
        <w:gridCol w:w="109"/>
        <w:gridCol w:w="109"/>
        <w:gridCol w:w="514"/>
        <w:gridCol w:w="514"/>
        <w:gridCol w:w="516"/>
        <w:gridCol w:w="109"/>
        <w:gridCol w:w="109"/>
        <w:gridCol w:w="109"/>
        <w:gridCol w:w="786"/>
        <w:gridCol w:w="786"/>
        <w:gridCol w:w="1113"/>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Gross Proceeds</w:t>
            </w:r>
            <w:r>
              <w:rPr>
                <w:color w:val="000000"/>
              </w:rPr>
              <w:t xml:space="preserve"> </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Gross Proceeds USD Equivalent</w:t>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$550</w:t>
            </w:r>
          </w:p>
        </w:tc>
      </w:tr>
    </w:tbl>
    <w:p>
      <w:pPr>
        <w:pStyle w:val="TextBody"/>
        <w:bidi w:val="0"/>
        <w:spacing w:before="0" w:after="0"/>
        <w:jc w:val="both"/>
        <w:rPr/>
      </w:pPr>
      <w:r>
        <w:rPr/>
      </w:r>
    </w:p>
    <w:p>
      <w:pPr>
        <w:pStyle w:val="TextBody"/>
        <w:bidi w:val="0"/>
        <w:spacing w:lineRule="auto" w:line="288" w:before="0" w:after="0"/>
        <w:ind w:left="0" w:right="0" w:hanging="270"/>
        <w:jc w:val="both"/>
        <w:rPr>
          <w:rFonts w:ascii="Arial;sans-serif" w:hAnsi="Arial;sans-serif"/>
          <w:b w:val="false"/>
          <w:color w:val="000000"/>
          <w:sz w:val="16"/>
        </w:rPr>
      </w:pPr>
      <w:r>
        <w:rPr>
          <w:rFonts w:ascii="Arial;sans-serif" w:hAnsi="Arial;sans-serif"/>
          <w:b w:val="false"/>
          <w:color w:val="000000"/>
          <w:sz w:val="16"/>
        </w:rPr>
        <w:t>(1)Represents gross proceeds from the issuance of notes excluding debt issuance costs, discounts and premiums.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2023, we did not complete any debt issuances.</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49935"/>
                <wp:effectExtent l="0" t="0" r="0" b="0"/>
                <wp:wrapNone/>
                <wp:docPr id="42" name="Frame1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5" descr=""/>
                                          <pic:cNvPicPr>
                                            <a:picLocks noChangeAspect="1" noChangeArrowheads="1"/>
                                          </pic:cNvPicPr>
                                        </pic:nvPicPr>
                                        <pic:blipFill>
                                          <a:blip r:embed="rId3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Our Debt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fair value of our short-term borrowings reflects current market interest rates and approximates the amounts we have recorded on our consolidated balance sheets. The fair value of our long-term debt was determined using quoted prices in active markets (Level 1 valuation data) for the publicly traded debt obligations. </w:t>
      </w:r>
    </w:p>
    <w:p>
      <w:pPr>
        <w:pStyle w:val="TextBody"/>
        <w:bidi w:val="0"/>
        <w:spacing w:before="0" w:after="0"/>
        <w:jc w:val="both"/>
        <w:rPr/>
      </w:pPr>
      <w:r>
        <w:rPr/>
      </w:r>
    </w:p>
    <w:tbl>
      <w:tblPr>
        <w:tblW w:w="5530" w:type="dxa"/>
        <w:jc w:val="left"/>
        <w:tblInd w:w="0" w:type="dxa"/>
        <w:tblLayout w:type="fixed"/>
        <w:tblCellMar>
          <w:top w:w="28" w:type="dxa"/>
          <w:left w:w="28" w:type="dxa"/>
          <w:bottom w:w="28" w:type="dxa"/>
          <w:right w:w="28" w:type="dxa"/>
        </w:tblCellMar>
      </w:tblPr>
      <w:tblGrid>
        <w:gridCol w:w="505"/>
        <w:gridCol w:w="444"/>
        <w:gridCol w:w="445"/>
        <w:gridCol w:w="340"/>
        <w:gridCol w:w="1210"/>
        <w:gridCol w:w="175"/>
        <w:gridCol w:w="109"/>
        <w:gridCol w:w="109"/>
        <w:gridCol w:w="109"/>
        <w:gridCol w:w="394"/>
        <w:gridCol w:w="1403"/>
        <w:gridCol w:w="287"/>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16,940 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17,506 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Carrying Value</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19,064 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19,408 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Interest and Other Expense, net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Interest and other expense, net consisted of:</w:t>
      </w:r>
    </w:p>
    <w:tbl>
      <w:tblPr>
        <w:tblW w:w="5681" w:type="dxa"/>
        <w:jc w:val="left"/>
        <w:tblInd w:w="0" w:type="dxa"/>
        <w:tblLayout w:type="fixed"/>
        <w:tblCellMar>
          <w:top w:w="28" w:type="dxa"/>
          <w:left w:w="28" w:type="dxa"/>
          <w:bottom w:w="28" w:type="dxa"/>
          <w:right w:w="28" w:type="dxa"/>
        </w:tblCellMar>
      </w:tblPr>
      <w:tblGrid>
        <w:gridCol w:w="1028"/>
        <w:gridCol w:w="900"/>
        <w:gridCol w:w="907"/>
        <w:gridCol w:w="259"/>
        <w:gridCol w:w="591"/>
        <w:gridCol w:w="133"/>
        <w:gridCol w:w="133"/>
        <w:gridCol w:w="133"/>
        <w:gridCol w:w="133"/>
        <w:gridCol w:w="259"/>
        <w:gridCol w:w="591"/>
        <w:gridCol w:w="133"/>
        <w:gridCol w:w="109"/>
        <w:gridCol w:w="109"/>
        <w:gridCol w:w="109"/>
        <w:gridCol w:w="154"/>
      </w:tblGrid>
      <w:tr>
        <w:trPr/>
        <w:tc>
          <w:tcPr>
            <w:tcW w:w="102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debt</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income, net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20"/>
        </w:rPr>
        <w:t xml:space="preserve">Other income, net includes amounts excluded from hedge effectiveness related to our net investment hedge derivative contracts. Refer to Note 9, </w:t>
      </w:r>
      <w:r>
        <w:rPr>
          <w:rFonts w:ascii="Arial;sans-serif" w:hAnsi="Arial;sans-serif"/>
          <w:b w:val="false"/>
          <w:i/>
          <w:color w:val="000000"/>
          <w:sz w:val="20"/>
        </w:rPr>
        <w:t>Financial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9. Financial Instruments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Fair Value of Derivative Instruments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Derivative instruments were recorded at fair value in the condensed consolidated balance sheets as follows:</w:t>
      </w:r>
    </w:p>
    <w:tbl>
      <w:tblPr>
        <w:tblW w:w="8950" w:type="dxa"/>
        <w:jc w:val="left"/>
        <w:tblInd w:w="0" w:type="dxa"/>
        <w:tblLayout w:type="fixed"/>
        <w:tblCellMar>
          <w:top w:w="28" w:type="dxa"/>
          <w:left w:w="28" w:type="dxa"/>
          <w:bottom w:w="28" w:type="dxa"/>
          <w:right w:w="28" w:type="dxa"/>
        </w:tblCellMar>
      </w:tblPr>
      <w:tblGrid>
        <w:gridCol w:w="1456"/>
        <w:gridCol w:w="1279"/>
        <w:gridCol w:w="1285"/>
        <w:gridCol w:w="213"/>
        <w:gridCol w:w="652"/>
        <w:gridCol w:w="111"/>
        <w:gridCol w:w="109"/>
        <w:gridCol w:w="109"/>
        <w:gridCol w:w="109"/>
        <w:gridCol w:w="213"/>
        <w:gridCol w:w="652"/>
        <w:gridCol w:w="111"/>
        <w:gridCol w:w="109"/>
        <w:gridCol w:w="109"/>
        <w:gridCol w:w="109"/>
        <w:gridCol w:w="213"/>
        <w:gridCol w:w="652"/>
        <w:gridCol w:w="111"/>
        <w:gridCol w:w="109"/>
        <w:gridCol w:w="109"/>
        <w:gridCol w:w="109"/>
        <w:gridCol w:w="213"/>
        <w:gridCol w:w="652"/>
        <w:gridCol w:w="156"/>
      </w:tblGrid>
      <w:tr>
        <w:trPr/>
        <w:tc>
          <w:tcPr>
            <w:tcW w:w="145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w:t>
              <w:b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Liability</w:t>
              <w:b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w:t>
              <w:br/>
              <w:t>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Liability</w:t>
              <w:br/>
              <w:t>Derivatives</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Derivatives designated as</w:t>
            </w:r>
          </w:p>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accounting hedges:</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Net investment hedge derivative contracts </w:t>
            </w:r>
            <w:r>
              <w:rPr>
                <w:rFonts w:ascii="Arial;sans-serif" w:hAnsi="Arial;sans-serif"/>
                <w:b w:val="false"/>
                <w:color w:val="000000"/>
                <w:sz w:val="13"/>
              </w:rPr>
              <w:t>(1)</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Derivatives not designated as </w:t>
              <w:br/>
              <w:t>   accounting hedges:</w:t>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Equity method investment contracts </w:t>
            </w:r>
            <w:r>
              <w:rPr>
                <w:rFonts w:ascii="Arial;sans-serif" w:hAnsi="Arial;sans-serif"/>
                <w:b w:val="false"/>
                <w:color w:val="000000"/>
                <w:sz w:val="13"/>
              </w:rPr>
              <w:t>(2)</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fair value</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8, </w:t>
      </w:r>
      <w:r>
        <w:rPr>
          <w:rFonts w:ascii="Arial;sans-serif" w:hAnsi="Arial;sans-serif"/>
          <w:b w:val="false"/>
          <w:i/>
          <w:color w:val="000000"/>
          <w:sz w:val="16"/>
        </w:rPr>
        <w:t>Debt and Borrowing Arrangements</w:t>
      </w:r>
      <w:r>
        <w:rPr>
          <w:rFonts w:ascii="Arial;sans-serif" w:hAnsi="Arial;sans-serif"/>
          <w:b w:val="false"/>
          <w:color w:val="000000"/>
          <w:sz w:val="16"/>
        </w:rPr>
        <w:t>. Both net investment hedge derivative contracts and non-U.S. dollar denominated debt acting as net investment hedges are also disclosed in the</w:t>
      </w:r>
      <w:r>
        <w:rPr>
          <w:color w:val="000000"/>
        </w:rPr>
        <w:t xml:space="preserve"> </w:t>
      </w:r>
      <w:r>
        <w:rPr>
          <w:rFonts w:ascii="Arial;sans-serif" w:hAnsi="Arial;sans-serif"/>
          <w:b w:val="false"/>
          <w:i/>
          <w:color w:val="000000"/>
          <w:sz w:val="16"/>
        </w:rPr>
        <w:t>Derivative Volume</w:t>
      </w:r>
      <w:r>
        <w:rPr>
          <w:color w:val="000000"/>
        </w:rPr>
        <w:t xml:space="preserve"> </w:t>
      </w:r>
      <w:r>
        <w:rPr>
          <w:rFonts w:ascii="Arial;sans-serif" w:hAnsi="Arial;sans-serif"/>
          <w:b w:val="false"/>
          <w:color w:val="000000"/>
          <w:sz w:val="16"/>
        </w:rPr>
        <w:t xml:space="preserve">table and the </w:t>
      </w:r>
      <w:r>
        <w:rPr>
          <w:rFonts w:ascii="Arial;sans-serif" w:hAnsi="Arial;sans-serif"/>
          <w:b w:val="false"/>
          <w:i/>
          <w:color w:val="000000"/>
          <w:sz w:val="16"/>
        </w:rPr>
        <w:t>Hedges of Net Investments in International Operations</w:t>
      </w:r>
      <w:r>
        <w:rPr>
          <w:color w:val="000000"/>
        </w:rPr>
        <w:t xml:space="preserve"> </w:t>
      </w:r>
      <w:r>
        <w:rPr>
          <w:rFonts w:ascii="Arial;sans-serif" w:hAnsi="Arial;sans-serif"/>
          <w:b w:val="false"/>
          <w:color w:val="000000"/>
          <w:sz w:val="16"/>
        </w:rPr>
        <w:t>section appearing later in this footnote.</w:t>
      </w:r>
    </w:p>
    <w:p>
      <w:pPr>
        <w:pStyle w:val="TextBody"/>
        <w:bidi w:val="0"/>
        <w:spacing w:lineRule="auto" w:line="288" w:before="0" w:after="0"/>
        <w:ind w:left="0" w:right="0" w:hanging="360"/>
        <w:jc w:val="both"/>
        <w:rPr/>
      </w:pPr>
      <w:r>
        <w:rPr>
          <w:rFonts w:ascii="Arial;sans-serif" w:hAnsi="Arial;sans-serif"/>
          <w:b w:val="false"/>
          <w:color w:val="000000"/>
          <w:sz w:val="16"/>
        </w:rPr>
        <w:t xml:space="preserve">(2)Equity method investment contracts consist of the bifurcated embedded derivative option that was a component of the September 20, 2021 €300 million exchangeable bonds issuance and terminates on September 20, 2024. Refer to Note 8, </w:t>
      </w:r>
      <w:r>
        <w:rPr>
          <w:rFonts w:ascii="Arial;sans-serif" w:hAnsi="Arial;sans-serif"/>
          <w:b w:val="false"/>
          <w:i/>
          <w:color w:val="000000"/>
          <w:sz w:val="16"/>
        </w:rPr>
        <w:t>Debt and Borrowing Arrangements</w:t>
      </w:r>
      <w:r>
        <w:rPr>
          <w:rFonts w:ascii="Arial;sans-serif" w:hAnsi="Arial;sans-serif"/>
          <w:b w:val="false"/>
          <w:color w:val="000000"/>
          <w:sz w:val="16"/>
        </w:rPr>
        <w:t>..</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49935"/>
                <wp:effectExtent l="0" t="0" r="0" b="0"/>
                <wp:wrapNone/>
                <wp:docPr id="45" name="Frame16"/>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6" descr=""/>
                                          <pic:cNvPicPr>
                                            <a:picLocks noChangeAspect="1" noChangeArrowheads="1"/>
                                          </pic:cNvPicPr>
                                        </pic:nvPicPr>
                                        <pic:blipFill>
                                          <a:blip r:embed="rId3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recorded the fair value of our derivative instruments in the condensed consolidated balance sheet as follows:</w:t>
      </w:r>
    </w:p>
    <w:p>
      <w:pPr>
        <w:pStyle w:val="TextBody"/>
        <w:bidi w:val="0"/>
        <w:spacing w:before="0" w:after="0"/>
        <w:jc w:val="both"/>
        <w:rPr/>
      </w:pPr>
      <w:r>
        <w:rPr/>
      </w:r>
    </w:p>
    <w:tbl>
      <w:tblPr>
        <w:tblW w:w="5875" w:type="dxa"/>
        <w:jc w:val="left"/>
        <w:tblInd w:w="0" w:type="dxa"/>
        <w:tblLayout w:type="fixed"/>
        <w:tblCellMar>
          <w:top w:w="28" w:type="dxa"/>
          <w:left w:w="28" w:type="dxa"/>
          <w:bottom w:w="28" w:type="dxa"/>
          <w:right w:w="28" w:type="dxa"/>
        </w:tblCellMar>
      </w:tblPr>
      <w:tblGrid>
        <w:gridCol w:w="749"/>
        <w:gridCol w:w="658"/>
        <w:gridCol w:w="663"/>
        <w:gridCol w:w="281"/>
        <w:gridCol w:w="862"/>
        <w:gridCol w:w="145"/>
        <w:gridCol w:w="145"/>
        <w:gridCol w:w="145"/>
        <w:gridCol w:w="145"/>
        <w:gridCol w:w="328"/>
        <w:gridCol w:w="1007"/>
        <w:gridCol w:w="169"/>
        <w:gridCol w:w="169"/>
        <w:gridCol w:w="169"/>
        <w:gridCol w:w="240"/>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2024</w:t>
            </w:r>
          </w:p>
        </w:tc>
        <w:tc>
          <w:tcPr>
            <w:tcW w:w="20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assets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liabilities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values (asset/(liability)) of our derivative instruments were determined using:</w:t>
      </w:r>
    </w:p>
    <w:tbl>
      <w:tblPr>
        <w:tblW w:w="9459" w:type="dxa"/>
        <w:jc w:val="left"/>
        <w:tblInd w:w="0" w:type="dxa"/>
        <w:tblLayout w:type="fixed"/>
        <w:tblCellMar>
          <w:top w:w="28" w:type="dxa"/>
          <w:left w:w="28" w:type="dxa"/>
          <w:bottom w:w="28" w:type="dxa"/>
          <w:right w:w="28" w:type="dxa"/>
        </w:tblCellMar>
      </w:tblPr>
      <w:tblGrid>
        <w:gridCol w:w="1048"/>
        <w:gridCol w:w="921"/>
        <w:gridCol w:w="925"/>
        <w:gridCol w:w="308"/>
        <w:gridCol w:w="943"/>
        <w:gridCol w:w="160"/>
        <w:gridCol w:w="109"/>
        <w:gridCol w:w="109"/>
        <w:gridCol w:w="109"/>
        <w:gridCol w:w="375"/>
        <w:gridCol w:w="856"/>
        <w:gridCol w:w="195"/>
        <w:gridCol w:w="109"/>
        <w:gridCol w:w="109"/>
        <w:gridCol w:w="109"/>
        <w:gridCol w:w="327"/>
        <w:gridCol w:w="1003"/>
        <w:gridCol w:w="171"/>
        <w:gridCol w:w="109"/>
        <w:gridCol w:w="109"/>
        <w:gridCol w:w="109"/>
        <w:gridCol w:w="340"/>
        <w:gridCol w:w="656"/>
        <w:gridCol w:w="250"/>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2024</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Fair Value of Net</w:t>
              <w:br/>
              <w:t>Asset/(Liability)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contracts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9459" w:type="dxa"/>
        <w:jc w:val="left"/>
        <w:tblInd w:w="0" w:type="dxa"/>
        <w:tblLayout w:type="fixed"/>
        <w:tblCellMar>
          <w:top w:w="28" w:type="dxa"/>
          <w:left w:w="28" w:type="dxa"/>
          <w:bottom w:w="28" w:type="dxa"/>
          <w:right w:w="28" w:type="dxa"/>
        </w:tblCellMar>
      </w:tblPr>
      <w:tblGrid>
        <w:gridCol w:w="1049"/>
        <w:gridCol w:w="922"/>
        <w:gridCol w:w="923"/>
        <w:gridCol w:w="427"/>
        <w:gridCol w:w="762"/>
        <w:gridCol w:w="222"/>
        <w:gridCol w:w="109"/>
        <w:gridCol w:w="109"/>
        <w:gridCol w:w="109"/>
        <w:gridCol w:w="414"/>
        <w:gridCol w:w="797"/>
        <w:gridCol w:w="215"/>
        <w:gridCol w:w="109"/>
        <w:gridCol w:w="109"/>
        <w:gridCol w:w="109"/>
        <w:gridCol w:w="455"/>
        <w:gridCol w:w="810"/>
        <w:gridCol w:w="236"/>
        <w:gridCol w:w="109"/>
        <w:gridCol w:w="109"/>
        <w:gridCol w:w="109"/>
        <w:gridCol w:w="340"/>
        <w:gridCol w:w="656"/>
        <w:gridCol w:w="250"/>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Fair Value of Net</w:t>
              <w:br/>
              <w:t>Asset/(Liability)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contracts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derivatives</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Level 1 financial assets and liabilities consist of exchange-traded commodity futures and listed options. The fair value of these instruments is determined based on quoted market prices on commodity exchanges.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bifurcated exchange options are valued, as derivative instrument liabilities, using the Black-Scholes option pricing model. This model requires assumptions related to the market price of the underlying note and associated credit spread combined with the share of price, expected dividend yield, and expected volatility of the JDE Peet’s shares over the life of the option.</w:t>
      </w:r>
      <w:r>
        <w:rPr>
          <w:color w:val="000000"/>
        </w:rPr>
        <w:t xml:space="preserve"> </w:t>
      </w:r>
      <w:r>
        <w:rPr>
          <w:rFonts w:ascii="Arial;sans-serif" w:hAnsi="Arial;sans-serif"/>
          <w:b w:val="false"/>
          <w:color w:val="000000"/>
          <w:sz w:val="20"/>
        </w:rPr>
        <w:t xml:space="preserve">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49935"/>
                <wp:effectExtent l="0" t="0" r="0" b="0"/>
                <wp:wrapNone/>
                <wp:docPr id="48" name="Frame17"/>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7" descr=""/>
                                          <pic:cNvPicPr>
                                            <a:picLocks noChangeAspect="1" noChangeArrowheads="1"/>
                                          </pic:cNvPicPr>
                                        </pic:nvPicPr>
                                        <pic:blipFill>
                                          <a:blip r:embed="rId3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ratings, limiting the amount of exposure with each counterparty and monitoring the financial condition of our counterparties.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Derivative Volume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notional values of our hedging instruments were:</w:t>
      </w:r>
    </w:p>
    <w:tbl>
      <w:tblPr>
        <w:tblW w:w="8980" w:type="dxa"/>
        <w:jc w:val="left"/>
        <w:tblInd w:w="0" w:type="dxa"/>
        <w:tblLayout w:type="fixed"/>
        <w:tblCellMar>
          <w:top w:w="28" w:type="dxa"/>
          <w:left w:w="28" w:type="dxa"/>
          <w:bottom w:w="28" w:type="dxa"/>
          <w:right w:w="28" w:type="dxa"/>
        </w:tblCellMar>
      </w:tblPr>
      <w:tblGrid>
        <w:gridCol w:w="1900"/>
        <w:gridCol w:w="1671"/>
        <w:gridCol w:w="1678"/>
        <w:gridCol w:w="288"/>
        <w:gridCol w:w="883"/>
        <w:gridCol w:w="149"/>
        <w:gridCol w:w="109"/>
        <w:gridCol w:w="109"/>
        <w:gridCol w:w="109"/>
        <w:gridCol w:w="435"/>
        <w:gridCol w:w="1332"/>
        <w:gridCol w:w="317"/>
      </w:tblGrid>
      <w:tr>
        <w:trPr/>
        <w:tc>
          <w:tcPr>
            <w:tcW w:w="1900"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Intercompany loans and forecasted interest payments</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Commodity contracts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18,833 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contracts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hedge derivative contracts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Non-U.S. dollar debt designated as net investment hedges: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Euro notes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Swiss franc notes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Canadian dollar notes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Cash Flow Hedges</w:t>
      </w:r>
    </w:p>
    <w:p>
      <w:pPr>
        <w:pStyle w:val="TextBody"/>
        <w:bidi w:val="0"/>
        <w:spacing w:lineRule="auto" w:line="288" w:before="0" w:after="0"/>
        <w:jc w:val="both"/>
        <w:rPr/>
      </w:pPr>
      <w:r>
        <w:rPr>
          <w:rFonts w:ascii="Arial;sans-serif" w:hAnsi="Arial;sans-serif"/>
          <w:b w:val="false"/>
          <w:color w:val="000000"/>
          <w:sz w:val="20"/>
        </w:rPr>
        <w:t xml:space="preserve">Cash flow hedge activity, net of taxes, is recorded within accumulated other comprehensive earnings/(losses). Refer to Note 13, </w:t>
      </w:r>
      <w:r>
        <w:rPr>
          <w:rFonts w:ascii="Arial;sans-serif" w:hAnsi="Arial;sans-serif"/>
          <w:b w:val="false"/>
          <w:i/>
          <w:color w:val="000000"/>
          <w:sz w:val="20"/>
        </w:rPr>
        <w:t>Reclassifications from Accumulated Other Comprehensive Income</w:t>
      </w:r>
      <w:r>
        <w:rPr>
          <w:color w:val="000000"/>
        </w:rPr>
        <w:t xml:space="preserve"> </w:t>
      </w:r>
      <w:r>
        <w:rPr>
          <w:rFonts w:ascii="Arial;sans-serif" w:hAnsi="Arial;sans-serif"/>
          <w:b w:val="false"/>
          <w:color w:val="000000"/>
          <w:sz w:val="20"/>
        </w:rPr>
        <w:t>for additional information on current period activity. Based on current market conditions, we would expect to transfer gains of $41 million (net of taxes) for interest rate cash flow hedges to earnings during the next 12 months.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 Hedge Coverage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2024, our longest dated cash flow hedges were interest rate swaps that hedge forecasted interest rate payments over the next 4 years, 9 months.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Hedges of Net Investments in International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investment hedge ("NIH") derivative contracts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enter into cross-currency interest rate swaps, forwards and options to hedge certain investments in our non-U.S. operations against movements in exchange rates. The aggregate notional value as of March 31, 2024 was $8.0 billion.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investment hedge derivative contract impacts on other comprehensive earnings and net earnings were: </w:t>
      </w:r>
    </w:p>
    <w:tbl>
      <w:tblPr>
        <w:tblW w:w="6435" w:type="dxa"/>
        <w:jc w:val="left"/>
        <w:tblInd w:w="0" w:type="dxa"/>
        <w:tblLayout w:type="fixed"/>
        <w:tblCellMar>
          <w:top w:w="28" w:type="dxa"/>
          <w:left w:w="28" w:type="dxa"/>
          <w:bottom w:w="28" w:type="dxa"/>
          <w:right w:w="28" w:type="dxa"/>
        </w:tblCellMar>
      </w:tblPr>
      <w:tblGrid>
        <w:gridCol w:w="1298"/>
        <w:gridCol w:w="1140"/>
        <w:gridCol w:w="1147"/>
        <w:gridCol w:w="281"/>
        <w:gridCol w:w="641"/>
        <w:gridCol w:w="145"/>
        <w:gridCol w:w="145"/>
        <w:gridCol w:w="145"/>
        <w:gridCol w:w="145"/>
        <w:gridCol w:w="281"/>
        <w:gridCol w:w="441"/>
        <w:gridCol w:w="145"/>
        <w:gridCol w:w="109"/>
        <w:gridCol w:w="109"/>
        <w:gridCol w:w="109"/>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After-tax gain/(loss) on NIH contracts </w:t>
            </w:r>
            <w:r>
              <w:rPr>
                <w:rFonts w:ascii="Arial;sans-serif" w:hAnsi="Arial;sans-serif"/>
                <w:b w:val="false"/>
                <w:color w:val="000000"/>
                <w:sz w:val="13"/>
              </w:rPr>
              <w:t>(1)</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 </w:t>
      </w:r>
    </w:p>
    <w:tbl>
      <w:tblPr>
        <w:tblW w:w="8758" w:type="dxa"/>
        <w:jc w:val="left"/>
        <w:tblInd w:w="0" w:type="dxa"/>
        <w:tblLayout w:type="fixed"/>
        <w:tblCellMar>
          <w:top w:w="28" w:type="dxa"/>
          <w:left w:w="28" w:type="dxa"/>
          <w:bottom w:w="28" w:type="dxa"/>
          <w:right w:w="28" w:type="dxa"/>
        </w:tblCellMar>
      </w:tblPr>
      <w:tblGrid>
        <w:gridCol w:w="2142"/>
        <w:gridCol w:w="1881"/>
        <w:gridCol w:w="1886"/>
        <w:gridCol w:w="291"/>
        <w:gridCol w:w="518"/>
        <w:gridCol w:w="150"/>
        <w:gridCol w:w="150"/>
        <w:gridCol w:w="150"/>
        <w:gridCol w:w="150"/>
        <w:gridCol w:w="291"/>
        <w:gridCol w:w="518"/>
        <w:gridCol w:w="150"/>
        <w:gridCol w:w="109"/>
        <w:gridCol w:w="109"/>
        <w:gridCol w:w="109"/>
        <w:gridCol w:w="154"/>
      </w:tblGrid>
      <w:tr>
        <w:trPr/>
        <w:tc>
          <w:tcPr>
            <w:tcW w:w="2142"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Amounts excluded from the assessment of hedge effectiveness </w:t>
            </w:r>
            <w:r>
              <w:rPr>
                <w:rFonts w:ascii="Arial;sans-serif" w:hAnsi="Arial;sans-serif"/>
                <w:b w:val="false"/>
                <w:color w:val="000000"/>
                <w:sz w:val="13"/>
              </w:rPr>
              <w:t>(1)</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(1)We elected to record changes in the fair value of amounts excluded from the assessment of effectiveness in net earnings within interest and other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49935"/>
                <wp:effectExtent l="0" t="0" r="0" b="0"/>
                <wp:wrapNone/>
                <wp:docPr id="51" name="Frame18"/>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8" descr=""/>
                                          <pic:cNvPicPr>
                                            <a:picLocks noChangeAspect="1" noChangeArrowheads="1"/>
                                          </pic:cNvPicPr>
                                        </pic:nvPicPr>
                                        <pic:blipFill>
                                          <a:blip r:embed="rId3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Non-U.S. dollar debt designated as net investment hedges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After-tax gains/(losses) related to hedges of net investments in international operations were recorded within the cumulative translation adjustment section of other comprehensive income and were:</w:t>
      </w:r>
    </w:p>
    <w:p>
      <w:pPr>
        <w:pStyle w:val="TextBody"/>
        <w:bidi w:val="0"/>
        <w:spacing w:before="0" w:after="0"/>
        <w:jc w:val="both"/>
        <w:rPr/>
      </w:pPr>
      <w:r>
        <w:rPr/>
      </w:r>
    </w:p>
    <w:tbl>
      <w:tblPr>
        <w:tblW w:w="4530" w:type="dxa"/>
        <w:jc w:val="left"/>
        <w:tblInd w:w="0" w:type="dxa"/>
        <w:tblLayout w:type="fixed"/>
        <w:tblCellMar>
          <w:top w:w="28" w:type="dxa"/>
          <w:left w:w="28" w:type="dxa"/>
          <w:bottom w:w="28" w:type="dxa"/>
          <w:right w:w="28" w:type="dxa"/>
        </w:tblCellMar>
      </w:tblPr>
      <w:tblGrid>
        <w:gridCol w:w="606"/>
        <w:gridCol w:w="534"/>
        <w:gridCol w:w="540"/>
        <w:gridCol w:w="281"/>
        <w:gridCol w:w="501"/>
        <w:gridCol w:w="145"/>
        <w:gridCol w:w="145"/>
        <w:gridCol w:w="145"/>
        <w:gridCol w:w="145"/>
        <w:gridCol w:w="281"/>
        <w:gridCol w:w="581"/>
        <w:gridCol w:w="145"/>
        <w:gridCol w:w="109"/>
        <w:gridCol w:w="109"/>
        <w:gridCol w:w="109"/>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 notes</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Swiss franc notes</w:t>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Canadian notes</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Economic Hedges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Pre-tax gains/(losses) recorded in net earnings for economic hedges were: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39"/>
        <w:gridCol w:w="828"/>
        <w:gridCol w:w="831"/>
        <w:gridCol w:w="228"/>
        <w:gridCol w:w="699"/>
        <w:gridCol w:w="117"/>
        <w:gridCol w:w="117"/>
        <w:gridCol w:w="117"/>
        <w:gridCol w:w="117"/>
        <w:gridCol w:w="228"/>
        <w:gridCol w:w="406"/>
        <w:gridCol w:w="117"/>
        <w:gridCol w:w="109"/>
        <w:gridCol w:w="109"/>
        <w:gridCol w:w="109"/>
        <w:gridCol w:w="109"/>
        <w:gridCol w:w="146"/>
        <w:gridCol w:w="2144"/>
        <w:gridCol w:w="109"/>
        <w:gridCol w:w="854"/>
        <w:gridCol w:w="737"/>
        <w:gridCol w:w="835"/>
      </w:tblGrid>
      <w:tr>
        <w:trPr/>
        <w:tc>
          <w:tcPr>
            <w:tcW w:w="113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4"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 of Gain/(Loss) Recognized in Earnings</w:t>
            </w:r>
          </w:p>
        </w:tc>
        <w:tc>
          <w:tcPr>
            <w:tcW w:w="2535" w:type="dxa"/>
            <w:gridSpan w:val="4"/>
            <w:tcBorders/>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4"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vAlign w:val="center"/>
          </w:tcPr>
          <w:p>
            <w:pPr>
              <w:pStyle w:val="TableContents"/>
              <w:bidi w:val="0"/>
              <w:spacing w:before="0" w:after="283"/>
              <w:jc w:val="left"/>
              <w:rPr>
                <w:sz w:val="4"/>
                <w:szCs w:val="4"/>
              </w:rPr>
            </w:pPr>
            <w:r>
              <w:rPr>
                <w:sz w:val="4"/>
                <w:szCs w:val="4"/>
              </w:rPr>
            </w:r>
          </w:p>
        </w:tc>
      </w:tr>
      <w:tr>
        <w:trPr/>
        <w:tc>
          <w:tcPr>
            <w:tcW w:w="27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79" w:type="dxa"/>
            <w:gridSpan w:val="5"/>
            <w:tcBorders/>
          </w:tcPr>
          <w:p>
            <w:pPr>
              <w:pStyle w:val="TableContents"/>
              <w:bidi w:val="0"/>
              <w:spacing w:before="0" w:after="283"/>
              <w:jc w:val="left"/>
              <w:rPr>
                <w:sz w:val="4"/>
                <w:szCs w:val="4"/>
              </w:rPr>
            </w:pPr>
            <w:r>
              <w:rPr>
                <w:sz w:val="4"/>
                <w:szCs w:val="4"/>
              </w:rPr>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exchange contracts: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Intercompany loans and forecasted interest payments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and other expense, net</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Cost of sales</w:t>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and other expense, net</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Forecasted transactions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Selling, general and administrative expenses</w:t>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Commodity contracts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Cost of sales</w:t>
            </w:r>
          </w:p>
        </w:tc>
      </w:tr>
      <w:tr>
        <w:trPr/>
        <w:tc>
          <w:tcPr>
            <w:tcW w:w="27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Equity method investment contracts</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Gain on equity method investment transactions</w:t>
            </w:r>
          </w:p>
        </w:tc>
      </w:tr>
      <w:tr>
        <w:trPr/>
        <w:tc>
          <w:tcPr>
            <w:tcW w:w="2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49935"/>
                <wp:effectExtent l="0" t="0" r="0" b="0"/>
                <wp:wrapNone/>
                <wp:docPr id="54" name="Frame1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3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Fair Value of Contingent Consideration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is a summary of our contingent consideration liability activity:</w:t>
      </w:r>
    </w:p>
    <w:p>
      <w:pPr>
        <w:pStyle w:val="TextBody"/>
        <w:bidi w:val="0"/>
        <w:spacing w:before="0" w:after="0"/>
        <w:jc w:val="both"/>
        <w:rPr/>
      </w:pPr>
      <w:r>
        <w:rPr/>
      </w:r>
    </w:p>
    <w:tbl>
      <w:tblPr>
        <w:tblW w:w="5546" w:type="dxa"/>
        <w:jc w:val="left"/>
        <w:tblInd w:w="0" w:type="dxa"/>
        <w:tblLayout w:type="fixed"/>
        <w:tblCellMar>
          <w:top w:w="28" w:type="dxa"/>
          <w:left w:w="28" w:type="dxa"/>
          <w:bottom w:w="28" w:type="dxa"/>
          <w:right w:w="28" w:type="dxa"/>
        </w:tblCellMar>
      </w:tblPr>
      <w:tblGrid>
        <w:gridCol w:w="976"/>
        <w:gridCol w:w="859"/>
        <w:gridCol w:w="865"/>
        <w:gridCol w:w="259"/>
        <w:gridCol w:w="591"/>
        <w:gridCol w:w="133"/>
        <w:gridCol w:w="133"/>
        <w:gridCol w:w="133"/>
        <w:gridCol w:w="133"/>
        <w:gridCol w:w="259"/>
        <w:gridCol w:w="591"/>
        <w:gridCol w:w="133"/>
        <w:gridCol w:w="109"/>
        <w:gridCol w:w="109"/>
        <w:gridCol w:w="109"/>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at beginning of period</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fair value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Liability at end of period</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Contingent consideration was recorded at fair value in the condensed consolidated balance sheets as follows:</w:t>
      </w:r>
    </w:p>
    <w:p>
      <w:pPr>
        <w:pStyle w:val="TextBody"/>
        <w:bidi w:val="0"/>
        <w:spacing w:before="0" w:after="0"/>
        <w:jc w:val="both"/>
        <w:rPr/>
      </w:pPr>
      <w:r>
        <w:rPr/>
      </w:r>
    </w:p>
    <w:tbl>
      <w:tblPr>
        <w:tblW w:w="9428" w:type="dxa"/>
        <w:jc w:val="left"/>
        <w:tblInd w:w="0" w:type="dxa"/>
        <w:tblLayout w:type="fixed"/>
        <w:tblCellMar>
          <w:top w:w="28" w:type="dxa"/>
          <w:left w:w="28" w:type="dxa"/>
          <w:bottom w:w="28" w:type="dxa"/>
          <w:right w:w="28" w:type="dxa"/>
        </w:tblCellMar>
      </w:tblPr>
      <w:tblGrid>
        <w:gridCol w:w="1439"/>
        <w:gridCol w:w="643"/>
        <w:gridCol w:w="647"/>
        <w:gridCol w:w="406"/>
        <w:gridCol w:w="928"/>
        <w:gridCol w:w="211"/>
        <w:gridCol w:w="109"/>
        <w:gridCol w:w="109"/>
        <w:gridCol w:w="109"/>
        <w:gridCol w:w="414"/>
        <w:gridCol w:w="797"/>
        <w:gridCol w:w="215"/>
        <w:gridCol w:w="109"/>
        <w:gridCol w:w="109"/>
        <w:gridCol w:w="109"/>
        <w:gridCol w:w="436"/>
        <w:gridCol w:w="839"/>
        <w:gridCol w:w="226"/>
        <w:gridCol w:w="109"/>
        <w:gridCol w:w="109"/>
        <w:gridCol w:w="109"/>
        <w:gridCol w:w="310"/>
        <w:gridCol w:w="708"/>
        <w:gridCol w:w="228"/>
      </w:tblGrid>
      <w:tr>
        <w:trPr/>
        <w:tc>
          <w:tcPr>
            <w:tcW w:w="14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March 31, 2024</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 of</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Clif Bar </w:t>
            </w:r>
            <w:r>
              <w:rPr>
                <w:rFonts w:ascii="Arial;sans-serif" w:hAnsi="Arial;sans-serif"/>
                <w:b w:val="false"/>
                <w:color w:val="000000"/>
                <w:sz w:val="13"/>
              </w:rPr>
              <w:t>(1)</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(2)</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contingent consideration</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428" w:type="dxa"/>
        <w:jc w:val="left"/>
        <w:tblInd w:w="0" w:type="dxa"/>
        <w:tblLayout w:type="fixed"/>
        <w:tblCellMar>
          <w:top w:w="28" w:type="dxa"/>
          <w:left w:w="28" w:type="dxa"/>
          <w:bottom w:w="28" w:type="dxa"/>
          <w:right w:w="28" w:type="dxa"/>
        </w:tblCellMar>
      </w:tblPr>
      <w:tblGrid>
        <w:gridCol w:w="1439"/>
        <w:gridCol w:w="643"/>
        <w:gridCol w:w="647"/>
        <w:gridCol w:w="406"/>
        <w:gridCol w:w="928"/>
        <w:gridCol w:w="211"/>
        <w:gridCol w:w="109"/>
        <w:gridCol w:w="109"/>
        <w:gridCol w:w="109"/>
        <w:gridCol w:w="414"/>
        <w:gridCol w:w="797"/>
        <w:gridCol w:w="215"/>
        <w:gridCol w:w="109"/>
        <w:gridCol w:w="109"/>
        <w:gridCol w:w="109"/>
        <w:gridCol w:w="436"/>
        <w:gridCol w:w="839"/>
        <w:gridCol w:w="226"/>
        <w:gridCol w:w="109"/>
        <w:gridCol w:w="109"/>
        <w:gridCol w:w="109"/>
        <w:gridCol w:w="310"/>
        <w:gridCol w:w="708"/>
        <w:gridCol w:w="228"/>
      </w:tblGrid>
      <w:tr>
        <w:trPr/>
        <w:tc>
          <w:tcPr>
            <w:tcW w:w="14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 2023</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Fair Value of</w:t>
              <w:br/>
              <w:t>Liability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Quoted Prices in</w:t>
              <w:br/>
              <w:t>Active Markets</w:t>
              <w:br/>
              <w:t>for 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Other 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Significant</w:t>
              <w:br/>
              <w:t>Unobservable</w:t>
              <w:br/>
              <w:t>Inputs</w:t>
              <w:br/>
              <w:t>(Level 3)</w:t>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Clif Bar </w:t>
            </w:r>
            <w:r>
              <w:rPr>
                <w:rFonts w:ascii="Arial;sans-serif" w:hAnsi="Arial;sans-serif"/>
                <w:b w:val="false"/>
                <w:color w:val="000000"/>
                <w:sz w:val="13"/>
              </w:rPr>
              <w:t>(1)</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(2)</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contingent consideration</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 connection with the Clif Bar acquisition, we entered into a contingent consideration arrangement that may require us to pay additional consideration to the sellers for achieving certain net revenue, gross profit and EBITDA targets in 2025 and 2026 that exceed our base financial projections for the business implied in the upfront purchase price. The other contingent consideration liabilities are recorded at fair value within long-term liabilities. The estimated fair value of the contingent consideration obligation at the acquisition date was determined using a Monte Carlo simulation and recorded in other liabilities. Significant assumptions used in assessing the fair value of the liability include financial projections for net revenue, gross profit, and EBITDA, as well as discount and volatility rates. Fair value adjustments are primarily recorded in selling, general and administrative expenses in the condensed consolidated statement of earnings.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(2)The other contingent consideration liabilities are recorded at fair value, with $143 million and $132 million classified as other current liabilities at March 31, 2024 and December 31, 2023, respectively. The fair value of this contingent consideration was determined using a Monte Carlo valuation model based on Level 3 inputs, including management's latest estimate of forecasted future results. Other key assumptions included discount rate and volatility. Fair value adjustments are recorded in selling, general and administrative expenses in the condensed consolidated statement of earnings.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49935"/>
                <wp:effectExtent l="0" t="0" r="0" b="0"/>
                <wp:wrapNone/>
                <wp:docPr id="57" name="Frame20"/>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5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0" descr=""/>
                                          <pic:cNvPicPr>
                                            <a:picLocks noChangeAspect="1" noChangeArrowheads="1"/>
                                          </pic:cNvPicPr>
                                        </pic:nvPicPr>
                                        <pic:blipFill>
                                          <a:blip r:embed="rId4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10. Benefit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Pension Plans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Components of Net Periodic Pension Cost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periodic pension cost/(benefit) consisted of the following:</w:t>
      </w:r>
    </w:p>
    <w:tbl>
      <w:tblPr>
        <w:tblW w:w="8846" w:type="dxa"/>
        <w:jc w:val="left"/>
        <w:tblInd w:w="0" w:type="dxa"/>
        <w:tblLayout w:type="fixed"/>
        <w:tblCellMar>
          <w:top w:w="28" w:type="dxa"/>
          <w:left w:w="28" w:type="dxa"/>
          <w:bottom w:w="28" w:type="dxa"/>
          <w:right w:w="28" w:type="dxa"/>
        </w:tblCellMar>
      </w:tblPr>
      <w:tblGrid>
        <w:gridCol w:w="1936"/>
        <w:gridCol w:w="900"/>
        <w:gridCol w:w="907"/>
        <w:gridCol w:w="307"/>
        <w:gridCol w:w="481"/>
        <w:gridCol w:w="158"/>
        <w:gridCol w:w="158"/>
        <w:gridCol w:w="158"/>
        <w:gridCol w:w="158"/>
        <w:gridCol w:w="307"/>
        <w:gridCol w:w="481"/>
        <w:gridCol w:w="158"/>
        <w:gridCol w:w="109"/>
        <w:gridCol w:w="109"/>
        <w:gridCol w:w="109"/>
        <w:gridCol w:w="288"/>
        <w:gridCol w:w="514"/>
        <w:gridCol w:w="149"/>
        <w:gridCol w:w="149"/>
        <w:gridCol w:w="149"/>
        <w:gridCol w:w="149"/>
        <w:gridCol w:w="288"/>
        <w:gridCol w:w="514"/>
        <w:gridCol w:w="210"/>
      </w:tblGrid>
      <w:tr>
        <w:trPr/>
        <w:tc>
          <w:tcPr>
            <w:tcW w:w="193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Non-U.S. Plans</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from experience differences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Prior service cost</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losses and other expenses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Net periodic pension benefit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2737" w:type="dxa"/>
            <w:gridSpan w:val="12"/>
            <w:tcBorders/>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2737" w:type="dxa"/>
            <w:gridSpan w:val="12"/>
            <w:tcBorders/>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157" w:type="dxa"/>
            <w:gridSpan w:val="18"/>
            <w:tcBorders/>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Employer Contributions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2024, we contributed $1 million to our U.S. pension plans and $46 million to our non-U.S. pension plans. We make contributions to our pension plans in accordance with local funding arrangements and statutory minimum funding requirements. Discretionary contributions are made to the extent that they are tax deductible and do not generate an excise tax liability.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2024, we plan to make further contributions of approximately $3 million to our U.S. plans and $83 million to our non-U.S. plans for the remainder of 2024. Our actual contributions may be different due to many factors, including changes in tax and other benefit laws, significant differences between expected and actual pension asset performance or interest rates.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Multiemployer Pension Plans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July 11, 2019, we received an undiscounted withdrawal liability assessment from the Bakery and Confectionery Union and Industry International Pension Fund totaling $491 million requiring pro-rata monthly payments over 20 years. We began making monthly payments during the third quarter of 2019. In connection with the discounted long-term liability, we recorded accreted interest of $2 million for the three months ended March 31, 2024 and $3 million for the three months ended March 31, 2023, within interest and other expense, net. As of March 31, 2024, the remaining discounted withdrawal liability was $324 million, with $16 million recorded in other current liabilities and $308 million recorded in long-term other liabilities.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Postretirement and Postemployment Benefit Plans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net periodic postretirement (benefit)/cost was $(3) million for the three months ended March 31, 2024 and zero for the three months ended March 31, 2023. The net periodic postemployment cost was $5 million for the three months ended March 31, 2024 and $1 million for the three months ended March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49935"/>
                <wp:effectExtent l="0" t="0" r="0" b="0"/>
                <wp:wrapNone/>
                <wp:docPr id="60" name="Frame21"/>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6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1" descr=""/>
                                          <pic:cNvPicPr>
                                            <a:picLocks noChangeAspect="1" noChangeArrowheads="1"/>
                                          </pic:cNvPicPr>
                                        </pic:nvPicPr>
                                        <pic:blipFill>
                                          <a:blip r:embed="rId4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11. Stock Plans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 Options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Stock option activity is reflected below:</w:t>
      </w:r>
    </w:p>
    <w:tbl>
      <w:tblPr>
        <w:tblW w:w="9126" w:type="dxa"/>
        <w:jc w:val="left"/>
        <w:tblInd w:w="0" w:type="dxa"/>
        <w:tblLayout w:type="fixed"/>
        <w:tblCellMar>
          <w:top w:w="28" w:type="dxa"/>
          <w:left w:w="28" w:type="dxa"/>
          <w:bottom w:w="28" w:type="dxa"/>
          <w:right w:w="28" w:type="dxa"/>
        </w:tblCellMar>
      </w:tblPr>
      <w:tblGrid>
        <w:gridCol w:w="1125"/>
        <w:gridCol w:w="988"/>
        <w:gridCol w:w="992"/>
        <w:gridCol w:w="563"/>
        <w:gridCol w:w="563"/>
        <w:gridCol w:w="431"/>
        <w:gridCol w:w="109"/>
        <w:gridCol w:w="109"/>
        <w:gridCol w:w="109"/>
        <w:gridCol w:w="329"/>
        <w:gridCol w:w="329"/>
        <w:gridCol w:w="331"/>
        <w:gridCol w:w="109"/>
        <w:gridCol w:w="109"/>
        <w:gridCol w:w="109"/>
        <w:gridCol w:w="345"/>
        <w:gridCol w:w="345"/>
        <w:gridCol w:w="346"/>
        <w:gridCol w:w="109"/>
        <w:gridCol w:w="109"/>
        <w:gridCol w:w="109"/>
        <w:gridCol w:w="211"/>
        <w:gridCol w:w="481"/>
        <w:gridCol w:w="766"/>
      </w:tblGrid>
      <w:tr>
        <w:trP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Shares Subject</w:t>
              <w:br/>
              <w:t>to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 or</w:t>
              <w:br/>
              <w:t>Grant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Remaining</w:t>
              <w:br/>
              <w:t>Contractual</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2024</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18,678,120 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grant to eligible employees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2,261,810 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options granted</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2,261,810 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Options exercised </w:t>
            </w:r>
            <w:r>
              <w:rPr>
                <w:rFonts w:ascii="Arial;sans-serif" w:hAnsi="Arial;sans-serif"/>
                <w:b w:val="false"/>
                <w:color w:val="000000"/>
                <w:sz w:val="13"/>
              </w:rPr>
              <w:t>(1)</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(1,866,312)</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canceled</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(118,999)</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2024</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18,954,619 </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321 </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(1)Cash received from options exercised was $79 million in the three months ended March 31, 2024. The actual tax benefit realized and recorded in the provision for income taxes for the tax deductions from the option exercises totaled $10 million in the three months ended March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Performance Share Units and Other Stock-Based Awards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performance share unit (PSU), deferred stock unit (DSU) and other stock-based activity is reflected below:</w:t>
      </w:r>
    </w:p>
    <w:tbl>
      <w:tblPr>
        <w:tblW w:w="9922" w:type="dxa"/>
        <w:jc w:val="left"/>
        <w:tblInd w:w="0" w:type="dxa"/>
        <w:tblLayout w:type="fixed"/>
        <w:tblCellMar>
          <w:top w:w="28" w:type="dxa"/>
          <w:left w:w="28" w:type="dxa"/>
          <w:bottom w:w="28" w:type="dxa"/>
          <w:right w:w="28" w:type="dxa"/>
        </w:tblCellMar>
      </w:tblPr>
      <w:tblGrid>
        <w:gridCol w:w="1146"/>
        <w:gridCol w:w="1007"/>
        <w:gridCol w:w="1011"/>
        <w:gridCol w:w="539"/>
        <w:gridCol w:w="541"/>
        <w:gridCol w:w="286"/>
        <w:gridCol w:w="109"/>
        <w:gridCol w:w="109"/>
        <w:gridCol w:w="109"/>
        <w:gridCol w:w="414"/>
        <w:gridCol w:w="414"/>
        <w:gridCol w:w="416"/>
        <w:gridCol w:w="109"/>
        <w:gridCol w:w="109"/>
        <w:gridCol w:w="109"/>
        <w:gridCol w:w="520"/>
        <w:gridCol w:w="520"/>
        <w:gridCol w:w="521"/>
        <w:gridCol w:w="109"/>
        <w:gridCol w:w="109"/>
        <w:gridCol w:w="109"/>
        <w:gridCol w:w="232"/>
        <w:gridCol w:w="529"/>
        <w:gridCol w:w="845"/>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Fair Value</w:t>
            </w:r>
          </w:p>
          <w:p>
            <w:pPr>
              <w:pStyle w:val="TableContents"/>
              <w:bidi w:val="0"/>
              <w:spacing w:lineRule="auto" w:line="240" w:before="0" w:after="0"/>
              <w:jc w:val="center"/>
              <w:rPr/>
            </w:pPr>
            <w:r>
              <w:rPr>
                <w:rFonts w:ascii="Arial;sans-serif" w:hAnsi="Arial;sans-serif"/>
                <w:b/>
                <w:color w:val="000000"/>
                <w:sz w:val="16"/>
              </w:rPr>
              <w:t xml:space="preserve">Per Share </w:t>
            </w:r>
            <w:r>
              <w:rPr>
                <w:rFonts w:ascii="Arial;sans-serif" w:hAnsi="Arial;sans-serif"/>
                <w:b/>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Aggregate</w:t>
            </w:r>
          </w:p>
          <w:p>
            <w:pPr>
              <w:pStyle w:val="TableContents"/>
              <w:bidi w:val="0"/>
              <w:spacing w:lineRule="auto" w:line="240" w:before="0" w:after="0"/>
              <w:jc w:val="center"/>
              <w:rPr/>
            </w:pPr>
            <w:r>
              <w:rPr>
                <w:rFonts w:ascii="Arial;sans-serif" w:hAnsi="Arial;sans-serif"/>
                <w:b/>
                <w:color w:val="000000"/>
                <w:sz w:val="16"/>
              </w:rPr>
              <w:t xml:space="preserve">Fair Value </w:t>
            </w:r>
            <w:r>
              <w:rPr>
                <w:rFonts w:ascii="Arial;sans-serif" w:hAnsi="Arial;sans-serif"/>
                <w:b/>
                <w:color w:val="000000"/>
                <w:sz w:val="12"/>
              </w:rPr>
              <w:t>(3)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2024</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4,553,166 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grant to eligible employees: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 27,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 units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787,110 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stock units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571,490 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Additional shares granted </w:t>
            </w:r>
            <w:r>
              <w:rPr>
                <w:rFonts w:ascii="Arial;sans-serif" w:hAnsi="Arial;sans-serif"/>
                <w:b w:val="false"/>
                <w:color w:val="000000"/>
                <w:sz w:val="13"/>
              </w:rPr>
              <w:t>(1)</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916,501 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shares granted</w:t>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2,275,101 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Vested </w:t>
            </w:r>
            <w:r>
              <w:rPr>
                <w:rFonts w:ascii="Arial;sans-serif" w:hAnsi="Arial;sans-serif"/>
                <w:b w:val="false"/>
                <w:color w:val="000000"/>
                <w:sz w:val="13"/>
              </w:rPr>
              <w:t>(2) (3)</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(1,946,086)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million</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Forfeited </w:t>
            </w:r>
            <w:r>
              <w:rPr>
                <w:rFonts w:ascii="Arial;sans-serif" w:hAnsi="Arial;sans-serif"/>
                <w:b w:val="false"/>
                <w:color w:val="000000"/>
                <w:sz w:val="13"/>
              </w:rPr>
              <w:t>(2)</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March 31, 2024</w:t>
            </w:r>
          </w:p>
        </w:tc>
        <w:tc>
          <w:tcPr>
            <w:tcW w:w="10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4,799,923 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(1)Includes PSUs and DSUs.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(2)Includes PSUs, DSUs and other stock-based awards.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(3)The actual tax benefit realized and recorded in the provision for income taxes for the tax deductions from the shares vested totaled $7 million in the three months ended March 31, 2024.</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(4)The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Share Repurchase Program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Effective January 1, 2023, our Board of Directors approved a program authorizing the repurchase of $6.0 billion of our Common Stock through December 31, 2025. During the year ended December 31, 2023, we repurchased approximately $1.6 billion of Common Stock pursuant to this authorization. Repurchases under the program are determined by management and are wholly discretionary.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2024, we repurchased approximately 7.7 million shares of Common Stock at an average cost of $72.99 per share, or an aggregate cost of approximately $563 million, all of which was paid during the period except for approximately $15 million settled in April 2024. All share repurchases were funded through available cash and commercial paper issuances. As of March 31, 2024, we have approximately $3.9 billion in remaining share repurchase capacity.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49935"/>
                <wp:effectExtent l="0" t="0" r="0" b="0"/>
                <wp:wrapNone/>
                <wp:docPr id="63" name="Frame2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4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12. Commitments and Contingencies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Legal Proceedings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April 1, 2015, the U.S. Commodity Futures Trading Commission ("CFTC") filed a complaint against Kraft Foods Group and Mondelēz Global LLC (“Mondelēz Global”) in the U.S. District Court for the Northern District of Illinois (the "District Court") related to the trading of December 2011 wheat futures contracts that occurred prior to the spin-off of Kraft Foods Group. The complaint alleged that Mondelēz Global: (1) manipulated or attempted to manipulate the wheat markets during the fall of 2011; (2) violated position limit levels for wheat futures; and (3) 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in the United States District Court for the Northern District of Illinois as case number 15-cv-2937, Harry Ploss et al. v. Kraft Foods Group, Inc. and Mondelēz Global LLC. On January 3, 2020, the District Court granted plaintiffs' request to certify a class. In November 2022, the District Court adjourned the trial date it had previously set for November 30, 2022 and ordered the parties to brief Kraft’s motions to decertify the class and for summary judgment, which has been completed. It is not possible to predict the outcome of these matters; however, based on our Separation and Distribution Agreement with Kraft Foods Group dated as of September 27, 2012, we expect to bear any monetary penalties or other payments in connection with the class action.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previously disclosed,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As previously disclosed, we have been cooperating with the investigation in an effort to reach a negotiated resolution in this matter. In the fourth quarter of 2022, we had accrued (in accordance with U.S. GAAP), on a pre-tax basis, a liability of €300 million ($321 million) within other current liabilities in the consolidated balance sheet and selling, general and administrative expenses in the consolidated statement of earnings as an estimate of the possible cost to resolve this matter. During the fourth quarter of 2023, we determined that we are likely to achieve a resolution with the European Commission that is expected to result in a liability of approximately €340 million ($375 million) in total. We have adjusted our accrual, on a pre-tax basis, accordingly. In the event we achieve resolution as currently expected, we are likely to make payment in 2024. We do not anticipate any modification of our business practices and agreements that would have a material impact on our ongoing business operations within the European Union.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Third-Party Guarantees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enter into third-party guarantees primarily to cover long-term obligations of our vendors. As part of these transactions, we guarantee that third parties will make contractual payments or achieve performance measures. As of March 31, 2024 and December 31, 2023, we had no material third-party guarantees recorded on our condensed consolidated balance sheet.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49935"/>
                <wp:effectExtent l="0" t="0" r="0" b="0"/>
                <wp:wrapNone/>
                <wp:docPr id="66" name="Frame2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4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Tax Matters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49935"/>
                <wp:effectExtent l="0" t="0" r="0" b="0"/>
                <wp:wrapNone/>
                <wp:docPr id="69" name="Frame24"/>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13. Reclassifications from Accumulated Other Comprehensive Income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gains of $23 million in the first quarter of 2024 and $30 million in the first quarter of 2023.</w:t>
      </w:r>
    </w:p>
    <w:tbl>
      <w:tblPr>
        <w:tblW w:w="9475" w:type="dxa"/>
        <w:jc w:val="left"/>
        <w:tblInd w:w="0" w:type="dxa"/>
        <w:tblLayout w:type="fixed"/>
        <w:tblCellMar>
          <w:top w:w="28" w:type="dxa"/>
          <w:left w:w="28" w:type="dxa"/>
          <w:bottom w:w="28" w:type="dxa"/>
          <w:right w:w="28" w:type="dxa"/>
        </w:tblCellMar>
      </w:tblPr>
      <w:tblGrid>
        <w:gridCol w:w="2394"/>
        <w:gridCol w:w="2105"/>
        <w:gridCol w:w="2116"/>
        <w:gridCol w:w="196"/>
        <w:gridCol w:w="721"/>
        <w:gridCol w:w="109"/>
        <w:gridCol w:w="109"/>
        <w:gridCol w:w="109"/>
        <w:gridCol w:w="109"/>
        <w:gridCol w:w="196"/>
        <w:gridCol w:w="721"/>
        <w:gridCol w:w="109"/>
        <w:gridCol w:w="109"/>
        <w:gridCol w:w="109"/>
        <w:gridCol w:w="109"/>
        <w:gridCol w:w="154"/>
      </w:tblGrid>
      <w:tr>
        <w:trPr/>
        <w:tc>
          <w:tcPr>
            <w:tcW w:w="2394"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Currency Translation Adjustments: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translation adjustments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(expense)/benefit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comprehensive (earnings)/loss attributable to noncontrolling interests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Pension and Other Benefit Plans: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 gain/(loss) arising during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Losses/(gains) reclassified into net earnings: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Amortization of experience losses and prior service costs </w:t>
            </w:r>
            <w:r>
              <w:rPr>
                <w:rFonts w:ascii="Arial;sans-serif" w:hAnsi="Arial;sans-serif"/>
                <w:b w:val="false"/>
                <w:color w:val="000000"/>
                <w:sz w:val="10"/>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Settlement losses and other expenses </w:t>
            </w:r>
            <w:r>
              <w:rPr>
                <w:rFonts w:ascii="Arial;sans-serif" w:hAnsi="Arial;sans-serif"/>
                <w:b w:val="false"/>
                <w:color w:val="000000"/>
                <w:sz w:val="10"/>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Tax expense/(benefit) on reclassifications </w:t>
            </w:r>
            <w:r>
              <w:rPr>
                <w:rFonts w:ascii="Arial;sans-serif" w:hAnsi="Arial;sans-serif"/>
                <w:b w:val="false"/>
                <w:color w:val="000000"/>
                <w:sz w:val="10"/>
              </w:rPr>
              <w:t>(3)</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impact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 Cash Flow Hedges: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derivative gains/(losses)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(expense)/benefit on net derivative gain/(loss)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Losses/(gains) reclassified into net earnings: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Interest rate contracts</w:t>
            </w:r>
            <w:r>
              <w:rPr>
                <w:color w:val="000000"/>
              </w:rPr>
              <w:t xml:space="preserve"> </w:t>
            </w:r>
            <w:r>
              <w:rPr>
                <w:rFonts w:ascii="Arial;sans-serif" w:hAnsi="Arial;sans-serif"/>
                <w:b w:val="false"/>
                <w:color w:val="000000"/>
                <w:sz w:val="10"/>
              </w:rPr>
              <w:t>(2)</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Tax expense/(benefit) on reclassifications</w:t>
            </w:r>
            <w:r>
              <w:rPr>
                <w:color w:val="000000"/>
              </w:rPr>
              <w:t xml:space="preserve"> </w:t>
            </w:r>
            <w:r>
              <w:rPr>
                <w:rFonts w:ascii="Arial;sans-serif" w:hAnsi="Arial;sans-serif"/>
                <w:b w:val="false"/>
                <w:color w:val="000000"/>
                <w:sz w:val="10"/>
              </w:rPr>
              <w:t>(3)</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impact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income attributable to Mondelēz International:</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comprehensive earnings/(losses)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 comprehensive (earnings)/loss attributable to noncontrolling interests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earnings/(losses) attributable to Mondelēz International</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(1)These reclassified losses are included in net periodic benefit costs disclosed in Note 10, </w:t>
      </w:r>
      <w:r>
        <w:rPr>
          <w:rFonts w:ascii="Arial;sans-serif" w:hAnsi="Arial;sans-serif"/>
          <w:b w:val="false"/>
          <w:i/>
          <w:color w:val="000000"/>
          <w:sz w:val="16"/>
        </w:rPr>
        <w:t>Benefit Plans</w:t>
      </w:r>
      <w:r>
        <w:rPr>
          <w:rFonts w:ascii="Arial;sans-serif" w:hAnsi="Arial;sans-serif"/>
          <w:b w:val="false"/>
          <w:color w:val="000000"/>
          <w:sz w:val="16"/>
        </w:rPr>
        <w: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(2)These reclassified gains or losses are recorded within interest and other expense, net.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(3)Taxes reclassified to earnings are recorded within the provision for income taxes.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49935"/>
                <wp:effectExtent l="0" t="0" r="0" b="0"/>
                <wp:wrapNone/>
                <wp:docPr id="72" name="Frame2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5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14. Income Taxes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first quarter of 2024, our estimated annual effective tax rate, which excludes discrete tax impacts, was 27.9%. This rate reflected the impact of unfavorable foreign provisions under U.S. tax laws as well as both favorable and unfavorable impacts from the mix of pre-tax income in various non-U.S. jurisdictions. Our 2024 first quarter effective tax rate was 23.6% and includes a $227 million net tax expense incurred in connection with unrealized gains and losses on hedging activities as well as other discrete net tax benefits of $29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the first quarter of 2023, our estimated annual effective tax rate, which excluded discrete tax impacts, was 24.3%. This rate reflected the impact of unfavorable foreign provisions under U.S. tax laws partially offset by favorable impacts from the mix of pre-tax income in various non-U.S. jurisdictions. Our 2023 first quarter effective tax rate of 29.6% was high due to a $127 million net tax expense incurred in connection with the KDP share sale (the earnings are reported separately on our statement of earnings and thus not included in earnings before income taxes). Associated with the KDP share sale, we also recorded a $201 million net tax expense related to the change of accounting for our KDP investment from equity method investment accounting to accounting for equity interests with readily determinable fair values. Excluding these tax impacts as well as the associated pre-tax impacts, our effective tax rate for the three months ended March 31, 2023 of 23.0% was favorably impacted by discrete net tax benefits of $20 million, primarily driven by a $30 million net benefit from the release of liabilities for uncertain tax positions due to expirations of statutes of limitations and audit settlements in several jurisdictions.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Note 15. Earnings per Share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and diluted earnings per share (EPS) were calculated as follows:</w:t>
      </w:r>
    </w:p>
    <w:tbl>
      <w:tblPr>
        <w:tblW w:w="8155" w:type="dxa"/>
        <w:jc w:val="left"/>
        <w:tblInd w:w="0" w:type="dxa"/>
        <w:tblLayout w:type="fixed"/>
        <w:tblCellMar>
          <w:top w:w="28" w:type="dxa"/>
          <w:left w:w="28" w:type="dxa"/>
          <w:bottom w:w="28" w:type="dxa"/>
          <w:right w:w="28" w:type="dxa"/>
        </w:tblCellMar>
      </w:tblPr>
      <w:tblGrid>
        <w:gridCol w:w="1754"/>
        <w:gridCol w:w="1539"/>
        <w:gridCol w:w="1551"/>
        <w:gridCol w:w="264"/>
        <w:gridCol w:w="811"/>
        <w:gridCol w:w="136"/>
        <w:gridCol w:w="136"/>
        <w:gridCol w:w="136"/>
        <w:gridCol w:w="136"/>
        <w:gridCol w:w="264"/>
        <w:gridCol w:w="811"/>
        <w:gridCol w:w="136"/>
        <w:gridCol w:w="109"/>
        <w:gridCol w:w="109"/>
        <w:gridCol w:w="109"/>
        <w:gridCol w:w="154"/>
      </w:tblGrid>
      <w:tr>
        <w:trPr/>
        <w:tc>
          <w:tcPr>
            <w:tcW w:w="17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less: Noncontrolling interest earnings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earnings attributable to Mondelēz International</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for basic EPS</w:t>
            </w:r>
          </w:p>
        </w:tc>
        <w:tc>
          <w:tcPr>
            <w:tcW w:w="10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incremental shares from assumed conversions</w:t>
              <w:br/>
              <w:t>   of stock options and long-term incentive plan shares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for diluted EPS</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Basic earnings per share attributable to </w:t>
              <w:br/>
              <w:t>   Mondelēz International</w:t>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Diluted earnings per share attributable to </w:t>
              <w:br/>
              <w:t>   Mondelēz International</w:t>
            </w:r>
          </w:p>
        </w:tc>
        <w:tc>
          <w:tcPr>
            <w:tcW w:w="2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exclude antidilutive Mondelēz International stock options and long-term incentive plan shares from our calculation of weighted-average shares for diluted EPS. We excluded antidilutive stock options and performance share units of 2.7 million for the three months ended March 31, 2024 and 2.2 million for the three months ended March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Note 16. Segment Reporting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manufacture and market primarily snack food products, including chocolate, biscuits and baked snacks, as well as gum &amp; candy, cheese &amp; grocery and powdered beverages.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49935"/>
                <wp:effectExtent l="0" t="0" r="0" b="0"/>
                <wp:wrapNone/>
                <wp:docPr id="75" name="Frame26"/>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operations and management structure are organized into four operating segments: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 xml:space="preserve">Latin America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AMEA</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 xml:space="preserve">Europe </w:t>
      </w:r>
    </w:p>
    <w:p>
      <w:pPr>
        <w:pStyle w:val="TextBody"/>
        <w:bidi w:val="0"/>
        <w:spacing w:lineRule="auto" w:line="288" w:before="0" w:after="0"/>
        <w:jc w:val="both"/>
        <w:rPr>
          <w:color w:val="000000"/>
        </w:rPr>
      </w:pPr>
      <w:r>
        <w:rPr>
          <w:color w:val="000000"/>
        </w:rPr>
        <w:t xml:space="preserve">    • </w:t>
      </w:r>
      <w:r>
        <w:rPr>
          <w:rFonts w:ascii="Arial;sans-serif" w:hAnsi="Arial;sans-serif"/>
          <w:b w:val="false"/>
          <w:color w:val="000000"/>
          <w:sz w:val="20"/>
        </w:rPr>
        <w:t>North America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segment net revenues and earnings were:</w:t>
      </w:r>
    </w:p>
    <w:tbl>
      <w:tblPr>
        <w:tblW w:w="6253" w:type="dxa"/>
        <w:jc w:val="left"/>
        <w:tblInd w:w="0" w:type="dxa"/>
        <w:tblLayout w:type="fixed"/>
        <w:tblCellMar>
          <w:top w:w="28" w:type="dxa"/>
          <w:left w:w="28" w:type="dxa"/>
          <w:bottom w:w="28" w:type="dxa"/>
          <w:right w:w="28" w:type="dxa"/>
        </w:tblCellMar>
      </w:tblPr>
      <w:tblGrid>
        <w:gridCol w:w="1235"/>
        <w:gridCol w:w="1081"/>
        <w:gridCol w:w="1088"/>
        <w:gridCol w:w="221"/>
        <w:gridCol w:w="678"/>
        <w:gridCol w:w="114"/>
        <w:gridCol w:w="114"/>
        <w:gridCol w:w="114"/>
        <w:gridCol w:w="114"/>
        <w:gridCol w:w="221"/>
        <w:gridCol w:w="678"/>
        <w:gridCol w:w="114"/>
        <w:gridCol w:w="109"/>
        <w:gridCol w:w="109"/>
        <w:gridCol w:w="109"/>
        <w:gridCol w:w="154"/>
      </w:tblGrid>
      <w:tr>
        <w:trPr/>
        <w:tc>
          <w:tcPr>
            <w:tcW w:w="123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sz w:val="20"/>
              </w:rPr>
              <w:br/>
            </w:r>
            <w:r>
              <w:rPr>
                <w:rFonts w:ascii="Arial;sans-serif" w:hAnsi="Arial;sans-serif"/>
                <w:b w:val="false"/>
                <w:color w:val="000000"/>
                <w:sz w:val="20"/>
              </w:rPr>
              <w:t>Earnings before income taxes:</w:t>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Unrealized gains on hedging activities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(mark-to-market impacts)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plan non-service income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marketable securities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Items impacting our segment operating results are discussed in Note 1, </w:t>
      </w:r>
      <w:r>
        <w:rPr>
          <w:rFonts w:ascii="Arial;sans-serif" w:hAnsi="Arial;sans-serif"/>
          <w:b w:val="false"/>
          <w:i/>
          <w:color w:val="000000"/>
          <w:sz w:val="20"/>
        </w:rPr>
        <w:t>Basis of Presentation</w:t>
      </w:r>
      <w:r>
        <w:rPr>
          <w:rFonts w:ascii="Arial;sans-serif" w:hAnsi="Arial;sans-serif"/>
          <w:b w:val="false"/>
          <w:color w:val="000000"/>
          <w:sz w:val="20"/>
        </w:rPr>
        <w:t xml:space="preserve">, Note 2, </w:t>
      </w:r>
      <w:r>
        <w:rPr>
          <w:rFonts w:ascii="Arial;sans-serif" w:hAnsi="Arial;sans-serif"/>
          <w:b w:val="false"/>
          <w:i/>
          <w:color w:val="000000"/>
          <w:sz w:val="20"/>
        </w:rPr>
        <w:t>Divestitures,</w:t>
      </w:r>
      <w:r>
        <w:rPr>
          <w:color w:val="000000"/>
        </w:rPr>
        <w:t xml:space="preserve"> </w:t>
      </w:r>
      <w:r>
        <w:rPr>
          <w:rFonts w:ascii="Arial;sans-serif" w:hAnsi="Arial;sans-serif"/>
          <w:b w:val="false"/>
          <w:color w:val="000000"/>
          <w:sz w:val="20"/>
        </w:rPr>
        <w:t xml:space="preserve">Note 3, </w:t>
      </w:r>
      <w:r>
        <w:rPr>
          <w:rFonts w:ascii="Arial;sans-serif" w:hAnsi="Arial;sans-serif"/>
          <w:b w:val="false"/>
          <w:i/>
          <w:color w:val="000000"/>
          <w:sz w:val="20"/>
        </w:rPr>
        <w:t>Inventories</w:t>
      </w:r>
      <w:r>
        <w:rPr>
          <w:rFonts w:ascii="Arial;sans-serif" w:hAnsi="Arial;sans-serif"/>
          <w:b w:val="false"/>
          <w:color w:val="000000"/>
          <w:sz w:val="20"/>
        </w:rPr>
        <w:t xml:space="preserve">, Note 4, </w:t>
      </w:r>
      <w:r>
        <w:rPr>
          <w:rFonts w:ascii="Arial;sans-serif" w:hAnsi="Arial;sans-serif"/>
          <w:b w:val="false"/>
          <w:i/>
          <w:color w:val="000000"/>
          <w:sz w:val="20"/>
        </w:rPr>
        <w:t>Property, Plant and Equipment,</w:t>
      </w:r>
      <w:r>
        <w:rPr>
          <w:color w:val="000000"/>
        </w:rPr>
        <w:t xml:space="preserve"> </w:t>
      </w:r>
      <w:r>
        <w:rPr>
          <w:rFonts w:ascii="Arial;sans-serif" w:hAnsi="Arial;sans-serif"/>
          <w:b w:val="false"/>
          <w:color w:val="000000"/>
          <w:sz w:val="20"/>
        </w:rPr>
        <w:t xml:space="preserve">Note 5, </w:t>
      </w:r>
      <w:r>
        <w:rPr>
          <w:rFonts w:ascii="Arial;sans-serif" w:hAnsi="Arial;sans-serif"/>
          <w:b w:val="false"/>
          <w:i/>
          <w:color w:val="000000"/>
          <w:sz w:val="20"/>
        </w:rPr>
        <w:t>Goodwill and Intangible Assets,</w:t>
      </w:r>
      <w:r>
        <w:rPr>
          <w:color w:val="000000"/>
        </w:rPr>
        <w:t xml:space="preserve"> </w:t>
      </w:r>
      <w:r>
        <w:rPr>
          <w:rFonts w:ascii="Arial;sans-serif" w:hAnsi="Arial;sans-serif"/>
          <w:b w:val="false"/>
          <w:color w:val="000000"/>
          <w:sz w:val="20"/>
        </w:rPr>
        <w:t xml:space="preserve">and Note 7, </w:t>
      </w:r>
      <w:r>
        <w:rPr>
          <w:rFonts w:ascii="Arial;sans-serif" w:hAnsi="Arial;sans-serif"/>
          <w:b w:val="false"/>
          <w:i/>
          <w:color w:val="000000"/>
          <w:sz w:val="20"/>
        </w:rPr>
        <w:t>Restructuring Program</w:t>
      </w:r>
      <w:r>
        <w:rPr>
          <w:rFonts w:ascii="Arial;sans-serif" w:hAnsi="Arial;sans-serif"/>
          <w:b w:val="false"/>
          <w:color w:val="000000"/>
          <w:sz w:val="20"/>
        </w:rPr>
        <w:t xml:space="preserve">. Also see Note 8, </w:t>
      </w:r>
      <w:r>
        <w:rPr>
          <w:rFonts w:ascii="Arial;sans-serif" w:hAnsi="Arial;sans-serif"/>
          <w:b w:val="false"/>
          <w:i/>
          <w:color w:val="000000"/>
          <w:sz w:val="20"/>
        </w:rPr>
        <w:t>Debt and Borrowing Arrangements</w:t>
      </w:r>
      <w:r>
        <w:rPr>
          <w:rFonts w:ascii="Arial;sans-serif" w:hAnsi="Arial;sans-serif"/>
          <w:b w:val="false"/>
          <w:color w:val="000000"/>
          <w:sz w:val="20"/>
        </w:rPr>
        <w:t xml:space="preserve">, and Note 9,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for additional information on our interest and other expense, net for each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49935"/>
                <wp:effectExtent l="0" t="0" r="0" b="0"/>
                <wp:wrapNone/>
                <wp:docPr id="78" name="Frame27"/>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revenues by product category were:</w:t>
      </w:r>
    </w:p>
    <w:tbl>
      <w:tblPr>
        <w:tblW w:w="8538" w:type="dxa"/>
        <w:jc w:val="left"/>
        <w:tblInd w:w="0" w:type="dxa"/>
        <w:tblLayout w:type="fixed"/>
        <w:tblCellMar>
          <w:top w:w="28" w:type="dxa"/>
          <w:left w:w="28" w:type="dxa"/>
          <w:bottom w:w="28" w:type="dxa"/>
          <w:right w:w="28" w:type="dxa"/>
        </w:tblCellMar>
      </w:tblPr>
      <w:tblGrid>
        <w:gridCol w:w="852"/>
        <w:gridCol w:w="749"/>
        <w:gridCol w:w="754"/>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 March 31, 2024</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 &amp; Baked Snacks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217" w:type="dxa"/>
            <w:gridSpan w:val="24"/>
            <w:tcBorders/>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217" w:type="dxa"/>
            <w:gridSpan w:val="24"/>
            <w:tcBorders/>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217" w:type="dxa"/>
            <w:gridSpan w:val="24"/>
            <w:tcBorders/>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5217" w:type="dxa"/>
            <w:gridSpan w:val="24"/>
            <w:tcBorders/>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For the Three Months Ended March 31, 2023</w:t>
            </w:r>
            <w:r>
              <w:rPr>
                <w:color w:val="000000"/>
              </w:rPr>
              <w:t xml:space="preserve"> </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Latin</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North</w:t>
              <w:br/>
              <w:t>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Biscuits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Chocolate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Gum &amp; Candy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Beverages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Cheese &amp; Grocery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49935"/>
                <wp:effectExtent l="0" t="0" r="0" b="0"/>
                <wp:wrapNone/>
                <wp:docPr id="81" name="Frame28"/>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 of Business and Strategy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core business is making and selling chocolate, biscuits and baked snacks, with additional businesses in adjacent, locally relevant categories including gum &amp; candy, cheese &amp; grocery and powdered beverages around the world.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Developments and Significant Items Affecting Comparability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Macroeconomic environment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continue to observe significant market and geopolitical uncertainty, inflationary pressures, supply constraints and exchange rate volatility. As a result, we experienced significantly higher operating costs, including higher overall raw material, labor and energy costs that have continued to rise. In particular, we expect to face higher cocoa costs, as the market price for cocoa beans has increased significantly year-over-year and it is likely that prices will remain elevated for some time. Refer to </w:t>
      </w:r>
      <w:r>
        <w:rPr>
          <w:rFonts w:ascii="Arial;sans-serif" w:hAnsi="Arial;sans-serif"/>
          <w:b w:val="false"/>
          <w:i/>
          <w:color w:val="000000"/>
          <w:sz w:val="20"/>
        </w:rPr>
        <w:t>Commodity Trends</w:t>
      </w:r>
      <w:r>
        <w:rPr>
          <w:color w:val="000000"/>
        </w:rPr>
        <w:t xml:space="preserve"> </w:t>
      </w:r>
      <w:r>
        <w:rPr>
          <w:rFonts w:ascii="Arial;sans-serif" w:hAnsi="Arial;sans-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overall outlook for future snacks revenue growth remains strong; however, we anticipate ongoing volatility. We will continue to proactively manage our business in response to the evolving global economic environment, related uncertainty and business risks while also prioritizing and supporting our employees and customers. We continue to take steps to mitigate impacts to our supply chain, operations, technology and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War in Ukraine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February 2022, following the Russian military invasion of Ukraine, we stopped production and closed our facilities in Ukraine; since then we have taken steps to protect the safety of our employees and to restore operations at our two manufacturing facilities, which were significantly damaged in March 2022. We continue to support our Ukraine employees, including paying salaries to those not yet able to return to work until full production returns. See Note 1, </w:t>
      </w:r>
      <w:r>
        <w:rPr>
          <w:rFonts w:ascii="Arial;sans-serif" w:hAnsi="Arial;sans-serif"/>
          <w:b w:val="false"/>
          <w:i/>
          <w:color w:val="000000"/>
          <w:sz w:val="20"/>
        </w:rPr>
        <w:t>Basis of Presentation</w:t>
      </w:r>
      <w:r>
        <w:rPr>
          <w:color w:val="000000"/>
        </w:rPr>
        <w:t xml:space="preserve"> </w:t>
      </w:r>
      <w:r>
        <w:rPr>
          <w:rFonts w:ascii="Arial;sans-serif" w:hAnsi="Arial;sans-serif"/>
          <w:b w:val="false"/>
          <w:color w:val="000000"/>
          <w:sz w:val="20"/>
        </w:rPr>
        <w:t xml:space="preserve">- </w:t>
      </w:r>
      <w:r>
        <w:rPr>
          <w:rFonts w:ascii="Arial;sans-serif" w:hAnsi="Arial;sans-serif"/>
          <w:b w:val="false"/>
          <w:i/>
          <w:color w:val="000000"/>
          <w:sz w:val="20"/>
        </w:rPr>
        <w:t>War in Ukraine</w:t>
      </w:r>
      <w:r>
        <w:rPr>
          <w:rFonts w:ascii="Arial;sans-serif" w:hAnsi="Arial;sans-serif"/>
          <w:b w:val="false"/>
          <w:color w:val="000000"/>
          <w:sz w:val="20"/>
        </w:rPr>
        <w:t xml:space="preserve">, to the condensed consolidated financial statements, and refer to </w:t>
      </w:r>
      <w:r>
        <w:rPr>
          <w:rFonts w:ascii="Arial;sans-serif" w:hAnsi="Arial;sans-serif"/>
          <w:b w:val="false"/>
          <w:i/>
          <w:color w:val="000000"/>
          <w:sz w:val="20"/>
        </w:rPr>
        <w:t>Items Affecting Comparability of Financial Results</w:t>
      </w:r>
      <w:r>
        <w:rPr>
          <w:color w:val="000000"/>
        </w:rPr>
        <w:t xml:space="preserve"> </w:t>
      </w:r>
      <w:r>
        <w:rPr>
          <w:rFonts w:ascii="Arial;sans-serif" w:hAnsi="Arial;sans-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suspended new capital investments and our advertising spending in Russia, but as a food company with more than 2,500 employees in the country, we have not ceased operations given we believe we play a role in the continuity of the food supply. We continue to evaluate the situation in Ukraine and Russia and our ability to control our operating activities and businesses on an ongoing basis and comply with applicable international sanctions, and we continue to consolidate both our Ukrainian and Russian subsidiaries. During the first quarter of 2024, Ukraine generated 0.4% and Russia generated 2.6% of consolidated net revenue and during the first quarter of 2023, Ukraine generated 0.4% and Russia generated 2.8% of consolidated net revenue. Our Russian net revenues declined in the first quarter of 2024 due to the suspension of advertising as well as currency weakness. Despite the decrease in revenues, the profitability of our Russian business in the first quarter of 2024 remained above historical levels. We cannot predict if the recent strength in our Russian business will continue in the future.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Our operations in Russia are subject to risks, including the temporary or permanent loss of assets or our ability to conduct business operations in Russia and the partial or full impairment of our Russian assets in future periods, or the termination of our business operations, based on actions taken by Russia, other parties or us. For additional information, see the risk factors in our Annual Report on Form 10-K for the year ended December 31, 2023, including the risk entitled “</w:t>
      </w:r>
      <w:r>
        <w:rPr>
          <w:rFonts w:ascii="Arial;sans-serif" w:hAnsi="Arial;sans-serif"/>
          <w:b w:val="false"/>
          <w:i/>
          <w:color w:val="000000"/>
          <w:sz w:val="20"/>
        </w:rPr>
        <w:t>The war in Ukraine has impacted and could continue to impact our business operations, financial performance and results of operations.</w:t>
      </w:r>
      <w:r>
        <w:rPr>
          <w:color w:val="000000"/>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49935"/>
                <wp:effectExtent l="0" t="0" r="0" b="0"/>
                <wp:wrapNone/>
                <wp:docPr id="84" name="Frame2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Developments in the Middle East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October 2023, conflict developed in the Middle East between Hamas and Israel, and has expanded to some parts of the region. In the first quarter of 2024, we experienced sales impacts related to this conflict in certain AMEA markets, but this did not have a material impact on our business, results of operations or financial condition. We continue to evaluate the impacts of these developments on our business and we cannot predict if it will have a significant impact in the future.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Extreme price growth in Argentina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December 2023, the Argentinean peso significantly devalued. The peso's devaluation and potential resulting distortion on our non-GAAP Organic Net Revenue, Organic Net Revenue growth and other constant currency growth rate measures resulted in our decision to exclude the impact of pricing in excess of 26% year-over-year ("extreme pricing") in Argentina, from these measures beginning in Q1 2024. The benchmark of 26% represents the minimum annual inflation rate for each year over a 3-year period which would result in a cumulative inflation rate in excess of 100%, the level at which an economy is considered hyperinflationary under U.S. GAAP. Throughout the following MD&amp;A discussion, we now exclude, on a prospective basis, the impact of extreme pricing in Argentina from the net pricing impact of Organic Net Revenue and Organic Net Revenue growth and its related impact on our other non-GAAP financial constant currency growth measures with a corresponding adjustment in changes in currency translation rates. Additionally within the MD&amp;A discussion, "currency-related items" totals the impact of extreme pricing and the currency translation rate changes.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Currency-related items impacted our non-GAAP financial measures for the three months ended March 31, 2024 as follows: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Organic Net Revenue: In total, unfavorable currency-related items of $132 million (1.5pp) were driven by unfavorable currency translation rate changes of $513 million (5.7pp), partially offset by the adjustment for extreme pricing of $381 million (4.2pp). In Emerging Markets, unfavorable currency-related items of $166 million (4.6pp) were driven by unfavorable currency translation rate changes of $547 million (15.2pp), partially offset by the adjustment for extreme pricing of $381 million (10.6pp). In Developed Markets, favorable currency-related items of $34 million (0.7pp) were driven by favorable currency translation rate changes.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Operating Income: Unfavorable currency-related items of $70 million were driven by unfavorable currency translation rate changes of $190 million, partially offset by the adjustment for extreme pricing of $120 million.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EPS: Unfavorable currency-related items of $0.05 were driven by unfavorable currency translation rate changes of $0.13, partially offset by the adjustment for extreme pricing of $0.08.</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Please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additional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Divestitures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2022, we announced our intention to divest our developed market gum and global </w:t>
      </w:r>
      <w:r>
        <w:rPr>
          <w:rFonts w:ascii="Arial;sans-serif" w:hAnsi="Arial;sans-serif"/>
          <w:b w:val="false"/>
          <w:i/>
          <w:color w:val="000000"/>
          <w:sz w:val="20"/>
        </w:rPr>
        <w:t>Halls</w:t>
      </w:r>
      <w:r>
        <w:rPr>
          <w:color w:val="000000"/>
        </w:rPr>
        <w:t xml:space="preserve"> </w:t>
      </w:r>
      <w:r>
        <w:rPr>
          <w:rFonts w:ascii="Arial;sans-serif" w:hAnsi="Arial;sans-serif"/>
          <w:b w:val="false"/>
          <w:color w:val="000000"/>
          <w:sz w:val="20"/>
        </w:rPr>
        <w:t>candy businesses and in the fourth quarter of 2022, we announced an agreement to sell the developed market gum business. On October 1, 2023, we completed the sale of our developed market gum business to Perfetti Van Melle Group, excluding the Portugal business which we retained pending regulatory approval. We completed the sale of the Portugal business to Perfetti Van Melle Group on October 23, 2023.</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Refer to Note 2, </w:t>
      </w:r>
      <w:r>
        <w:rPr>
          <w:rFonts w:ascii="Arial;sans-serif" w:hAnsi="Arial;sans-serif"/>
          <w:b w:val="false"/>
          <w:i/>
          <w:color w:val="000000"/>
          <w:sz w:val="20"/>
        </w:rPr>
        <w:t>Divestitures</w:t>
      </w:r>
      <w:r>
        <w:rPr>
          <w:rFonts w:ascii="Arial;sans-serif" w:hAnsi="Arial;sans-serif"/>
          <w:b w:val="false"/>
          <w:color w:val="000000"/>
          <w:sz w:val="20"/>
        </w:rPr>
        <w:t>, for additional details.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Investment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Keurig Dr Pepper Transactions (Nasdaq: "KDP")</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2, 2023, we sold approximately 30 million shares of KDP, which reduced our ownership interest by 2.1 percentage points to 3.2%. We recorded a pre-tax gain on equity method transactions of $493 million (or $368 million after-tax) during the first quarter of 2023. Our reduction in ownership to below 5% eliminated our governance rights that had allowed us to exert substantial influence over KDP and resulted in a change of accounting from equity method investment accounting to accounting for equity interests with readily determinable fair values ("marketable securities") during the first quarter of 2023. Subsequently in 2023, we sold the remainder of our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49935"/>
                <wp:effectExtent l="0" t="0" r="0" b="0"/>
                <wp:wrapNone/>
                <wp:docPr id="87" name="Frame30"/>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6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of KDP and exited our investment in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JDE Peet’s Transactions (Euronext Amsterdam: “JDEP”)</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three months ended March 31, 2024, we determined there was an other-than-temporary impairment of our investment in JDEP, resulting in an impairment charge of €612 million ($665 million).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For additional information, refer to Note 6, </w:t>
      </w:r>
      <w:r>
        <w:rPr>
          <w:rFonts w:ascii="Arial;sans-serif" w:hAnsi="Arial;sans-serif"/>
          <w:b w:val="false"/>
          <w:i/>
          <w:color w:val="000000"/>
          <w:sz w:val="20"/>
        </w:rPr>
        <w:t xml:space="preserve">Investments </w:t>
      </w:r>
      <w:r>
        <w:rPr>
          <w:rFonts w:ascii="Arial;sans-serif" w:hAnsi="Arial;sans-serif"/>
          <w:b w:val="false"/>
          <w:color w:val="000000"/>
          <w:sz w:val="20"/>
        </w:rPr>
        <w:t>and Note 9,</w:t>
      </w:r>
      <w:r>
        <w:rPr>
          <w:color w:val="000000"/>
        </w:rPr>
        <w:t xml:space="preserve"> </w:t>
      </w:r>
      <w:r>
        <w:rPr>
          <w:rFonts w:ascii="Arial;sans-serif" w:hAnsi="Arial;sans-serif"/>
          <w:b w:val="false"/>
          <w:i/>
          <w:color w:val="000000"/>
          <w:sz w:val="20"/>
        </w:rPr>
        <w:t>Financial Instruments.</w:t>
      </w: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20"/>
        </w:rPr>
      </w:pPr>
      <w:r>
        <w:rPr>
          <w:rFonts w:ascii="Arial;sans-serif" w:hAnsi="Arial;sans-serif"/>
          <w:b/>
          <w:color w:val="000000"/>
          <w:sz w:val="20"/>
        </w:rPr>
        <w:t>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monitor existing and potential future tax reform around the world. As of March 31, 2024, numerous countries have now enacted the Organization of Economic Cooperation and Development’s model rules on a global minimum tax with the earliest effective date being for taxable years beginning after December 31, 2023. Based on the guidance available thus far, we do not expect this legislation to have a material impact on our consolidated financial statements but we will continue to evaluate it as additional guidance and clarification becomes available.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Financial Outlook</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U.S. GAAP results. Refer to </w:t>
      </w:r>
      <w:r>
        <w:rPr>
          <w:rFonts w:ascii="Arial;sans-serif" w:hAnsi="Arial;sans-serif"/>
          <w:b w:val="false"/>
          <w:i/>
          <w:color w:val="000000"/>
          <w:sz w:val="20"/>
        </w:rPr>
        <w:t>Non-GAAP Financial Measures</w:t>
      </w:r>
      <w:r>
        <w:rPr>
          <w:color w:val="000000"/>
        </w:rPr>
        <w:t xml:space="preserve"> </w:t>
      </w:r>
      <w:r>
        <w:rPr>
          <w:rFonts w:ascii="Arial;sans-serif" w:hAnsi="Arial;sans-serif"/>
          <w:b w:val="false"/>
          <w:color w:val="000000"/>
          <w:sz w:val="20"/>
        </w:rPr>
        <w:t xml:space="preserve">for the definitions of our non-GAAP financial measures and </w:t>
      </w:r>
      <w:r>
        <w:rPr>
          <w:rFonts w:ascii="Arial;sans-serif" w:hAnsi="Arial;sans-serif"/>
          <w:b w:val="false"/>
          <w:i/>
          <w:color w:val="000000"/>
          <w:sz w:val="20"/>
        </w:rPr>
        <w:t>Consolidated Results of Operations</w:t>
      </w:r>
      <w:r>
        <w:rPr>
          <w:color w:val="000000"/>
        </w:rPr>
        <w:t xml:space="preserve"> </w:t>
      </w:r>
      <w:r>
        <w:rPr>
          <w:rFonts w:ascii="Arial;sans-serif" w:hAnsi="Arial;sans-serif"/>
          <w:b w:val="false"/>
          <w:color w:val="000000"/>
          <w:sz w:val="20"/>
        </w:rPr>
        <w:t>for the respective reconciliations.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to monitoring our key operating metrics, we monitor developments and trends that could impact our revenue and profitability objectives, as highlighted in our most recently filed Annual Report on Form 10-K for the year ended December 31, 2023.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49935"/>
                <wp:effectExtent l="0" t="0" r="0" b="0"/>
                <wp:wrapNone/>
                <wp:docPr id="90" name="Frame31"/>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Summary of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revenues increased 1.4% to $9.3 billion in the first quarter of 2024 as compared to the same period in the prior year. Net revenue growth in the first quarter of 2024 was driven by higher net pricing and incremental net revenue from a short-term distributor agreement related to the sale of our developed market gum business, partially offset by unfavorable volume/mix, the impact of our 2023 divestiture of the developed market gum business and unfavorable currency-related items, as the U.S. dollar strengthened relative to most currencies we operate in compared to exchange rates in the prior year.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Organic Net Revenue, a non-GAAP financial measure, increased 4.2% to $9.4 billion in the first quarter of 2024 as compared to same period in the prior year. During the first quarter of 2024, Organic Net Revenue grew due to higher net pricing, partially offset by unfavorable volume/mix. Organic Net Revenue is on a constant currency basis and excludes revenue from acquisitions and divestitures.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the definition of Organic Net Revenue and </w:t>
      </w:r>
      <w:r>
        <w:rPr>
          <w:rFonts w:ascii="Arial;sans-serif" w:hAnsi="Arial;sans-serif"/>
          <w:b w:val="false"/>
          <w:i/>
          <w:color w:val="000000"/>
          <w:sz w:val="20"/>
        </w:rPr>
        <w:t xml:space="preserve">Consolidated Results of Operations </w:t>
      </w:r>
      <w:r>
        <w:rPr>
          <w:rFonts w:ascii="Arial;sans-serif" w:hAnsi="Arial;sans-serif"/>
          <w:b w:val="false"/>
          <w:color w:val="000000"/>
          <w:sz w:val="20"/>
        </w:rPr>
        <w:t>for our reconciliation with net revenues.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Diluted EPS attributable to Mondelēz International decreased (31.6)% to $1.04 in the first quarter of 2024 as compared to the same period in the prior year. Diluted EPS decreased in the first quarter of 2024, driven by an impairment charge on our JDEP equity method investment in 2024, lapping prior-year gains on marketable securities and equity method investment transactions related to our former KDP investment, lapping prior-year operating results from the developed market gum business divested in 2023 and higher costs incurred from our Simplify to Grow program. These unfavorable items were partially offset by a favorable year-over-year change in mark-to-market impacts from currency and commodity derivatives, an increase in Adjusted EPS, lower divestiture-related costs, lower acquisition integration costs and contingent consideration adjustments and lower equity method investee items.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a non-GAAP financial measure, increased 10.5% to $0.95 in the first quarter of 2024 as compared to the same period in the prior year. On a constant currency basis, Adjusted EPS increased 16.3% to $1.00 in the first quarter of 2024 as compared to the same period in the prior year. Adjusted EPS increased in the first quarter of 2024, driven by operating gains, lower interest expense and fewer shares outstanding, partially offset by unfavorable currency-related items and higher taxes. Refer to </w:t>
      </w:r>
      <w:r>
        <w:rPr>
          <w:rFonts w:ascii="Arial;sans-serif" w:hAnsi="Arial;sans-serif"/>
          <w:b w:val="false"/>
          <w:i/>
          <w:color w:val="000000"/>
          <w:sz w:val="20"/>
        </w:rPr>
        <w:t xml:space="preserve">Non-GAAP Financial Measures </w:t>
      </w:r>
      <w:r>
        <w:rPr>
          <w:rFonts w:ascii="Arial;sans-serif" w:hAnsi="Arial;sans-serif"/>
          <w:b w:val="false"/>
          <w:color w:val="000000"/>
          <w:sz w:val="20"/>
        </w:rPr>
        <w:t xml:space="preserve">for the definition of Adjusted EPS and </w:t>
      </w:r>
      <w:r>
        <w:rPr>
          <w:rFonts w:ascii="Arial;sans-serif" w:hAnsi="Arial;sans-serif"/>
          <w:b w:val="false"/>
          <w:i/>
          <w:color w:val="000000"/>
          <w:sz w:val="20"/>
        </w:rPr>
        <w:t xml:space="preserve">Consolidated Results of Operations </w:t>
      </w:r>
      <w:r>
        <w:rPr>
          <w:rFonts w:ascii="Arial;sans-serif" w:hAnsi="Arial;sans-serif"/>
          <w:b w:val="false"/>
          <w:color w:val="000000"/>
          <w:sz w:val="20"/>
        </w:rPr>
        <w:t>for our reconciliation with diluted EPS.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49935"/>
                <wp:effectExtent l="0" t="0" r="0" b="0"/>
                <wp:wrapNone/>
                <wp:docPr id="93" name="Frame3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Discussion and Analysis of Historical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Items Affecting Comparability of Financial Results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following table includes significant income or (expense) items that affected the comparability of our results of operations and our effective tax rates. Please refer to the notes to the condensed consolidated financial statements indicated below for additional information. Refer also to the </w:t>
      </w:r>
      <w:r>
        <w:rPr>
          <w:rFonts w:ascii="Arial;sans-serif" w:hAnsi="Arial;sans-serif"/>
          <w:b w:val="false"/>
          <w:i/>
          <w:color w:val="000000"/>
          <w:sz w:val="20"/>
        </w:rPr>
        <w:t>Consolidated Results of Operations – Net Earnings and Earnings per Share Attributable to Mondelēz International</w:t>
      </w:r>
      <w:r>
        <w:rPr>
          <w:color w:val="000000"/>
        </w:rPr>
        <w:t xml:space="preserve"> </w:t>
      </w:r>
      <w:r>
        <w:rPr>
          <w:rFonts w:ascii="Arial;sans-serif" w:hAnsi="Arial;sans-serif"/>
          <w:b w:val="false"/>
          <w:color w:val="000000"/>
          <w:sz w:val="20"/>
        </w:rPr>
        <w:t>table for the after-tax per share impacts of these items.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45"/>
        <w:gridCol w:w="1875"/>
        <w:gridCol w:w="1880"/>
        <w:gridCol w:w="270"/>
        <w:gridCol w:w="270"/>
        <w:gridCol w:w="271"/>
        <w:gridCol w:w="109"/>
        <w:gridCol w:w="109"/>
        <w:gridCol w:w="109"/>
        <w:gridCol w:w="258"/>
        <w:gridCol w:w="514"/>
        <w:gridCol w:w="326"/>
        <w:gridCol w:w="130"/>
        <w:gridCol w:w="130"/>
        <w:gridCol w:w="130"/>
        <w:gridCol w:w="253"/>
        <w:gridCol w:w="514"/>
        <w:gridCol w:w="326"/>
        <w:gridCol w:w="109"/>
        <w:gridCol w:w="109"/>
        <w:gridCol w:w="109"/>
        <w:gridCol w:w="159"/>
      </w:tblGrid>
      <w:tr>
        <w:trPr/>
        <w:tc>
          <w:tcPr>
            <w:tcW w:w="224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See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9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percentages)</w:t>
            </w:r>
          </w:p>
        </w:tc>
        <w:tc>
          <w:tcPr>
            <w:tcW w:w="486" w:type="dxa"/>
            <w:gridSpan w:val="4"/>
            <w:tcBorders/>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Simplify to Grow Program</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charges</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Implementation charges</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Mark-to-market gains from derivatives </w:t>
            </w:r>
            <w:r>
              <w:rPr>
                <w:rFonts w:ascii="Arial;sans-serif" w:hAnsi="Arial;sans-serif"/>
                <w:b/>
                <w:color w:val="000000"/>
                <w:sz w:val="12"/>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Acquisition and divestiture-related costs: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Acquisition integration costs and </w:t>
            </w:r>
          </w:p>
          <w:p>
            <w:pPr>
              <w:pStyle w:val="TableContents"/>
              <w:bidi w:val="0"/>
              <w:spacing w:lineRule="auto" w:line="240" w:before="0" w:after="0"/>
              <w:jc w:val="left"/>
              <w:rPr/>
            </w:pPr>
            <w:r>
              <w:rPr>
                <w:color w:val="000000"/>
              </w:rPr>
              <w:t>   </w:t>
            </w:r>
            <w:r>
              <w:rPr>
                <w:rFonts w:ascii="Arial;sans-serif" w:hAnsi="Arial;sans-serif"/>
                <w:b w:val="false"/>
                <w:color w:val="000000"/>
                <w:sz w:val="18"/>
              </w:rPr>
              <w:t xml:space="preserve">contingent consideration adjustments </w:t>
            </w:r>
            <w:r>
              <w:rPr>
                <w:rFonts w:ascii="Arial;sans-serif" w:hAnsi="Arial;sans-serif"/>
                <w:b w:val="false"/>
                <w:color w:val="000000"/>
                <w:sz w:val="12"/>
              </w:rPr>
              <w:t>(1)</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Divestiture-related costs</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Incremental costs due to war in Ukraine </w:t>
            </w:r>
            <w:r>
              <w:rPr>
                <w:rFonts w:ascii="Arial;sans-serif" w:hAnsi="Arial;sans-serif"/>
                <w:b/>
                <w:color w:val="000000"/>
                <w:sz w:val="12"/>
              </w:rPr>
              <w:t>(2)</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Remeasurement of net monetary position</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Impact from pension participation changes </w:t>
            </w:r>
            <w:r>
              <w:rPr>
                <w:rFonts w:ascii="Arial;sans-serif" w:hAnsi="Arial;sans-serif"/>
                <w:b/>
                <w:color w:val="000000"/>
                <w:sz w:val="12"/>
              </w:rPr>
              <w:t>(1)</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Gain on marketable securities</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(Loss)/gain on equity method investment transactions including impairments </w:t>
            </w:r>
            <w:r>
              <w:rPr>
                <w:rFonts w:ascii="Arial;sans-serif" w:hAnsi="Arial;sans-serif"/>
                <w:b/>
                <w:color w:val="000000"/>
                <w:sz w:val="12"/>
              </w:rPr>
              <w:t>(3)</w:t>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Equity method investee items </w:t>
            </w:r>
            <w:r>
              <w:rPr>
                <w:rFonts w:ascii="Arial;sans-serif" w:hAnsi="Arial;sans-serif"/>
                <w:b/>
                <w:color w:val="000000"/>
                <w:sz w:val="12"/>
              </w:rPr>
              <w:t>(4)</w:t>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Effective tax rate</w:t>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Note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rFonts w:ascii="Arial;sans-serif" w:hAnsi="Arial;sans-serif"/>
          <w:b w:val="false"/>
          <w:color w:val="000000"/>
          <w:sz w:val="16"/>
        </w:rPr>
        <w:t xml:space="preserve">(1)Includes impacts recorded in operating income and interest expense and other, net. Mark-to-market gains/(losses) above also include our equity method investment-related derivative contract mark-to-market gains/(losses) (refer to Note 9, </w:t>
      </w:r>
      <w:r>
        <w:rPr>
          <w:rFonts w:ascii="Arial;sans-serif" w:hAnsi="Arial;sans-serif"/>
          <w:b w:val="false"/>
          <w:i/>
          <w:color w:val="000000"/>
          <w:sz w:val="16"/>
        </w:rPr>
        <w:t>Financial Instruments)</w:t>
      </w:r>
      <w:r>
        <w:rPr>
          <w:color w:val="000000"/>
        </w:rPr>
        <w:t xml:space="preserve"> </w:t>
      </w:r>
      <w:r>
        <w:rPr>
          <w:rFonts w:ascii="Arial;sans-serif" w:hAnsi="Arial;sans-serif"/>
          <w:b w:val="false"/>
          <w:color w:val="000000"/>
          <w:sz w:val="16"/>
        </w:rPr>
        <w:t>that are recorded in the (loss)/gain (including non-cash impairment charges) on equity method investment transactions on our condensed consolidated statement of earnings.</w:t>
      </w:r>
    </w:p>
    <w:p>
      <w:pPr>
        <w:pStyle w:val="TextBody"/>
        <w:bidi w:val="0"/>
        <w:spacing w:lineRule="auto" w:line="288" w:before="0" w:after="0"/>
        <w:ind w:left="0" w:right="0" w:hanging="360"/>
        <w:jc w:val="both"/>
        <w:rPr/>
      </w:pPr>
      <w:r>
        <w:rPr>
          <w:rFonts w:ascii="Arial;sans-serif" w:hAnsi="Arial;sans-serif"/>
          <w:b w:val="false"/>
          <w:color w:val="000000"/>
          <w:sz w:val="16"/>
        </w:rPr>
        <w:t xml:space="preserve">(2)Incremental costs due to the war in Ukraine include direct charges such as asset impairments due to damaged facilities and inventory, higher expected allowances for uncollectible accounts receivable and committed compensation. Please see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 xml:space="preserve">section at the end of this item and Note 1, </w:t>
      </w:r>
      <w:r>
        <w:rPr>
          <w:rFonts w:ascii="Arial;sans-serif" w:hAnsi="Arial;sans-serif"/>
          <w:b w:val="false"/>
          <w:i/>
          <w:color w:val="000000"/>
          <w:sz w:val="16"/>
        </w:rPr>
        <w:t>Basis of Presentation – War in Ukraine</w:t>
      </w:r>
      <w:r>
        <w:rPr>
          <w:rFonts w:ascii="Arial;sans-serif" w:hAnsi="Arial;sans-serif"/>
          <w:b w:val="false"/>
          <w:color w:val="000000"/>
          <w:sz w:val="16"/>
        </w:rPr>
        <w:t>, for additional information.</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(3)(Loss)/gain (including non-cash impairment charges) on equity method investment transactions is recorded outside pre-tax operating results on the condensed consolidated statement of earnings. See footnote (1) as mark-to-market gains/(losses) on our equity method-investment-related derivative contracts are presented in the table above within mark-to-market gains/(losses) from derivatives.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(4)Includes our proportionate share of significant operating and non-operating items recorded by our JDE Peet's equity method investee, including acquisition and divestiture-related costs, restructuring program costs and intangible asset impairment charges.</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49935"/>
                <wp:effectExtent l="0" t="0" r="0" b="0"/>
                <wp:wrapNone/>
                <wp:docPr id="96" name="Frame3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tbl>
      <w:tblPr>
        <w:tblW w:w="9274" w:type="dxa"/>
        <w:jc w:val="left"/>
        <w:tblInd w:w="0" w:type="dxa"/>
        <w:tblLayout w:type="fixed"/>
        <w:tblCellMar>
          <w:top w:w="28" w:type="dxa"/>
          <w:left w:w="28" w:type="dxa"/>
          <w:bottom w:w="28" w:type="dxa"/>
          <w:right w:w="28" w:type="dxa"/>
        </w:tblCellMar>
      </w:tblPr>
      <w:tblGrid>
        <w:gridCol w:w="1652"/>
        <w:gridCol w:w="1275"/>
        <w:gridCol w:w="1288"/>
        <w:gridCol w:w="221"/>
        <w:gridCol w:w="678"/>
        <w:gridCol w:w="114"/>
        <w:gridCol w:w="114"/>
        <w:gridCol w:w="114"/>
        <w:gridCol w:w="114"/>
        <w:gridCol w:w="221"/>
        <w:gridCol w:w="678"/>
        <w:gridCol w:w="114"/>
        <w:gridCol w:w="109"/>
        <w:gridCol w:w="109"/>
        <w:gridCol w:w="109"/>
        <w:gridCol w:w="225"/>
        <w:gridCol w:w="514"/>
        <w:gridCol w:w="117"/>
        <w:gridCol w:w="109"/>
        <w:gridCol w:w="109"/>
        <w:gridCol w:w="109"/>
        <w:gridCol w:w="299"/>
        <w:gridCol w:w="301"/>
        <w:gridCol w:w="581"/>
      </w:tblGrid>
      <w:tr>
        <w:trPr/>
        <w:tc>
          <w:tcPr>
            <w:tcW w:w="165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Net earnings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rFonts w:ascii="Arial;sans-serif" w:hAnsi="Arial;sans-serif"/>
                <w:b w:val="false"/>
                <w:color w:val="000000"/>
                <w:sz w:val="20"/>
              </w:rPr>
            </w:pPr>
            <w:r>
              <w:rPr>
                <w:rFonts w:ascii="Arial;sans-serif" w:hAnsi="Arial;sans-serif"/>
                <w:b w:val="false"/>
                <w:color w:val="000000"/>
                <w:sz w:val="20"/>
              </w:rPr>
              <w:t>Diluted earnings per share attributable to</w:t>
            </w:r>
          </w:p>
          <w:p>
            <w:pPr>
              <w:pStyle w:val="TableContents"/>
              <w:bidi w:val="0"/>
              <w:spacing w:lineRule="auto" w:line="240" w:before="0" w:after="0"/>
              <w:ind w:left="0" w:right="0" w:firstLine="585"/>
              <w:jc w:val="left"/>
              <w:rPr>
                <w:color w:val="000000"/>
              </w:rPr>
            </w:pPr>
            <w:r>
              <w:rPr>
                <w:color w:val="000000"/>
              </w:rPr>
              <w:t>   </w:t>
            </w:r>
            <w:r>
              <w:rPr>
                <w:rFonts w:ascii="Arial;sans-serif" w:hAnsi="Arial;sans-serif"/>
                <w:b w:val="false"/>
                <w:color w:val="000000"/>
                <w:sz w:val="20"/>
              </w:rPr>
              <w:t>Mondelēz International</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Net Revenues</w:t>
      </w:r>
      <w:r>
        <w:rPr>
          <w:color w:val="000000"/>
        </w:rPr>
        <w:t xml:space="preserve"> – </w:t>
      </w:r>
      <w:r>
        <w:rPr>
          <w:rFonts w:ascii="Arial;sans-serif" w:hAnsi="Arial;sans-serif"/>
          <w:b w:val="false"/>
          <w:color w:val="000000"/>
          <w:sz w:val="20"/>
        </w:rPr>
        <w:t xml:space="preserve">Net revenues increased $124 million (1.4%) to $9,290 million in the first quarter of 2024, and Organic Net Revenue </w:t>
      </w:r>
      <w:r>
        <w:rPr>
          <w:rFonts w:ascii="Arial;sans-serif" w:hAnsi="Arial;sans-serif"/>
          <w:b w:val="false"/>
          <w:color w:val="000000"/>
          <w:sz w:val="12"/>
        </w:rPr>
        <w:t>(1)</w:t>
      </w:r>
      <w:r>
        <w:rPr>
          <w:color w:val="000000"/>
        </w:rPr>
        <w:t> </w:t>
      </w:r>
      <w:r>
        <w:rPr>
          <w:rFonts w:ascii="Arial;sans-serif" w:hAnsi="Arial;sans-serif"/>
          <w:b w:val="false"/>
          <w:color w:val="000000"/>
          <w:sz w:val="20"/>
        </w:rPr>
        <w:t xml:space="preserve">increased $378 million (4.2%) to $9,397 million. Emerging markets net revenues increased 3.8% and emerging markets Organic Net Revenue increased 8.3% </w:t>
      </w:r>
      <w:r>
        <w:rPr>
          <w:rFonts w:ascii="Arial;sans-serif" w:hAnsi="Arial;sans-serif"/>
          <w:b w:val="false"/>
          <w:color w:val="000000"/>
          <w:sz w:val="12"/>
        </w:rPr>
        <w:t>(1)</w:t>
      </w:r>
      <w:r>
        <w:rPr>
          <w:rFonts w:ascii="Arial;sans-serif" w:hAnsi="Arial;sans-serif"/>
          <w:b w:val="false"/>
          <w:color w:val="000000"/>
          <w:sz w:val="20"/>
        </w:rPr>
        <w:t xml:space="preserve">. Developed markets net revenues decreased (0.2)% and developed markets Organic Net Revenue increased 1.4% </w:t>
      </w:r>
      <w:r>
        <w:rPr>
          <w:rFonts w:ascii="Arial;sans-serif" w:hAnsi="Arial;sans-serif"/>
          <w:b w:val="false"/>
          <w:color w:val="000000"/>
          <w:sz w:val="12"/>
        </w:rPr>
        <w:t>(1)</w:t>
      </w:r>
      <w:r>
        <w:rPr>
          <w:rFonts w:ascii="Arial;sans-serif" w:hAnsi="Arial;sans-serif"/>
          <w:b w:val="false"/>
          <w:color w:val="000000"/>
          <w:sz w:val="20"/>
        </w:rPr>
        <w:t>. The underlying changes in net revenues and Organic Net Revenue are detailed below:</w:t>
      </w:r>
    </w:p>
    <w:tbl>
      <w:tblPr>
        <w:tblW w:w="7876" w:type="dxa"/>
        <w:jc w:val="left"/>
        <w:tblInd w:w="0" w:type="dxa"/>
        <w:tblLayout w:type="fixed"/>
        <w:tblCellMar>
          <w:top w:w="28" w:type="dxa"/>
          <w:left w:w="28" w:type="dxa"/>
          <w:bottom w:w="28" w:type="dxa"/>
          <w:right w:w="28" w:type="dxa"/>
        </w:tblCellMar>
      </w:tblPr>
      <w:tblGrid>
        <w:gridCol w:w="1267"/>
        <w:gridCol w:w="1112"/>
        <w:gridCol w:w="1116"/>
        <w:gridCol w:w="211"/>
        <w:gridCol w:w="646"/>
        <w:gridCol w:w="346"/>
        <w:gridCol w:w="109"/>
        <w:gridCol w:w="109"/>
        <w:gridCol w:w="109"/>
        <w:gridCol w:w="211"/>
        <w:gridCol w:w="646"/>
        <w:gridCol w:w="346"/>
        <w:gridCol w:w="109"/>
        <w:gridCol w:w="109"/>
        <w:gridCol w:w="109"/>
        <w:gridCol w:w="223"/>
        <w:gridCol w:w="683"/>
        <w:gridCol w:w="415"/>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Emerging</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Developed</w:t>
              <w:br/>
              <w:t>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Mondelēz</w:t>
              <w:br/>
              <w:t>International</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Three Months Ended March 31, 2024</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3,733</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5,557</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9,290</w:t>
            </w:r>
            <w:r>
              <w:rPr>
                <w:color w:val="000000"/>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distributor agreements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3,896</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5,501</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9,397</w:t>
            </w: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Three Months Ended March 31, 2023</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3,598</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5,568</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9,166</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3,596</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5,423</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9,019</w:t>
            </w: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 Change</w:t>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Reported (GAAP)</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(0.2)</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pp</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distributor agreements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pp</w:t>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Organic (Non-GAAP)</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Vol/Mix</w:t>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(2.1)pp</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Pricing</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(1)Please see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Net revenue increase of 1.4% was driven by our underlying Organic Net Revenue growth of 4.2% and the impact of a short-term distributor agreement, partially offset by the impact of our 2023 divestiture of the developed market gum business and unfavorable currency-related items. Organic Net Revenue growth was driven by higher net pricing, partially offset by unfavorable volume/mix. Higher net pricing in all regions was due to the benefit of carryover pricing from 2023 as well as the effects of input cost-driven pricing actions taken during the first three months of 2024. Overall, unfavorable volume/mix was driven by volume declines, due to expected customer price negotiation disruptions in Europe, softer consumer demand in the U.S. and geopolitical impacts in parts of AMEA, which were partially offset by favorable product mix. Unfavorable volume/mix was reflected across all regions. The short-term distributor agreement related to the October 1, 2023 sale of our developed market gum business added incremental net revenues of $25 million. The impact of our 2023 divestiture of the developed market gum business resulted in a year-over-year reduction in net revenues of $147 million. Refer to Note 2, </w:t>
      </w:r>
      <w:r>
        <w:rPr>
          <w:rFonts w:ascii="Arial;sans-serif" w:hAnsi="Arial;sans-serif"/>
          <w:b w:val="false"/>
          <w:i/>
          <w:color w:val="000000"/>
          <w:sz w:val="20"/>
        </w:rPr>
        <w:t xml:space="preserve">Divestitures, </w:t>
      </w:r>
      <w:r>
        <w:rPr>
          <w:rFonts w:ascii="Arial;sans-serif" w:hAnsi="Arial;sans-serif"/>
          <w:b w:val="false"/>
          <w:color w:val="000000"/>
          <w:sz w:val="20"/>
        </w:rPr>
        <w:t xml:space="preserve">for additional information. Currency-related items decreased net revenues by $132 million, driven by unfavorable currency translation rate changes, partially offset by the adjustment for extreme pricing in Argentina. Refer to </w:t>
      </w:r>
      <w:r>
        <w:rPr>
          <w:rFonts w:ascii="Arial;sans-serif" w:hAnsi="Arial;sans-serif"/>
          <w:b w:val="false"/>
          <w:i/>
          <w:color w:val="000000"/>
          <w:sz w:val="20"/>
        </w:rPr>
        <w:t xml:space="preserve">Recent Developments and Significant Items Affecting Comparability </w:t>
      </w:r>
      <w:r>
        <w:rPr>
          <w:rFonts w:ascii="Arial;sans-serif" w:hAnsi="Arial;sans-serif"/>
          <w:b w:val="false"/>
          <w:color w:val="000000"/>
          <w:sz w:val="20"/>
        </w:rPr>
        <w:t xml:space="preserve">for additional information. Unfavorable currency translation rate changes were due to the strength of the U.S. dollar relative to several currencies, primarily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49935"/>
                <wp:effectExtent l="0" t="0" r="0" b="0"/>
                <wp:wrapNone/>
                <wp:docPr id="99" name="Frame34"/>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6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Argentinean peso, as well as the Russian ruble, Turkish lira, Nigerian naira, Chinese yuan and Australian dollar, partially offset by the strength of several currencies relative to the U.S. dollar, including the Mexican peso, British pound sterling, Brazilian real, euro and Polish zloty.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Operating Income</w:t>
      </w:r>
      <w:r>
        <w:rPr>
          <w:color w:val="000000"/>
        </w:rPr>
        <w:t xml:space="preserve"> – </w:t>
      </w:r>
      <w:r>
        <w:rPr>
          <w:rFonts w:ascii="Arial;sans-serif" w:hAnsi="Arial;sans-serif"/>
          <w:b w:val="false"/>
          <w:color w:val="000000"/>
          <w:sz w:val="20"/>
        </w:rPr>
        <w:t xml:space="preserve">Operating income increased $1,222 million (81.2%) to $2,727 million in the first quarter of 2024. Adjusted Operating Income </w:t>
      </w:r>
      <w:r>
        <w:rPr>
          <w:rFonts w:ascii="Arial;sans-serif" w:hAnsi="Arial;sans-serif"/>
          <w:b w:val="false"/>
          <w:color w:val="000000"/>
          <w:sz w:val="12"/>
        </w:rPr>
        <w:t>(1)</w:t>
      </w:r>
      <w:r>
        <w:rPr>
          <w:color w:val="000000"/>
        </w:rPr>
        <w:t> </w:t>
      </w:r>
      <w:r>
        <w:rPr>
          <w:rFonts w:ascii="Arial;sans-serif" w:hAnsi="Arial;sans-serif"/>
          <w:b w:val="false"/>
          <w:color w:val="000000"/>
          <w:sz w:val="20"/>
        </w:rPr>
        <w:t xml:space="preserve">increased $186 million (12.2%) to $1,710 million and Adjusted Operating Income on a constant currency basis </w:t>
      </w:r>
      <w:r>
        <w:rPr>
          <w:rFonts w:ascii="Arial;sans-serif" w:hAnsi="Arial;sans-serif"/>
          <w:b w:val="false"/>
          <w:color w:val="000000"/>
          <w:sz w:val="12"/>
        </w:rPr>
        <w:t>(1)</w:t>
      </w:r>
      <w:r>
        <w:rPr>
          <w:color w:val="000000"/>
        </w:rPr>
        <w:t> </w:t>
      </w:r>
      <w:r>
        <w:rPr>
          <w:rFonts w:ascii="Arial;sans-serif" w:hAnsi="Arial;sans-serif"/>
          <w:b w:val="false"/>
          <w:color w:val="000000"/>
          <w:sz w:val="20"/>
        </w:rPr>
        <w:t>increased $256 million (16.8%) to $1,780 million due to the following:</w:t>
      </w:r>
    </w:p>
    <w:tbl>
      <w:tblPr>
        <w:tblW w:w="10205" w:type="dxa"/>
        <w:jc w:val="left"/>
        <w:tblInd w:w="0" w:type="dxa"/>
        <w:tblLayout w:type="fixed"/>
        <w:tblCellMar>
          <w:top w:w="28" w:type="dxa"/>
          <w:left w:w="28" w:type="dxa"/>
          <w:bottom w:w="28" w:type="dxa"/>
          <w:right w:w="28" w:type="dxa"/>
        </w:tblCellMar>
      </w:tblPr>
      <w:tblGrid>
        <w:gridCol w:w="1892"/>
        <w:gridCol w:w="1603"/>
        <w:gridCol w:w="1608"/>
        <w:gridCol w:w="220"/>
        <w:gridCol w:w="675"/>
        <w:gridCol w:w="113"/>
        <w:gridCol w:w="113"/>
        <w:gridCol w:w="113"/>
        <w:gridCol w:w="113"/>
        <w:gridCol w:w="220"/>
        <w:gridCol w:w="675"/>
        <w:gridCol w:w="113"/>
        <w:gridCol w:w="109"/>
        <w:gridCol w:w="109"/>
        <w:gridCol w:w="109"/>
        <w:gridCol w:w="211"/>
        <w:gridCol w:w="646"/>
        <w:gridCol w:w="109"/>
        <w:gridCol w:w="109"/>
        <w:gridCol w:w="109"/>
        <w:gridCol w:w="109"/>
        <w:gridCol w:w="270"/>
        <w:gridCol w:w="271"/>
        <w:gridCol w:w="586"/>
      </w:tblGrid>
      <w:tr>
        <w:trPr/>
        <w:tc>
          <w:tcPr>
            <w:tcW w:w="1892"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51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2,727</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81.2</w:t>
            </w:r>
            <w:r>
              <w:rPr>
                <w:color w:val="000000"/>
              </w:rPr>
              <w:t> </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(2)</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Mark-to-market gains from derivatives </w:t>
            </w:r>
            <w:r>
              <w:rPr>
                <w:rFonts w:ascii="Arial;sans-serif" w:hAnsi="Arial;sans-serif"/>
                <w:b w:val="false"/>
                <w:color w:val="000000"/>
                <w:sz w:val="13"/>
              </w:rPr>
              <w:t>(3)</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 integration costs and </w:t>
            </w:r>
          </w:p>
          <w:p>
            <w:pPr>
              <w:pStyle w:val="TableContents"/>
              <w:bidi w:val="0"/>
              <w:spacing w:lineRule="auto" w:line="240" w:before="0" w:after="0"/>
              <w:ind w:left="0" w:right="0" w:firstLine="180"/>
              <w:jc w:val="left"/>
              <w:rPr/>
            </w:pPr>
            <w:r>
              <w:rPr>
                <w:color w:val="000000"/>
              </w:rPr>
              <w:t>   </w:t>
            </w:r>
            <w:r>
              <w:rPr>
                <w:rFonts w:ascii="Arial;sans-serif" w:hAnsi="Arial;sans-serif"/>
                <w:b w:val="false"/>
                <w:color w:val="000000"/>
                <w:sz w:val="20"/>
              </w:rPr>
              <w:t xml:space="preserve">contingent consideration adjustments </w:t>
            </w:r>
            <w:r>
              <w:rPr>
                <w:rFonts w:ascii="Arial;sans-serif" w:hAnsi="Arial;sans-serif"/>
                <w:b w:val="false"/>
                <w:color w:val="000000"/>
                <w:sz w:val="13"/>
              </w:rPr>
              <w:t xml:space="preserve">(4) </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510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510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Divestiture-related costs </w:t>
            </w:r>
            <w:r>
              <w:rPr>
                <w:rFonts w:ascii="Arial;sans-serif" w:hAnsi="Arial;sans-serif"/>
                <w:b w:val="false"/>
                <w:color w:val="000000"/>
                <w:sz w:val="13"/>
              </w:rPr>
              <w:t>(4)</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Operating results from divestitures </w:t>
            </w:r>
            <w:r>
              <w:rPr>
                <w:rFonts w:ascii="Arial;sans-serif" w:hAnsi="Arial;sans-serif"/>
                <w:b w:val="false"/>
                <w:color w:val="000000"/>
                <w:sz w:val="13"/>
              </w:rPr>
              <w:t>(4)</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510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Operating results from short-term distributor agreements </w:t>
            </w:r>
            <w:r>
              <w:rPr>
                <w:rFonts w:ascii="Arial;sans-serif" w:hAnsi="Arial;sans-serif"/>
                <w:b w:val="false"/>
                <w:color w:val="000000"/>
                <w:sz w:val="13"/>
              </w:rPr>
              <w:t>(1)</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Incremental costs due to war in Ukraine </w:t>
            </w:r>
            <w:r>
              <w:rPr>
                <w:rFonts w:ascii="Arial;sans-serif" w:hAnsi="Arial;sans-serif"/>
                <w:b w:val="false"/>
                <w:color w:val="000000"/>
                <w:sz w:val="13"/>
              </w:rPr>
              <w:t>(5)</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(5)</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510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510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510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w:t>
            </w:r>
            <w:r>
              <w:rPr>
                <w:rFonts w:ascii="Arial;sans-serif" w:hAnsi="Arial;sans-serif"/>
                <w:b/>
                <w:color w:val="000000"/>
                <w:sz w:val="13"/>
              </w:rPr>
              <w:t>(1)</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1,710</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1,524</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w:t>
            </w:r>
            <w:r>
              <w:rPr>
                <w:color w:val="000000"/>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5103"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51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Operating Income (constant currency) </w:t>
            </w:r>
            <w:r>
              <w:rPr>
                <w:rFonts w:ascii="Arial;sans-serif" w:hAnsi="Arial;sans-serif"/>
                <w:b/>
                <w:color w:val="000000"/>
                <w:sz w:val="13"/>
              </w:rPr>
              <w:t>(1)</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1,780</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1,524</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w:t>
            </w:r>
            <w:r>
              <w:rPr>
                <w:color w:val="000000"/>
              </w:rPr>
              <w:t> </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both"/>
        <w:rPr/>
      </w:pPr>
      <w:r>
        <w:rPr/>
      </w:r>
    </w:p>
    <w:tbl>
      <w:tblPr>
        <w:tblW w:w="9103" w:type="dxa"/>
        <w:jc w:val="left"/>
        <w:tblInd w:w="0" w:type="dxa"/>
        <w:tblLayout w:type="fixed"/>
        <w:tblCellMar>
          <w:top w:w="28" w:type="dxa"/>
          <w:left w:w="28" w:type="dxa"/>
          <w:bottom w:w="28" w:type="dxa"/>
          <w:right w:w="28" w:type="dxa"/>
        </w:tblCellMar>
      </w:tblPr>
      <w:tblGrid>
        <w:gridCol w:w="2261"/>
        <w:gridCol w:w="1982"/>
        <w:gridCol w:w="1997"/>
        <w:gridCol w:w="109"/>
        <w:gridCol w:w="109"/>
        <w:gridCol w:w="109"/>
        <w:gridCol w:w="109"/>
        <w:gridCol w:w="109"/>
        <w:gridCol w:w="109"/>
        <w:gridCol w:w="109"/>
        <w:gridCol w:w="109"/>
        <w:gridCol w:w="109"/>
        <w:gridCol w:w="109"/>
        <w:gridCol w:w="109"/>
        <w:gridCol w:w="109"/>
        <w:gridCol w:w="225"/>
        <w:gridCol w:w="514"/>
        <w:gridCol w:w="117"/>
        <w:gridCol w:w="109"/>
        <w:gridCol w:w="109"/>
        <w:gridCol w:w="109"/>
        <w:gridCol w:w="109"/>
        <w:gridCol w:w="109"/>
        <w:gridCol w:w="154"/>
      </w:tblGrid>
      <w:tr>
        <w:trPr/>
        <w:tc>
          <w:tcPr>
            <w:tcW w:w="226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Operating Income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Higher net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Higher input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Unfavorable volume/mix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Higher 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Higher asset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change in Adjusted Operating Income (constant currency) </w:t>
            </w:r>
            <w:r>
              <w:rPr>
                <w:rFonts w:ascii="Arial;sans-serif" w:hAnsi="Arial;sans-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256</w:t>
            </w:r>
            <w:r>
              <w:rPr>
                <w:color w:val="000000"/>
              </w:rPr>
              <w:t>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(2)Refer to Note 7, </w:t>
      </w:r>
      <w:r>
        <w:rPr>
          <w:rFonts w:ascii="Arial;sans-serif" w:hAnsi="Arial;sans-serif"/>
          <w:b w:val="false"/>
          <w:i/>
          <w:color w:val="000000"/>
          <w:sz w:val="16"/>
        </w:rPr>
        <w:t>Restructuring Program,</w:t>
      </w:r>
      <w:r>
        <w:rPr>
          <w:color w:val="000000"/>
        </w:rPr>
        <w:t xml:space="preserve">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(3)Refer to Note 9, </w:t>
      </w:r>
      <w:r>
        <w:rPr>
          <w:rFonts w:ascii="Arial;sans-serif" w:hAnsi="Arial;sans-serif"/>
          <w:b w:val="false"/>
          <w:i/>
          <w:color w:val="000000"/>
          <w:sz w:val="16"/>
        </w:rPr>
        <w:t>Financial Instruments</w:t>
      </w:r>
      <w:r>
        <w:rPr>
          <w:rFonts w:ascii="Arial;sans-serif" w:hAnsi="Arial;sans-serif"/>
          <w:b w:val="false"/>
          <w:color w:val="000000"/>
          <w:sz w:val="16"/>
        </w:rPr>
        <w:t xml:space="preserve">, and the </w:t>
      </w:r>
      <w:r>
        <w:rPr>
          <w:rFonts w:ascii="Arial;sans-serif" w:hAnsi="Arial;sans-serif"/>
          <w:b w:val="false"/>
          <w:i/>
          <w:color w:val="000000"/>
          <w:sz w:val="16"/>
        </w:rPr>
        <w:t>Non-GAAP Financial Measures</w:t>
      </w:r>
      <w:r>
        <w:rPr>
          <w:color w:val="000000"/>
        </w:rPr>
        <w:t xml:space="preserve"> </w:t>
      </w:r>
      <w:r>
        <w:rPr>
          <w:rFonts w:ascii="Arial;sans-serif" w:hAnsi="Arial;sans-serif"/>
          <w:b w:val="false"/>
          <w:color w:val="000000"/>
          <w:sz w:val="16"/>
        </w:rPr>
        <w:t>section at the end of this item for additional information on the unrealized gains/losses on commodity and forecasted currency transaction derivatives.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(4)Refer to Note 2, </w:t>
      </w:r>
      <w:r>
        <w:rPr>
          <w:rFonts w:ascii="Arial;sans-serif" w:hAnsi="Arial;sans-serif"/>
          <w:b w:val="false"/>
          <w:i/>
          <w:color w:val="000000"/>
          <w:sz w:val="16"/>
        </w:rPr>
        <w:t>Divestitures</w:t>
      </w:r>
      <w:r>
        <w:rPr>
          <w:rFonts w:ascii="Arial;sans-serif" w:hAnsi="Arial;sans-serif"/>
          <w:b w:val="false"/>
          <w:color w:val="000000"/>
          <w:sz w:val="16"/>
        </w:rPr>
        <w:t xml:space="preserve">, for additional information on the October 1, 2023 sale of the developed market gum business. Refer to Note 2, </w:t>
      </w:r>
      <w:r>
        <w:rPr>
          <w:rFonts w:ascii="Arial;sans-serif" w:hAnsi="Arial;sans-serif"/>
          <w:b w:val="false"/>
          <w:i/>
          <w:color w:val="000000"/>
          <w:sz w:val="16"/>
        </w:rPr>
        <w:t>Acquisitions and Divestitures</w:t>
      </w:r>
      <w:r>
        <w:rPr>
          <w:color w:val="000000"/>
        </w:rPr>
        <w:t xml:space="preserve"> </w:t>
      </w:r>
      <w:r>
        <w:rPr>
          <w:rFonts w:ascii="Arial;sans-serif" w:hAnsi="Arial;sans-serif"/>
          <w:b w:val="false"/>
          <w:color w:val="000000"/>
          <w:sz w:val="16"/>
        </w:rPr>
        <w:t xml:space="preserve">in our Annual Report on Form 10-K for the year ended December 31, 2023 for additional information on our 2022 acquisitions. </w:t>
      </w:r>
    </w:p>
    <w:p>
      <w:pPr>
        <w:pStyle w:val="TextBody"/>
        <w:bidi w:val="0"/>
        <w:spacing w:lineRule="auto" w:line="288" w:before="0" w:after="0"/>
        <w:ind w:left="0" w:right="0" w:hanging="360"/>
        <w:jc w:val="both"/>
        <w:rPr/>
      </w:pPr>
      <w:r>
        <w:rPr>
          <w:rFonts w:ascii="Arial;sans-serif" w:hAnsi="Arial;sans-serif"/>
          <w:b w:val="false"/>
          <w:color w:val="000000"/>
          <w:sz w:val="16"/>
        </w:rPr>
        <w:t xml:space="preserve">(5)Refer to Note 1, </w:t>
      </w:r>
      <w:r>
        <w:rPr>
          <w:rFonts w:ascii="Arial;sans-serif" w:hAnsi="Arial;sans-serif"/>
          <w:b w:val="false"/>
          <w:i/>
          <w:color w:val="000000"/>
          <w:sz w:val="16"/>
        </w:rPr>
        <w:t>Basis of Presentation</w:t>
      </w:r>
      <w:r>
        <w:rPr>
          <w:rFonts w:ascii="Arial;sans-serif" w:hAnsi="Arial;sans-serif"/>
          <w:b w:val="false"/>
          <w:color w:val="000000"/>
          <w:sz w:val="16"/>
        </w:rPr>
        <w:t xml:space="preserve">, for information on our accounting for the war in Ukraine and our application of highly inflationary accounting for Argentina and Türkiye.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49935"/>
                <wp:effectExtent l="0" t="0" r="0" b="0"/>
                <wp:wrapNone/>
                <wp:docPr id="102" name="Frame3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5" descr=""/>
                                          <pic:cNvPicPr>
                                            <a:picLocks noChangeAspect="1" noChangeArrowheads="1"/>
                                          </pic:cNvPicPr>
                                        </pic:nvPicPr>
                                        <pic:blipFill>
                                          <a:blip r:embed="rId7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first quarter of 2024, we realized higher net pricing, which was partially offset by increased input costs and unfavorable volume/mix. Higher net pricing, which included the carryover impact of pricing actions taken in 2023 as well as the effects of input cost-driven pricing actions taken during the first three months of 2024, was reflected across all regions. The increase in input costs was driven by higher raw material costs net of realized gains from our forward purchasing and hedging contracts, partially offset by lower manufacturing costs driven by productivity. Higher raw material costs were in part due to higher cocoa, sugar, nuts, and other ingredient costs, as well as unfavorable year-over-year currency exchange transaction costs on imported materials, partially offset by lower dairy, edible oils, grains, energy and packaging costs. Overall, volume/mix was due to volume declines partially offset by favorable product mix. Unfavorable volume/mix was driven by Europe, North America and Latin America, which was marginally offset by slightly favorable volume/mix in AMEA.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selling, general and administrative expenses increased $83 million from the first quarter of 2023, which reflected benefits from a number of factors noted in the table above, including in part, lower divestiture-related costs, the elimination of costs from the developed market gum business divested in 2023, lower acquisition integration costs and contingent consideration adjustments and lower remeasurement loss of net monetary position, marginally offset by higher implementation costs incurred for the Simplify to Grow program. Excluding these factors, selling, general and administrative expenses increased $138 million from the first quarter of 2023. The increase was driven primarily by higher advertising and consumer promotion costs and higher overhead costs in part due to increased investments in route to market capabilities.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Unfavorable currency-related items decreased operating income by $70 million primarily due to the strength of the U.S. dollar relative to most currencies, including the Argentinean peso, Russian ruble, Turkish lira, Chinese yuan, Australian dollar, Nigerian naira and Egyptian pound, partially offset by the strength of a few currencies relative to the U.S. dollar, primarily the British pound sterling, Mexican peso, Brazilian real, euro and Polish zloty.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income margin increased from 16.4% in the first quarter of 2023 to 29.4% in the first quarter of 2024. The increase in operating income margin was driven primarily by the favorable year-over-year change in mark-to-market gains/(losses) from currency and commodity hedging activities, higher Adjusted Operating Income margin, lower divestiture-related costs and lower remeasurement loss of net monetary position, partially offset by the impact from the developed market gum business divested in 2023 and higher costs incurred for the Simplify to Grow program. Adjusted Operating Income margin increased from 16.9% for the first quarter of 2023 to 18.5% for the first quarter of 2024. The increase was driven primarily by higher net pricing, lower manufacturing costs driven by productivity, favorable product mix and overhead cost leverage, partially offset by higher raw material costs and higher advertising and consumer promotion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49935"/>
                <wp:effectExtent l="0" t="0" r="0" b="0"/>
                <wp:wrapNone/>
                <wp:docPr id="105" name="Frame36"/>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6" descr=""/>
                                                <pic:cNvPicPr>
                                                  <a:picLocks noChangeAspect="1" noChangeArrowheads="1"/>
                                                </pic:cNvPicPr>
                                              </pic:nvPicPr>
                                              <pic:blipFill>
                                                <a:blip r:embed="rId7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6" descr=""/>
                                          <pic:cNvPicPr>
                                            <a:picLocks noChangeAspect="1" noChangeArrowheads="1"/>
                                          </pic:cNvPicPr>
                                        </pic:nvPicPr>
                                        <pic:blipFill>
                                          <a:blip r:embed="rId7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i/>
          <w:color w:val="000000"/>
          <w:sz w:val="20"/>
        </w:rPr>
        <w:t>Net Earnings and Earnings per Share Attributable to Mondelēz International</w:t>
      </w:r>
      <w:r>
        <w:rPr>
          <w:color w:val="000000"/>
        </w:rPr>
        <w:t xml:space="preserve"> – </w:t>
      </w:r>
      <w:r>
        <w:rPr>
          <w:rFonts w:ascii="Arial;sans-serif" w:hAnsi="Arial;sans-serif"/>
          <w:b w:val="false"/>
          <w:color w:val="000000"/>
          <w:sz w:val="20"/>
        </w:rPr>
        <w:t xml:space="preserve">Net earnings attributable to Mondelēz International of $1,412 million decreased by $669 million (32.1%) in the first quarter of 2024. Diluted EPS attributable to Mondelēz International was $1.04 in the first quarter of 2024, down $0.48 (31.6%) from the first quarter of 2023. Adjusted EPS </w:t>
      </w:r>
      <w:r>
        <w:rPr>
          <w:rFonts w:ascii="Arial;sans-serif" w:hAnsi="Arial;sans-serif"/>
          <w:b w:val="false"/>
          <w:color w:val="000000"/>
          <w:sz w:val="13"/>
        </w:rPr>
        <w:t>(1)</w:t>
      </w:r>
      <w:r>
        <w:rPr>
          <w:color w:val="000000"/>
        </w:rPr>
        <w:t> </w:t>
      </w:r>
      <w:r>
        <w:rPr>
          <w:rFonts w:ascii="Arial;sans-serif" w:hAnsi="Arial;sans-serif"/>
          <w:b w:val="false"/>
          <w:color w:val="000000"/>
          <w:sz w:val="20"/>
        </w:rPr>
        <w:t xml:space="preserve">was $0.95 in the first quarter of 2024, up $0.09 (10.5%) from the first quarter of 2023. Adjusted EPS on a constant currency basis </w:t>
      </w:r>
      <w:r>
        <w:rPr>
          <w:rFonts w:ascii="Arial;sans-serif" w:hAnsi="Arial;sans-serif"/>
          <w:b w:val="false"/>
          <w:color w:val="000000"/>
          <w:sz w:val="13"/>
        </w:rPr>
        <w:t>(1)</w:t>
      </w:r>
      <w:r>
        <w:rPr>
          <w:color w:val="000000"/>
        </w:rPr>
        <w:t> </w:t>
      </w:r>
      <w:r>
        <w:rPr>
          <w:rFonts w:ascii="Arial;sans-serif" w:hAnsi="Arial;sans-serif"/>
          <w:b w:val="false"/>
          <w:color w:val="000000"/>
          <w:sz w:val="20"/>
        </w:rPr>
        <w:t>was $1.00 in the first quarter of 2024, up $0.14 (16.3%) from the first quarter of 2023.</w:t>
      </w:r>
    </w:p>
    <w:tbl>
      <w:tblPr>
        <w:tblW w:w="10151" w:type="dxa"/>
        <w:jc w:val="left"/>
        <w:tblInd w:w="0" w:type="dxa"/>
        <w:tblLayout w:type="fixed"/>
        <w:tblCellMar>
          <w:top w:w="28" w:type="dxa"/>
          <w:left w:w="28" w:type="dxa"/>
          <w:bottom w:w="28" w:type="dxa"/>
          <w:right w:w="28" w:type="dxa"/>
        </w:tblCellMar>
      </w:tblPr>
      <w:tblGrid>
        <w:gridCol w:w="1821"/>
        <w:gridCol w:w="1601"/>
        <w:gridCol w:w="1603"/>
        <w:gridCol w:w="244"/>
        <w:gridCol w:w="626"/>
        <w:gridCol w:w="126"/>
        <w:gridCol w:w="126"/>
        <w:gridCol w:w="126"/>
        <w:gridCol w:w="126"/>
        <w:gridCol w:w="244"/>
        <w:gridCol w:w="626"/>
        <w:gridCol w:w="126"/>
        <w:gridCol w:w="109"/>
        <w:gridCol w:w="109"/>
        <w:gridCol w:w="109"/>
        <w:gridCol w:w="211"/>
        <w:gridCol w:w="601"/>
        <w:gridCol w:w="109"/>
        <w:gridCol w:w="109"/>
        <w:gridCol w:w="109"/>
        <w:gridCol w:w="109"/>
        <w:gridCol w:w="299"/>
        <w:gridCol w:w="301"/>
        <w:gridCol w:w="581"/>
      </w:tblGrid>
      <w:tr>
        <w:trPr/>
        <w:tc>
          <w:tcPr>
            <w:tcW w:w="182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EPS attributable to Mondelēz International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(31.6)</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Simplify to Grow Program </w:t>
            </w:r>
            <w:r>
              <w:rPr>
                <w:rFonts w:ascii="Arial;sans-serif" w:hAnsi="Arial;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Mark-to-market gains from derivatives </w:t>
            </w:r>
            <w:r>
              <w:rPr>
                <w:rFonts w:ascii="Arial;sans-serif" w:hAnsi="Arial;sans-serif"/>
                <w:b w:val="false"/>
                <w:color w:val="000000"/>
                <w:sz w:val="12"/>
              </w:rPr>
              <w:t>(2)</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Acquisition integration costs and </w:t>
            </w:r>
          </w:p>
          <w:p>
            <w:pPr>
              <w:pStyle w:val="TableContents"/>
              <w:bidi w:val="0"/>
              <w:spacing w:lineRule="auto" w:line="240" w:before="0" w:after="0"/>
              <w:ind w:left="0" w:right="0" w:firstLine="180"/>
              <w:jc w:val="left"/>
              <w:rPr/>
            </w:pPr>
            <w:r>
              <w:rPr>
                <w:color w:val="000000"/>
              </w:rPr>
              <w:t>   </w:t>
            </w:r>
            <w:r>
              <w:rPr>
                <w:rFonts w:ascii="Arial;sans-serif" w:hAnsi="Arial;sans-serif"/>
                <w:b w:val="false"/>
                <w:color w:val="000000"/>
                <w:sz w:val="20"/>
              </w:rPr>
              <w:t xml:space="preserve">contingent consideration adjustments </w:t>
            </w:r>
            <w:r>
              <w:rPr>
                <w:rFonts w:ascii="Arial;sans-serif" w:hAnsi="Arial;sans-serif"/>
                <w:b w:val="false"/>
                <w:color w:val="000000"/>
                <w:sz w:val="13"/>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Divestiture-related costs </w:t>
            </w:r>
            <w:r>
              <w:rPr>
                <w:rFonts w:ascii="Arial;sans-serif" w:hAnsi="Arial;sans-serif"/>
                <w:b w:val="false"/>
                <w:color w:val="000000"/>
                <w:sz w:val="12"/>
              </w:rPr>
              <w:t>(2)</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Operating results from divestitures </w:t>
            </w:r>
            <w:r>
              <w:rPr>
                <w:rFonts w:ascii="Arial;sans-serif" w:hAnsi="Arial;sans-serif"/>
                <w:b w:val="false"/>
                <w:color w:val="000000"/>
                <w:sz w:val="12"/>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Remeasurement of net monetary position </w:t>
            </w:r>
            <w:r>
              <w:rPr>
                <w:rFonts w:ascii="Arial;sans-serif" w:hAnsi="Arial;sans-serif"/>
                <w:b w:val="false"/>
                <w:color w:val="000000"/>
                <w:sz w:val="13"/>
              </w:rPr>
              <w:t>(2)</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Gain on marketable securities </w:t>
            </w:r>
            <w:r>
              <w:rPr>
                <w:rFonts w:ascii="Arial;sans-serif" w:hAnsi="Arial;sans-serif"/>
                <w:b w:val="false"/>
                <w:color w:val="000000"/>
                <w:sz w:val="13"/>
              </w:rPr>
              <w:t>(3)</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20"/>
              </w:rPr>
            </w:pPr>
            <w:r>
              <w:rPr>
                <w:rFonts w:ascii="Arial;sans-serif" w:hAnsi="Arial;sans-serif"/>
                <w:b w:val="false"/>
                <w:color w:val="000000"/>
                <w:sz w:val="20"/>
              </w:rPr>
              <w:t xml:space="preserve">Loss/(gain) on equity method investment transactions </w:t>
            </w:r>
          </w:p>
          <w:p>
            <w:pPr>
              <w:pStyle w:val="TableContents"/>
              <w:bidi w:val="0"/>
              <w:spacing w:lineRule="auto" w:line="240" w:before="0" w:after="0"/>
              <w:ind w:left="0" w:right="0" w:firstLine="180"/>
              <w:jc w:val="left"/>
              <w:rPr/>
            </w:pPr>
            <w:r>
              <w:rPr>
                <w:rFonts w:ascii="Arial;sans-serif" w:hAnsi="Arial;sans-serif"/>
                <w:b w:val="false"/>
                <w:color w:val="000000"/>
                <w:sz w:val="20"/>
              </w:rPr>
              <w:t xml:space="preserve">including impairments </w:t>
            </w:r>
            <w:r>
              <w:rPr>
                <w:rFonts w:ascii="Arial;sans-serif" w:hAnsi="Arial;sans-serif"/>
                <w:b w:val="false"/>
                <w:color w:val="000000"/>
                <w:sz w:val="13"/>
              </w:rPr>
              <w:t>(3)</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Arial;sans-serif" w:hAnsi="Arial;sans-serif"/>
                <w:b w:val="false"/>
                <w:color w:val="000000"/>
                <w:sz w:val="20"/>
              </w:rPr>
              <w:t xml:space="preserve">Equity method investee items </w:t>
            </w:r>
            <w:r>
              <w:rPr>
                <w:rFonts w:ascii="Arial;sans-serif" w:hAnsi="Arial;sans-serif"/>
                <w:b w:val="false"/>
                <w:color w:val="000000"/>
                <w:sz w:val="13"/>
              </w:rPr>
              <w:t>(4)</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Adjusted EPS </w:t>
            </w:r>
            <w:r>
              <w:rPr>
                <w:rFonts w:ascii="Arial;sans-serif" w:hAnsi="Arial;sans-serif"/>
                <w:b/>
                <w:color w:val="000000"/>
                <w:sz w:val="13"/>
              </w:rPr>
              <w:t>(1)</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0.86</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Currency-related items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Adjusted EPS (constant currency)</w:t>
            </w:r>
            <w:r>
              <w:rPr>
                <w:color w:val="000000"/>
              </w:rPr>
              <w:t xml:space="preserve"> </w:t>
            </w:r>
            <w:r>
              <w:rPr>
                <w:rFonts w:ascii="Arial;sans-serif" w:hAnsi="Arial;sans-serif"/>
                <w:b/>
                <w:color w:val="000000"/>
                <w:sz w:val="13"/>
              </w:rPr>
              <w:t>(1)</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0.86</w:t>
            </w: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w:t>
            </w: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100" w:after="283"/>
        <w:jc w:val="both"/>
        <w:rPr/>
      </w:pPr>
      <w:r>
        <w:rPr/>
      </w:r>
    </w:p>
    <w:tbl>
      <w:tblPr>
        <w:tblW w:w="7848" w:type="dxa"/>
        <w:jc w:val="left"/>
        <w:tblInd w:w="0" w:type="dxa"/>
        <w:tblLayout w:type="fixed"/>
        <w:tblCellMar>
          <w:top w:w="28" w:type="dxa"/>
          <w:left w:w="28" w:type="dxa"/>
          <w:bottom w:w="28" w:type="dxa"/>
          <w:right w:w="28" w:type="dxa"/>
        </w:tblCellMar>
      </w:tblPr>
      <w:tblGrid>
        <w:gridCol w:w="1804"/>
        <w:gridCol w:w="1585"/>
        <w:gridCol w:w="1591"/>
        <w:gridCol w:w="109"/>
        <w:gridCol w:w="109"/>
        <w:gridCol w:w="109"/>
        <w:gridCol w:w="109"/>
        <w:gridCol w:w="109"/>
        <w:gridCol w:w="109"/>
        <w:gridCol w:w="109"/>
        <w:gridCol w:w="109"/>
        <w:gridCol w:w="109"/>
        <w:gridCol w:w="109"/>
        <w:gridCol w:w="109"/>
        <w:gridCol w:w="109"/>
        <w:gridCol w:w="211"/>
        <w:gridCol w:w="541"/>
        <w:gridCol w:w="109"/>
        <w:gridCol w:w="109"/>
        <w:gridCol w:w="109"/>
        <w:gridCol w:w="109"/>
        <w:gridCol w:w="109"/>
        <w:gridCol w:w="109"/>
        <w:gridCol w:w="154"/>
      </w:tblGrid>
      <w:tr>
        <w:trPr/>
        <w:tc>
          <w:tcPr>
            <w:tcW w:w="1804"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Key Drivers of Adjusted EPS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Change in interest and other expense, net </w:t>
            </w:r>
            <w:r>
              <w:rPr>
                <w:rFonts w:ascii="Arial;sans-serif" w:hAnsi="Arial;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Change in income taxes</w:t>
            </w:r>
            <w:r>
              <w:rPr>
                <w:color w:val="000000"/>
              </w:rPr>
              <w:t xml:space="preserve"> </w:t>
            </w:r>
            <w:r>
              <w:rPr>
                <w:rFonts w:ascii="Arial;sans-serif" w:hAnsi="Arial;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Change in shares outstanding </w:t>
            </w:r>
            <w:r>
              <w:rPr>
                <w:rFonts w:ascii="Arial;sans-serif" w:hAnsi="Arial;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Total change in Adjusted EPS (constant currency) </w:t>
            </w:r>
            <w:r>
              <w:rPr>
                <w:rFonts w:ascii="Arial;sans-serif" w:hAnsi="Arial;sans-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Arial;sans-serif" w:hAnsi="Arial;sans-serif"/>
          <w:b w:val="false"/>
          <w:color w:val="000000"/>
          <w:sz w:val="16"/>
        </w:rPr>
        <w:t xml:space="preserve">(1)Refer to the </w:t>
      </w:r>
      <w:r>
        <w:rPr>
          <w:rFonts w:ascii="Arial;sans-serif" w:hAnsi="Arial;sans-serif"/>
          <w:b w:val="false"/>
          <w:i/>
          <w:color w:val="000000"/>
          <w:sz w:val="16"/>
        </w:rPr>
        <w:t xml:space="preserve">Non-GAAP Financial Measures </w:t>
      </w:r>
      <w:r>
        <w:rPr>
          <w:rFonts w:ascii="Arial;sans-serif" w:hAnsi="Arial;sans-serif"/>
          <w:b w:val="false"/>
          <w:color w:val="000000"/>
          <w:sz w:val="16"/>
        </w:rPr>
        <w:t>section appearing later in this section. The tax expense/(benefit) of each of the pre-tax items excluded from our U.S. GAAP results was computed based on the facts and tax assumptions associated with each item, and such impacts have also been excluded from Adjusted EPS.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For the three months ended March 31, 2024, taxes for the: Simplify to Grow Program were $(11) million, mark-to-market gains from derivatives were $227 million, acquisition integration costs and contingent consideration adjustments were $(10) million, remeasurement of net monetary position were zero, loss</w:t>
      </w:r>
      <w:r>
        <w:rPr>
          <w:color w:val="000000"/>
        </w:rPr>
        <w:t xml:space="preserve"> </w:t>
      </w:r>
      <w:r>
        <w:rPr>
          <w:rFonts w:ascii="Arial;sans-serif" w:hAnsi="Arial;sans-serif"/>
          <w:b w:val="false"/>
          <w:color w:val="000000"/>
          <w:sz w:val="16"/>
        </w:rPr>
        <w:t>on equity method investment transactions including impairments were zero</w:t>
      </w:r>
      <w:r>
        <w:rPr>
          <w:color w:val="000000"/>
        </w:rPr>
        <w:t xml:space="preserve"> </w:t>
      </w:r>
      <w:r>
        <w:rPr>
          <w:rFonts w:ascii="Arial;sans-serif" w:hAnsi="Arial;sans-serif"/>
          <w:b w:val="false"/>
          <w:color w:val="000000"/>
          <w:sz w:val="16"/>
        </w:rPr>
        <w:t>and equity method investee items were zero.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6"/>
        </w:rPr>
        <w:t>For the three months ended March 31, 2023, taxes for the: Simplify to Grow Program were $(6) million, mark-to-market gains from derivatives were $8 million, acquisition integration costs and contingent consideration adjustments were $(13) million, divestiture-related costs were $(4) million, operating results from divestitures were $16 million, remeasurement of net monetary position were zero, gain on marketable securities were $201 million, gain on equity method investment transactions were $125 million and equity method investee items were zero.</w:t>
      </w:r>
    </w:p>
    <w:p>
      <w:pPr>
        <w:pStyle w:val="TextBody"/>
        <w:bidi w:val="0"/>
        <w:spacing w:lineRule="auto" w:line="288" w:before="0" w:after="0"/>
        <w:ind w:left="0" w:right="0" w:hanging="360"/>
        <w:jc w:val="both"/>
        <w:rPr/>
      </w:pPr>
      <w:r>
        <w:rPr>
          <w:rFonts w:ascii="Arial;sans-serif" w:hAnsi="Arial;sans-serif"/>
          <w:b w:val="false"/>
          <w:color w:val="000000"/>
          <w:sz w:val="16"/>
        </w:rPr>
        <w:t xml:space="preserve">(2)See the </w:t>
      </w:r>
      <w:r>
        <w:rPr>
          <w:rFonts w:ascii="Arial;sans-serif" w:hAnsi="Arial;sans-serif"/>
          <w:b w:val="false"/>
          <w:i/>
          <w:color w:val="000000"/>
          <w:sz w:val="16"/>
        </w:rPr>
        <w:t>Operating Income</w:t>
      </w:r>
      <w:r>
        <w:rPr>
          <w:color w:val="000000"/>
        </w:rPr>
        <w:t xml:space="preserve"> </w:t>
      </w:r>
      <w:r>
        <w:rPr>
          <w:rFonts w:ascii="Arial;sans-serif" w:hAnsi="Arial;sans-serif"/>
          <w:b w:val="false"/>
          <w:color w:val="000000"/>
          <w:sz w:val="16"/>
        </w:rPr>
        <w:t>table above and the related footnotes for additional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(3)Refer to Note 6, </w:t>
      </w:r>
      <w:r>
        <w:rPr>
          <w:rFonts w:ascii="Arial;sans-serif" w:hAnsi="Arial;sans-serif"/>
          <w:b w:val="false"/>
          <w:i/>
          <w:color w:val="000000"/>
          <w:sz w:val="16"/>
        </w:rPr>
        <w:t>Investments</w:t>
      </w:r>
      <w:r>
        <w:rPr>
          <w:rFonts w:ascii="Arial;sans-serif" w:hAnsi="Arial;sans-serif"/>
          <w:b w:val="false"/>
          <w:color w:val="000000"/>
          <w:sz w:val="16"/>
        </w:rPr>
        <w:t>, for additional information on gains/losses (including non-cash impairment charges) on equity method investment transactions and marketable securities.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(4)Includes our proportionate share of significant operating and non-operating items recorded by our JDE Peet's equity method investee, such as acquisition and divestiture-related costs and restructuring program costs.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(5)Excludes the currency impact on interest expense related to non-U.S. dollar-denominated debt, which is included in currency translation.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(6)Refer to Note 14, </w:t>
      </w:r>
      <w:r>
        <w:rPr>
          <w:rFonts w:ascii="Arial;sans-serif" w:hAnsi="Arial;sans-serif"/>
          <w:b w:val="false"/>
          <w:i/>
          <w:color w:val="000000"/>
          <w:sz w:val="16"/>
        </w:rPr>
        <w:t>Income Taxes</w:t>
      </w:r>
      <w:r>
        <w:rPr>
          <w:rFonts w:ascii="Arial;sans-serif" w:hAnsi="Arial;sans-serif"/>
          <w:b w:val="false"/>
          <w:color w:val="000000"/>
          <w:sz w:val="16"/>
        </w:rPr>
        <w:t xml:space="preserve">, for additional information on the items affecting income taxes. </w:t>
      </w:r>
    </w:p>
    <w:p>
      <w:pPr>
        <w:pStyle w:val="TextBody"/>
        <w:bidi w:val="0"/>
        <w:spacing w:lineRule="auto" w:line="288" w:before="0" w:after="0"/>
        <w:ind w:left="0" w:right="0" w:hanging="360"/>
        <w:jc w:val="both"/>
        <w:rPr/>
      </w:pPr>
      <w:r>
        <w:rPr>
          <w:rFonts w:ascii="Arial;sans-serif" w:hAnsi="Arial;sans-serif"/>
          <w:b w:val="false"/>
          <w:color w:val="000000"/>
          <w:sz w:val="16"/>
        </w:rPr>
        <w:t xml:space="preserve">(7)Refer to Note 11, </w:t>
      </w:r>
      <w:r>
        <w:rPr>
          <w:rFonts w:ascii="Arial;sans-serif" w:hAnsi="Arial;sans-serif"/>
          <w:b w:val="false"/>
          <w:i/>
          <w:color w:val="000000"/>
          <w:sz w:val="16"/>
        </w:rPr>
        <w:t>Stock Plans</w:t>
      </w:r>
      <w:r>
        <w:rPr>
          <w:rFonts w:ascii="Arial;sans-serif" w:hAnsi="Arial;sans-serif"/>
          <w:b w:val="false"/>
          <w:color w:val="000000"/>
          <w:sz w:val="16"/>
        </w:rPr>
        <w:t xml:space="preserve">, for additional information on our equity compensation programs and share repurchase program and Note 15, </w:t>
      </w:r>
      <w:r>
        <w:rPr>
          <w:rFonts w:ascii="Arial;sans-serif" w:hAnsi="Arial;sans-serif"/>
          <w:b w:val="false"/>
          <w:i/>
          <w:color w:val="000000"/>
          <w:sz w:val="16"/>
        </w:rPr>
        <w:t>Earnings per Share</w:t>
      </w:r>
      <w:r>
        <w:rPr>
          <w:rFonts w:ascii="Arial;sans-serif" w:hAnsi="Arial;sans-serif"/>
          <w:b w:val="false"/>
          <w:color w:val="000000"/>
          <w:sz w:val="16"/>
        </w:rPr>
        <w:t>, for earnings per share weighted-average share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49935"/>
                <wp:effectExtent l="0" t="0" r="0" b="0"/>
                <wp:wrapNone/>
                <wp:docPr id="108" name="Frame37"/>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0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7" descr=""/>
                                                <pic:cNvPicPr>
                                                  <a:picLocks noChangeAspect="1" noChangeArrowheads="1"/>
                                                </pic:cNvPicPr>
                                              </pic:nvPicPr>
                                              <pic:blipFill>
                                                <a:blip r:embed="rId7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7" descr=""/>
                                          <pic:cNvPicPr>
                                            <a:picLocks noChangeAspect="1" noChangeArrowheads="1"/>
                                          </pic:cNvPicPr>
                                        </pic:nvPicPr>
                                        <pic:blipFill>
                                          <a:blip r:embed="rId7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Results of Operations by Reportable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operations and management structure are organized into four operating segments: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Latin America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AMEA</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Europe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North America</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use segment operating income to evaluate segment performance and allocate resources. We believe it is appropriate to disclose this measure to help investors analyze segment performance and trends. See Note 16, </w:t>
      </w:r>
      <w:r>
        <w:rPr>
          <w:rFonts w:ascii="Arial;sans-serif" w:hAnsi="Arial;sans-serif"/>
          <w:b w:val="false"/>
          <w:i/>
          <w:color w:val="000000"/>
          <w:sz w:val="20"/>
        </w:rPr>
        <w:t>Segment Reporting,</w:t>
      </w:r>
      <w:r>
        <w:rPr>
          <w:color w:val="000000"/>
        </w:rPr>
        <w:t xml:space="preserve"> </w:t>
      </w:r>
      <w:r>
        <w:rPr>
          <w:rFonts w:ascii="Arial;sans-serif" w:hAnsi="Arial;sans-serif"/>
          <w:b w:val="false"/>
          <w:color w:val="000000"/>
          <w:sz w:val="20"/>
        </w:rPr>
        <w:t xml:space="preserve">for additional information on our segments and </w:t>
      </w:r>
      <w:r>
        <w:rPr>
          <w:rFonts w:ascii="Arial;sans-serif" w:hAnsi="Arial;sans-serif"/>
          <w:b w:val="false"/>
          <w:i/>
          <w:color w:val="000000"/>
          <w:sz w:val="20"/>
        </w:rPr>
        <w:t>Items Affecting Comparability of Financial Results</w:t>
      </w:r>
      <w:r>
        <w:rPr>
          <w:color w:val="000000"/>
        </w:rPr>
        <w:t xml:space="preserve"> </w:t>
      </w:r>
      <w:r>
        <w:rPr>
          <w:rFonts w:ascii="Arial;sans-serif" w:hAnsi="Arial;sans-serif"/>
          <w:b w:val="false"/>
          <w:color w:val="000000"/>
          <w:sz w:val="20"/>
        </w:rPr>
        <w:t>earlier in this section for items affecting our segment operating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segment net revenues and earnings were:</w:t>
      </w:r>
    </w:p>
    <w:tbl>
      <w:tblPr>
        <w:tblW w:w="6253" w:type="dxa"/>
        <w:jc w:val="left"/>
        <w:tblInd w:w="0" w:type="dxa"/>
        <w:tblLayout w:type="fixed"/>
        <w:tblCellMar>
          <w:top w:w="28" w:type="dxa"/>
          <w:left w:w="28" w:type="dxa"/>
          <w:bottom w:w="28" w:type="dxa"/>
          <w:right w:w="28" w:type="dxa"/>
        </w:tblCellMar>
      </w:tblPr>
      <w:tblGrid>
        <w:gridCol w:w="1235"/>
        <w:gridCol w:w="1081"/>
        <w:gridCol w:w="1088"/>
        <w:gridCol w:w="221"/>
        <w:gridCol w:w="678"/>
        <w:gridCol w:w="114"/>
        <w:gridCol w:w="114"/>
        <w:gridCol w:w="114"/>
        <w:gridCol w:w="114"/>
        <w:gridCol w:w="221"/>
        <w:gridCol w:w="678"/>
        <w:gridCol w:w="114"/>
        <w:gridCol w:w="109"/>
        <w:gridCol w:w="109"/>
        <w:gridCol w:w="109"/>
        <w:gridCol w:w="154"/>
      </w:tblGrid>
      <w:tr>
        <w:trPr/>
        <w:tc>
          <w:tcPr>
            <w:tcW w:w="123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sz w:val="20"/>
              </w:rPr>
              <w:br/>
            </w:r>
            <w:r>
              <w:rPr>
                <w:rFonts w:ascii="Arial;sans-serif" w:hAnsi="Arial;sans-serif"/>
                <w:b w:val="false"/>
                <w:color w:val="000000"/>
                <w:sz w:val="20"/>
              </w:rPr>
              <w:t>Earnings before income taxes:</w:t>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Unrealized gains on hedging activities</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(mark-to-market impacts)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corporate expenses</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plan non-service income</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expense, net</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Gain on marketable securities</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before income taxes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49935"/>
                <wp:effectExtent l="0" t="0" r="0" b="0"/>
                <wp:wrapNone/>
                <wp:docPr id="111" name="Frame38"/>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 descr=""/>
                                                <pic:cNvPicPr>
                                                  <a:picLocks noChangeAspect="1" noChangeArrowheads="1"/>
                                                </pic:cNvPicPr>
                                              </pic:nvPicPr>
                                              <pic:blipFill>
                                                <a:blip r:embed="rId7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8" descr=""/>
                                          <pic:cNvPicPr>
                                            <a:picLocks noChangeAspect="1" noChangeArrowheads="1"/>
                                          </pic:cNvPicPr>
                                        </pic:nvPicPr>
                                        <pic:blipFill>
                                          <a:blip r:embed="rId7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Latin America</w:t>
      </w:r>
    </w:p>
    <w:tbl>
      <w:tblPr>
        <w:tblW w:w="7444"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25"/>
        <w:gridCol w:w="514"/>
        <w:gridCol w:w="117"/>
        <w:gridCol w:w="109"/>
        <w:gridCol w:w="109"/>
        <w:gridCol w:w="109"/>
        <w:gridCol w:w="270"/>
        <w:gridCol w:w="27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449"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2632"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27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increased $108 million (8.9%), due to higher net pricing (8.3 pp) and favorable impact of currency-related items (1.8 pp), partially offset by unfavorable volume/mix (1.2 pp). Higher net pricing, net of the adjustment for extreme pricing in Argentina, was driven by input cost-driven pricing actions and reflected across all categories, primarily in Argentina, Mexico and Brazil. Currency-related items were net positive due to the adjustment for extreme pricing in Argentina, which was mostly offset by unfavorable currency translation rate changes. Unfavorable currency translation impacts were primarily due to the strength of the U.S. dollar relative to a few currencies in the region, primarily the Argentinean peso and Chilean peso, partially offset by the strength of several currencies relative to the U.S. dollar, primarily the Mexican peso and Brazilian real. Unfavorable volume/mix was driven by declines in chocolate, biscuits &amp; baked snacks, candy and cheese &amp; grocery, partially offset by gains in refreshment beverages and gum.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$18 million (12.9%), primarily due to higher net pricing, lower other selling, general and administrative expenses, lower remeasurement loss on net monetary position and lower manufacturing costs driven by productivity. These favorable items were partially offset by higher raw material costs, unfavorable currency-related items, higher acquisition integration costs, higher advertising and consumer promotion costs and unfavorable volume/mix.</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AMEA</w:t>
      </w:r>
    </w:p>
    <w:tbl>
      <w:tblPr>
        <w:tblW w:w="7444"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59"/>
        <w:gridCol w:w="462"/>
        <w:gridCol w:w="135"/>
        <w:gridCol w:w="109"/>
        <w:gridCol w:w="109"/>
        <w:gridCol w:w="109"/>
        <w:gridCol w:w="270"/>
        <w:gridCol w:w="27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449"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449"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2632"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increased $11 million (0.6%), due to higher net pricing (6.1 pp), mostly offset by unfavorable currency (5.3 pp) and unfavorable volume/mix (0.2 pp). Higher net pricing, driven by input cost-driven pricing actions, was reflected across all categories. Unfavorable currency translation impacts were due to the strength of the U.S. dollar relative to most currencies in the region, including the Nigerian naira, Chinese yuan, Australian dollar and Egyptian pound. Overall, unfavorable volume/mix was impacted by geopolitical events in the Middle East and Southeast Asia. Unfavorable volume/mix was driven by declines in biscuits &amp; baked snacks, refreshment beverages and cheese &amp; grocery, mostly offset by gains in gum, chocolate and candy.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$51 million (14.2%), primarily due to higher net pricing and lower manufacturing costs driven by productivity. These favorable items were partially offset by higher other selling, general and administrative expenses, higher raw material costs, unfavorable currency translation rate changes and higher advertising and consumer promotion costs.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49935"/>
                <wp:effectExtent l="0" t="0" r="0" b="0"/>
                <wp:wrapNone/>
                <wp:docPr id="114" name="Frame3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9" descr=""/>
                                                <pic:cNvPicPr>
                                                  <a:picLocks noChangeAspect="1" noChangeArrowheads="1"/>
                                                </pic:cNvPicPr>
                                              </pic:nvPicPr>
                                              <pic:blipFill>
                                                <a:blip r:embed="rId7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9" descr=""/>
                                          <pic:cNvPicPr>
                                            <a:picLocks noChangeAspect="1" noChangeArrowheads="1"/>
                                          </pic:cNvPicPr>
                                        </pic:nvPicPr>
                                        <pic:blipFill>
                                          <a:blip r:embed="rId7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Europe</w:t>
      </w:r>
    </w:p>
    <w:tbl>
      <w:tblPr>
        <w:tblW w:w="7444"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59"/>
        <w:gridCol w:w="462"/>
        <w:gridCol w:w="135"/>
        <w:gridCol w:w="109"/>
        <w:gridCol w:w="109"/>
        <w:gridCol w:w="109"/>
        <w:gridCol w:w="270"/>
        <w:gridCol w:w="271"/>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449"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449"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2632"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increased $61 million (1.8%), due to higher net pricing (7.9 pp) and the impact from short-term distributor agreements (0.8 pp), partially offset by unfavorable volume/mix (3.5 pp), the impact of divestitures (1.8 pp) and unfavorable currency translation rate changes (1.6 pp). Higher net pricing, driven by input cost-driven pricing actions, was reflected across all categories except cheese &amp; grocery. The short-term distributor agreement related to the October 1, 2023 sale of our developed market gum business added incremental net revenues of $25 million. Overall, unfavorable volume/mix reflected volume declines due to the impact from customer price negotiation disruptions, partially offset by favorable product mix. Unfavorable volume/mix was driven by declines in biscuits &amp; baked snacks, chocolate, gum, candy and refreshment beverages, partially offset by a gain in cheese &amp; grocery. The impact of our 2023 divestiture of the developed market gum business resulted in a year-over-year reduction in net revenues of $55 million. Unfavorable currency translation rate changes reflected the strength of the U.S. dollar relative to several currencies across the region, including the Russian ruble and Turkish lira, partially offset by the strength of several currencies relative to the U.S. dollar, including the British pound sterling, euro and Polish zloty.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increased $84 million (16.6%), primarily due to higher net pricing, lower manufacturing costs driven by productivity, lower divestiture-related costs and lower acquisition integration costs. These favorable items were partially offset by higher raw material costs, higher other selling, general and administrative expenses, unfavorable volume/mix, higher advertising and consumer promotion costs, lapping prior-year operating results from the developed market gum business divested in 2023, unfavorable currency translation rate changes, higher costs incurred for the Simplify to Grow Program and higher remeasurement loss on net monetary position.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North America</w:t>
      </w:r>
    </w:p>
    <w:tbl>
      <w:tblPr>
        <w:tblW w:w="7399" w:type="dxa"/>
        <w:jc w:val="left"/>
        <w:tblInd w:w="0" w:type="dxa"/>
        <w:tblLayout w:type="fixed"/>
        <w:tblCellMar>
          <w:top w:w="28" w:type="dxa"/>
          <w:left w:w="28" w:type="dxa"/>
          <w:bottom w:w="28" w:type="dxa"/>
          <w:right w:w="28" w:type="dxa"/>
        </w:tblCellMar>
      </w:tblPr>
      <w:tblGrid>
        <w:gridCol w:w="886"/>
        <w:gridCol w:w="776"/>
        <w:gridCol w:w="782"/>
        <w:gridCol w:w="221"/>
        <w:gridCol w:w="678"/>
        <w:gridCol w:w="114"/>
        <w:gridCol w:w="114"/>
        <w:gridCol w:w="114"/>
        <w:gridCol w:w="114"/>
        <w:gridCol w:w="221"/>
        <w:gridCol w:w="678"/>
        <w:gridCol w:w="114"/>
        <w:gridCol w:w="109"/>
        <w:gridCol w:w="109"/>
        <w:gridCol w:w="109"/>
        <w:gridCol w:w="259"/>
        <w:gridCol w:w="462"/>
        <w:gridCol w:w="135"/>
        <w:gridCol w:w="109"/>
        <w:gridCol w:w="109"/>
        <w:gridCol w:w="109"/>
        <w:gridCol w:w="248"/>
        <w:gridCol w:w="248"/>
        <w:gridCol w:w="581"/>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Change</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404"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404" w:type="dxa"/>
            <w:gridSpan w:val="6"/>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2587" w:type="dxa"/>
            <w:gridSpan w:val="12"/>
            <w:tcBorders/>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Three Months Ended March 31: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Net revenues decreased $56 million (2.1%), due to the impact of divestitures (3.5 pp) and unfavorable volume/mix (2.1 pp), partially offset by higher net pricing (3.4 pp) and favorable currency (0.1 pp). The impact of our 2023 divestiture of the developed market gum business resulted in a year-over-year reduction in net revenues of $92 million. Overall, unfavorable volume/mix reflected consumer softness in the U.S. Unfavorable volume/mix was driven by declines in biscuits &amp; baked snacks and candy, partially offset by a gain in chocolate. Higher net pricing, driven by input cost-driven pricing actions, was reflected across all categories. Favorable currency impact was due to the strength of the Canadian dollar relative to the U.S. dollar.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Segment operating income decreased $17 million (3.0%), primarily due to lapping prior-year operating results from the developed market gum business divested in 2023, higher raw material costs, higher advertising and consumer promotion costs, unfavorable volume/mix, higher costs incurred for the Simplify to Grow Program and higher other selling, general and administrative expenses. These unfavorable items were partially offset by higher net pricing, lower acquisition integration costs and contingent consideration adjustments, lower fixed asset impairment charges and lower manufacturing costs due to productivity.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49935"/>
                <wp:effectExtent l="0" t="0" r="0" b="0"/>
                <wp:wrapNone/>
                <wp:docPr id="117" name="Frame40"/>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0" descr=""/>
                                                <pic:cNvPicPr>
                                                  <a:picLocks noChangeAspect="1" noChangeArrowheads="1"/>
                                                </pic:cNvPicPr>
                                              </pic:nvPicPr>
                                              <pic:blipFill>
                                                <a:blip r:embed="rId7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1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0" descr=""/>
                                          <pic:cNvPicPr>
                                            <a:picLocks noChangeAspect="1" noChangeArrowheads="1"/>
                                          </pic:cNvPicPr>
                                        </pic:nvPicPr>
                                        <pic:blipFill>
                                          <a:blip r:embed="rId8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Our investment in JDE Peet's provides us additional flexibility. Overall, we do not expect negative effects to our funding sources that would have a material effect on our liquidity, and we continue to monitor our global operations including the impact of ongoing or new developments in Ukraine and the Middle East.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one-time non-operating items.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Long-term cash requirements primarily relate to funding long-term debt repayments (refer to Note 8, </w:t>
      </w:r>
      <w:r>
        <w:rPr>
          <w:rFonts w:ascii="Arial;sans-serif" w:hAnsi="Arial;sans-serif"/>
          <w:b w:val="false"/>
          <w:i/>
          <w:color w:val="000000"/>
          <w:sz w:val="20"/>
        </w:rPr>
        <w:t>Debt and Borrowing Arrangements</w:t>
      </w:r>
      <w:r>
        <w:rPr>
          <w:rFonts w:ascii="Arial;sans-serif" w:hAnsi="Arial;sans-serif"/>
          <w:b w:val="false"/>
          <w:color w:val="000000"/>
          <w:sz w:val="20"/>
        </w:rPr>
        <w:t xml:space="preserve">), our U.S. tax reform transition tax liability and deferred taxes (refer to Note 16, </w:t>
      </w:r>
      <w:r>
        <w:rPr>
          <w:rFonts w:ascii="Arial;sans-serif" w:hAnsi="Arial;sans-serif"/>
          <w:b w:val="false"/>
          <w:i/>
          <w:color w:val="000000"/>
          <w:sz w:val="20"/>
        </w:rPr>
        <w:t>Income Taxes,</w:t>
      </w:r>
      <w:r>
        <w:rPr>
          <w:color w:val="000000"/>
        </w:rPr>
        <w:t xml:space="preserve"> </w:t>
      </w:r>
      <w:r>
        <w:rPr>
          <w:rFonts w:ascii="Arial;sans-serif" w:hAnsi="Arial;sans-serif"/>
          <w:b w:val="false"/>
          <w:color w:val="000000"/>
          <w:sz w:val="20"/>
        </w:rPr>
        <w:t xml:space="preserve">in our Annual Report on Form 10-K for the year ended December 31, 2023), our long-term benefit plan obligations (refer to Note 10, </w:t>
      </w:r>
      <w:r>
        <w:rPr>
          <w:rFonts w:ascii="Arial;sans-serif" w:hAnsi="Arial;sans-serif"/>
          <w:b w:val="false"/>
          <w:i/>
          <w:color w:val="000000"/>
          <w:sz w:val="20"/>
        </w:rPr>
        <w:t xml:space="preserve">Benefit Plans,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Note 11</w:t>
      </w:r>
      <w:r>
        <w:rPr>
          <w:rFonts w:ascii="Arial;sans-serif" w:hAnsi="Arial;sans-serif"/>
          <w:b w:val="false"/>
          <w:i/>
          <w:color w:val="000000"/>
          <w:sz w:val="20"/>
        </w:rPr>
        <w:t>, Benefit Plans,</w:t>
      </w:r>
      <w:r>
        <w:rPr>
          <w:color w:val="000000"/>
        </w:rPr>
        <w:t xml:space="preserve"> </w:t>
      </w:r>
      <w:r>
        <w:rPr>
          <w:rFonts w:ascii="Arial;sans-serif" w:hAnsi="Arial;sans-serif"/>
          <w:b w:val="false"/>
          <w:color w:val="000000"/>
          <w:sz w:val="20"/>
        </w:rPr>
        <w:t xml:space="preserve">in our Annual report on Form 10-K for the year ended December 31, 2023) and commodity-related purchase commitments and derivative contracts (refer to Note 9, </w:t>
      </w:r>
      <w:r>
        <w:rPr>
          <w:rFonts w:ascii="Arial;sans-serif" w:hAnsi="Arial;sans-serif"/>
          <w:b w:val="false"/>
          <w:i/>
          <w:color w:val="000000"/>
          <w:sz w:val="20"/>
        </w:rPr>
        <w:t>Financial Instruments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generally fund short- and long-term cash requirements with cash from operating activities as well as cash proceeds from short- and long-term debt financing (refer to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 xml:space="preserve">below). We generally do not use equity to fund our ongoing obligations.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pStyle w:val="TextBody"/>
        <w:bidi w:val="0"/>
        <w:spacing w:before="0" w:after="0"/>
        <w:jc w:val="both"/>
        <w:rPr/>
      </w:pPr>
      <w:r>
        <w:rPr/>
      </w:r>
    </w:p>
    <w:tbl>
      <w:tblPr>
        <w:tblW w:w="5360" w:type="dxa"/>
        <w:jc w:val="left"/>
        <w:tblInd w:w="0" w:type="dxa"/>
        <w:tblLayout w:type="fixed"/>
        <w:tblCellMar>
          <w:top w:w="28" w:type="dxa"/>
          <w:left w:w="28" w:type="dxa"/>
          <w:bottom w:w="28" w:type="dxa"/>
          <w:right w:w="28" w:type="dxa"/>
        </w:tblCellMar>
      </w:tblPr>
      <w:tblGrid>
        <w:gridCol w:w="1035"/>
        <w:gridCol w:w="909"/>
        <w:gridCol w:w="915"/>
        <w:gridCol w:w="221"/>
        <w:gridCol w:w="676"/>
        <w:gridCol w:w="114"/>
        <w:gridCol w:w="114"/>
        <w:gridCol w:w="114"/>
        <w:gridCol w:w="114"/>
        <w:gridCol w:w="239"/>
        <w:gridCol w:w="732"/>
        <w:gridCol w:w="177"/>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Three Months Ended</w:t>
              <w:br/>
              <w:t>March 31,</w:t>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3" w:before="0" w:after="0"/>
              <w:jc w:val="center"/>
              <w:rPr>
                <w:rFonts w:ascii="Arial;sans-serif" w:hAnsi="Arial;sans-serif"/>
                <w:b/>
                <w:color w:val="000000"/>
                <w:sz w:val="16"/>
              </w:rPr>
            </w:pPr>
            <w:r>
              <w:rPr>
                <w:rFonts w:ascii="Arial;sans-serif" w:hAnsi="Arial;sans-serif"/>
                <w:b/>
                <w:color w:val="000000"/>
                <w:sz w:val="16"/>
              </w:rPr>
              <w:t>2024</w:t>
            </w:r>
          </w:p>
        </w:tc>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23" w:before="0" w:after="0"/>
              <w:ind w:left="0" w:right="0" w:firstLine="637"/>
              <w:jc w:val="center"/>
              <w:rPr>
                <w:rFonts w:ascii="Arial;sans-serif" w:hAnsi="Arial;sans-serif"/>
                <w:b/>
                <w:color w:val="000000"/>
                <w:sz w:val="16"/>
              </w:rPr>
            </w:pPr>
            <w:r>
              <w:rPr>
                <w:rFonts w:ascii="Arial;sans-serif" w:hAnsi="Arial;sans-serif"/>
                <w:b/>
                <w:color w:val="000000"/>
                <w:sz w:val="16"/>
              </w:rPr>
              <w:t>2023</w:t>
            </w:r>
          </w:p>
        </w:tc>
      </w:tr>
      <w:tr>
        <w:trPr/>
        <w:tc>
          <w:tcPr>
            <w:tcW w:w="2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millions)</w:t>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5"/>
              <w:jc w:val="left"/>
              <w:rPr>
                <w:rFonts w:ascii="Arial;sans-serif" w:hAnsi="Arial;sans-serif"/>
                <w:b w:val="false"/>
                <w:color w:val="000000"/>
                <w:sz w:val="20"/>
              </w:rPr>
            </w:pPr>
            <w:r>
              <w:rPr>
                <w:rFonts w:ascii="Arial;sans-serif" w:hAnsi="Arial;sans-serif"/>
                <w:b w:val="false"/>
                <w:color w:val="000000"/>
                <w:sz w:val="20"/>
              </w:rPr>
              <w:t>Net cash provided by (used in):</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1,123 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28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firstLine="25"/>
              <w:jc w:val="left"/>
              <w:rPr>
                <w:sz w:val="4"/>
                <w:szCs w:val="4"/>
              </w:rPr>
            </w:pPr>
            <w:r>
              <w:rPr>
                <w:sz w:val="4"/>
                <w:szCs w:val="4"/>
              </w:rPr>
            </w:r>
          </w:p>
        </w:tc>
      </w:tr>
      <w:tr>
        <w:trPr/>
        <w:tc>
          <w:tcPr>
            <w:tcW w:w="28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Provided by Operating Activities</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increase in net cash provided by operating activities was primarily due to an increase in cash-basis net earnings, partially offset by unfavorable year-over-year working capital requirements. This is largely a result of business growth and operating gains.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(Used in)/Provided by Investing Activities</w:t>
      </w:r>
    </w:p>
    <w:p>
      <w:pPr>
        <w:pStyle w:val="TextBody"/>
        <w:bidi w:val="0"/>
        <w:spacing w:lineRule="auto" w:line="288" w:before="0" w:after="0"/>
        <w:jc w:val="both"/>
        <w:rPr/>
      </w:pPr>
      <w:r>
        <w:rPr>
          <w:rFonts w:ascii="Arial;sans-serif" w:hAnsi="Arial;sans-serif"/>
          <w:b w:val="false"/>
          <w:color w:val="000000"/>
          <w:sz w:val="20"/>
        </w:rPr>
        <w:t xml:space="preserve">The reduction in net cash used in/provided by investing activities was largely driven by lapping prior year proceeds from the KDP share sale (refer to Note 6, </w:t>
      </w:r>
      <w:r>
        <w:rPr>
          <w:rFonts w:ascii="Arial;sans-serif" w:hAnsi="Arial;sans-serif"/>
          <w:b w:val="false"/>
          <w:i/>
          <w:color w:val="000000"/>
          <w:sz w:val="20"/>
        </w:rPr>
        <w:t>Investments</w:t>
      </w:r>
      <w:r>
        <w:rPr>
          <w:rFonts w:ascii="Arial;sans-serif" w:hAnsi="Arial;sans-serif"/>
          <w:b w:val="false"/>
          <w:color w:val="000000"/>
          <w:sz w:val="20"/>
        </w:rPr>
        <w:t>). We continue to make capital expenditures primarily to modernize manufacturing facilities, implement new product manufacturing and support productivity initiatives. We expect 2024 capital expenditures to be up to $1.5 billion, including capital expenditures in connection with our Simplify to Grow Program and for funding our strategic priorities. We expect to continue to fund these expenditures with cash from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49935"/>
                <wp:effectExtent l="0" t="0" r="0" b="0"/>
                <wp:wrapNone/>
                <wp:docPr id="120" name="Frame41"/>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8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39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2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1" descr=""/>
                                          <pic:cNvPicPr>
                                            <a:picLocks noChangeAspect="1" noChangeArrowheads="1"/>
                                          </pic:cNvPicPr>
                                        </pic:nvPicPr>
                                        <pic:blipFill>
                                          <a:blip r:embed="rId8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Net Cash Used in Financing Activities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decrease in cash used in financing activities was primarily due to higher debt proceeds combined with lower debt repayments, partially offset by higher share repurchases and higher dividends paid in the first three months of 2024 compared to the same prior year period.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Dividends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paid dividends of $578 million in the first three months of 2024 and $529 million in the first three months of 2023. The first quarter 2024 dividend of $0.425 per share, declared on February 2, 2024 for shareholders of record as of March 28, 2024, was paid on April 11, 2024.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anticipate that the 2024 distributions will be characterized as dividends under U.S. federal income tax rules. The final determination will be made on an IRS Form 1099–DIV issued in early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Guarantees</w:t>
      </w:r>
    </w:p>
    <w:p>
      <w:pPr>
        <w:pStyle w:val="TextBody"/>
        <w:bidi w:val="0"/>
        <w:spacing w:lineRule="auto" w:line="288" w:before="0" w:after="0"/>
        <w:jc w:val="both"/>
        <w:rPr/>
      </w:pPr>
      <w:r>
        <w:rPr>
          <w:rFonts w:ascii="Arial;sans-serif" w:hAnsi="Arial;sans-serif"/>
          <w:b w:val="false"/>
          <w:color w:val="000000"/>
          <w:sz w:val="20"/>
        </w:rPr>
        <w:t xml:space="preserve">As discussed in Note 12, </w:t>
      </w:r>
      <w:r>
        <w:rPr>
          <w:rFonts w:ascii="Arial;sans-serif" w:hAnsi="Arial;sans-serif"/>
          <w:b w:val="false"/>
          <w:i/>
          <w:color w:val="000000"/>
          <w:sz w:val="20"/>
        </w:rPr>
        <w:t>Commitments and Contingencies</w:t>
      </w:r>
      <w:r>
        <w:rPr>
          <w:rFonts w:ascii="Arial;sans-serif" w:hAnsi="Arial;sans-serif"/>
          <w:b w:val="false"/>
          <w:color w:val="000000"/>
          <w:sz w:val="20"/>
        </w:rPr>
        <w:t>, we enter into third-party guarantees primarily to cover the long-term obligations of our vendors. As part of these transactions, we guarantee that third parties will make contractual payments or achieve performance measures. As of March 31, 2024 and December 31, 2023, we had no material third-party guarantees recorded on our condensed consolidated balance sheet. Guarantees do not have, and we do not expect them to have, a material effect on our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Debt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short-term working capital or other financing needs.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its December 2023 meeting, our Board of Directors approved a new $2 billion long-term financing authorization that replaced the prior long-term financing authorization of $2 billion. As of March 31, 2024, $1.45 billion of the long-term financing authorization remained available.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total debt was $19.1 billion as of March 31, 2024 and $19.4 billion as of December 31, 2023. Our debt-to-capitalization ratio was 0.40 at March 31, 2024 and 0.41 at December 31, 2023. At March 31, 2024, the weighted-average term of our outstanding long-term debt was 7.7 years. Our average daily commercial paper borrowings outstanding were $1.0 billion in the first three months of 2024 and $2.8 billion in the first three months of 2023.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One of our subsidiaries, Mondelez International Holdings Netherlands B.V. (“MIHN”), has outstanding debt. The operations held by MIHN generated approximately 74.2% (or $6.9 billion) of the $9.3 billion of consolidated net revenue in the three months ended March 31, 2024. The operations held by MIHN represented approximately 75.8% (or $21.6 billion) of the $28.5 billion of net assets as of March 31,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Refer to Note 8, </w:t>
      </w:r>
      <w:r>
        <w:rPr>
          <w:rFonts w:ascii="Arial;sans-serif" w:hAnsi="Arial;sans-serif"/>
          <w:b w:val="false"/>
          <w:i/>
          <w:color w:val="000000"/>
          <w:sz w:val="20"/>
        </w:rPr>
        <w:t xml:space="preserve">Debt and Borrowing Arrangements, </w:t>
      </w:r>
      <w:r>
        <w:rPr>
          <w:rFonts w:ascii="Arial;sans-serif" w:hAnsi="Arial;sans-serif"/>
          <w:b w:val="false"/>
          <w:color w:val="000000"/>
          <w:sz w:val="20"/>
        </w:rPr>
        <w:t>for additional information on our debt and debt covenants.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Commodity Trends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regularly monitor worldwide supply, commodity cost and currency trends so we can cost-effectively secure ingredients, packaging and fuel required for production. During the first three months of 2024, the primary drivers of the increase in our aggregate commodity costs were higher cocoa, sugar, nuts, and other ingredient costs, as well as unfavorable year-over-year currency exchange transaction costs on imported materials, partially offset by lower, dairy, edible oils, grains, energy and packaging costs. While the costs of our principal raw materials fluctuate, generally we believe there will continue to be an adequate supply of the raw materials we use and that they will broadly remain available.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number of external factors such as the current macroeconomic environment, including global inflation, effects of geopolitical uncertainty, climate and weather conditions, commodity, transportation and labor market conditions, exchange rate volatility and the effects of local and global regulations, governmental agricultural or other programs affect the availability and cost of raw materials and agricultural materials used in our products. In particular,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49935"/>
                <wp:effectExtent l="0" t="0" r="0" b="0"/>
                <wp:wrapNone/>
                <wp:docPr id="123" name="Frame42"/>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2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2" descr=""/>
                                                <pic:cNvPicPr>
                                                  <a:picLocks noChangeAspect="1" noChangeArrowheads="1"/>
                                                </pic:cNvPicPr>
                                              </pic:nvPicPr>
                                              <pic:blipFill>
                                                <a:blip r:embed="rId8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40</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2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2" descr=""/>
                                          <pic:cNvPicPr>
                                            <a:picLocks noChangeAspect="1" noChangeArrowheads="1"/>
                                          </pic:cNvPicPr>
                                        </pic:nvPicPr>
                                        <pic:blipFill>
                                          <a:blip r:embed="rId8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supply of cocoa is exposed to many of these factors, including climate change and weather events, local regulations in cocoa-producing countries, and global regulations such as the EU Deforestation Regulation (which requires companies to ensure that the products they place on the EU market or export from it are not associated with deforestation). These factors could impact the supply of cocoa, which could potentially limit our ability to produce our products and significantly impact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first three months of 2024, price volatility and the higher aggregate cost environment increased due to international supply chain and labor market disruptions and generally higher commodity, transportation and labor costs. We expect these conditions to continue to impact our aggregate commodity costs. In particular, we expect to face higher cocoa costs in the near- and medium-term due to these factors. For example, the market price for cocoa beans on the Intercontinental Exchange in London was 283% higher on the last trading day of the first quarter of 2024 compared to the same day in the first quarter of 2023 and it is likely that prices will remain elevated for some time. It is possible that we may not be able to increase prices sufficiently to fully cover the incremental costs of cocoa prices in this environment and/or our hedging strategies may not protect us from increases in cocoa costs, which could result in a significant impact on our profitability.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Our commodity procurement practices are intended to mitigate price volatility and provide visibility to future costs, but also may potentially limit our ability to benefit from possible future price decreases. Additionally, our costs for major raw materials will not necessarily reflect market price fluctuations because of our forward purchasing and hedging practices. Due to competitive or market conditions, planned trade or promotional incentives, fluctuations in currency exchange rates or other factors, our pricing actions may also lag commodity cost changes temporarily.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Significant Accounting Estimates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and estimates are described in Note 1 to our consolidated financial statements and </w:t>
      </w:r>
      <w:r>
        <w:rPr>
          <w:rFonts w:ascii="Arial;sans-serif" w:hAnsi="Arial;sans-serif"/>
          <w:b w:val="false"/>
          <w:i/>
          <w:color w:val="000000"/>
          <w:sz w:val="20"/>
        </w:rPr>
        <w:t xml:space="preserve">Management’s Discussion and Analysis of Financial Condition and Results of Operations, </w:t>
      </w:r>
      <w:r>
        <w:rPr>
          <w:rFonts w:ascii="Arial;sans-serif" w:hAnsi="Arial;sans-serif"/>
          <w:b w:val="false"/>
          <w:color w:val="000000"/>
          <w:sz w:val="20"/>
        </w:rPr>
        <w:t xml:space="preserve">respectively, in our Annual Report on Form 10-K for the year ended December 31, 2023. Also refer to Note 1, </w:t>
      </w:r>
      <w:r>
        <w:rPr>
          <w:rFonts w:ascii="Arial;sans-serif" w:hAnsi="Arial;sans-serif"/>
          <w:b w:val="false"/>
          <w:i/>
          <w:color w:val="000000"/>
          <w:sz w:val="20"/>
        </w:rPr>
        <w:t>Basis of Presentation</w:t>
      </w:r>
      <w:r>
        <w:rPr>
          <w:rFonts w:ascii="Arial;sans-serif" w:hAnsi="Arial;sans-serif"/>
          <w:b w:val="false"/>
          <w:color w:val="000000"/>
          <w:sz w:val="20"/>
        </w:rPr>
        <w:t>,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“potential,” “commitment,” “outlook,” “continue” or any other similar words.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or performance to differ materially from those contained in or implied by our forward-looking statements include, but are not limited to, the following: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49935"/>
                <wp:effectExtent l="0" t="0" r="0" b="0"/>
                <wp:wrapNone/>
                <wp:docPr id="126" name="Frame43"/>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2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3" descr=""/>
                                                <pic:cNvPicPr>
                                                  <a:picLocks noChangeAspect="1" noChangeArrowheads="1"/>
                                                </pic:cNvPicPr>
                                              </pic:nvPicPr>
                                              <pic:blipFill>
                                                <a:blip r:embed="rId8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41</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2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3" descr=""/>
                                          <pic:cNvPicPr>
                                            <a:picLocks noChangeAspect="1" noChangeArrowheads="1"/>
                                          </pic:cNvPicPr>
                                        </pic:nvPicPr>
                                        <pic:blipFill>
                                          <a:blip r:embed="rId8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weakness in macroeconomic conditions in our markets, including as a result of inflation (and related monetary policy actions by governments in response to inflation), instability of certain financial institutions;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volatility of commodity and other input costs and availability of commodities, including but not limited to cocoa;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competition and our response to channel shifts and pricing and other competitive pressures;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pricing actions and customer and consumer responses to such actions;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promotion and protection of our reputation and brand image;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weakness in consumer spending and/or changes in consumer preferences and demand and our ability to predict, identify, interpret and meet these changes;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risks from operating globally, including in emerging markets, such as political, economic and regulatory risks;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outcome and effects on us of legal and tax proceedings and government investigations, including the European Commission legal matter;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use of information technology and third party service providers;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unanticipated disruptions to our business, such as malware incidents, cyberattacks or other security breaches, and supply, commodity, labor and transportation constraints;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ability to identify, complete, manage and realize the full extent of the benefits, cost savings or synergies presented by strategic transactions, including our recently completed acquisitions of Ricolino, Clif Bar, Chipita, Gourmet Food, Grenade and Hu;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investments and our ownership interests in those investments, including JDE Peet's;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restructuring program and our other transformation initiatives not yielding the anticipated benefits;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the assumptions on which the restructuring program is based;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impact of climate change on our supply chain and operations;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global or regional health pandemics or epidemics;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consolidation of retail customers and competition with retailer and other economy brands;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our relationships with customers, suppliers or distributors;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management of our workforce and shifts in labor availability or labor costs;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compliance with legal, regulatory, tax and benefit laws and related changes, claims or actions;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perceived or actual product quality issues or product recalls;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failure to maintain effective internal control over financial reporting or disclosure controls and procedures;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protect our intellectual property and intangible assets;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tax matters including changes in tax laws and rates, disagreements with taxing authorities and imposition of new taxes;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changes in currency exchange rates, controls and restrictions;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volatility of and access to capital or other markets, rising interest rates, the effectiveness of our cash management programs and our liquidity;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pension costs;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significant changes in valuation factors that may adversely affect our impairment testing of goodwill and intangible assets; and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risks and uncertainties, as they may be amended from time to time, set forth in our filings with the U.S. Securities and Exchange Commission, including our Annual Report on Form 10-K for the year ended December 31, 2023 and subsequent Quarterly Reports on Form 10-Q.</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49935"/>
                <wp:effectExtent l="0" t="0" r="0" b="0"/>
                <wp:wrapNone/>
                <wp:docPr id="129" name="Frame44"/>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4" descr=""/>
                                                <pic:cNvPicPr>
                                                  <a:picLocks noChangeAspect="1" noChangeArrowheads="1"/>
                                                </pic:cNvPicPr>
                                              </pic:nvPicPr>
                                              <pic:blipFill>
                                                <a:blip r:embed="rId8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42</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4" descr=""/>
                                          <pic:cNvPicPr>
                                            <a:picLocks noChangeAspect="1" noChangeArrowheads="1"/>
                                          </pic:cNvPicPr>
                                        </pic:nvPicPr>
                                        <pic:blipFill>
                                          <a:blip r:embed="rId8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pPr>
      <w:r>
        <w:rPr>
          <w:rFonts w:ascii="Arial;sans-serif" w:hAnsi="Arial;sans-serif"/>
          <w:b w:val="false"/>
          <w:color w:val="000000"/>
          <w:sz w:val="20"/>
        </w:rPr>
        <w:t xml:space="preserve">budget, make operating and strategic decisions and evaluate our performance. We have detailed the non-GAAP adjustments that we make in our non-GAAP definitions below. The adjustments generally fall within the following categories: acquisition and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along with a discussion of our underlying GAAP results throughout our </w:t>
      </w: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in this Form 10-Q.</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sans-serif" w:hAnsi="Arial;sans-serif"/>
          <w:b w:val="false"/>
          <w:color w:val="000000"/>
          <w:sz w:val="12"/>
        </w:rPr>
        <w:t>(1)</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Organic Net Revenue” is defined as net revenues (the most comparable U.S. GAAP financial measure) excluding the impacts of acquisitions, divestitures </w:t>
      </w:r>
      <w:r>
        <w:rPr>
          <w:rFonts w:ascii="Arial;sans-serif" w:hAnsi="Arial;sans-serif"/>
          <w:b w:val="false"/>
          <w:color w:val="000000"/>
          <w:sz w:val="13"/>
        </w:rPr>
        <w:t>(2)</w:t>
      </w:r>
      <w:r>
        <w:rPr>
          <w:rFonts w:ascii="Arial;sans-serif" w:hAnsi="Arial;sans-serif"/>
          <w:b w:val="false"/>
          <w:color w:val="000000"/>
          <w:sz w:val="20"/>
        </w:rPr>
        <w:t xml:space="preserve">, short-term distributor agreements related to the sale of business </w:t>
      </w:r>
      <w:r>
        <w:rPr>
          <w:rFonts w:ascii="Arial;sans-serif" w:hAnsi="Arial;sans-serif"/>
          <w:b w:val="false"/>
          <w:color w:val="000000"/>
          <w:sz w:val="13"/>
        </w:rPr>
        <w:t xml:space="preserve">(3) </w:t>
      </w:r>
      <w:r>
        <w:rPr>
          <w:rFonts w:ascii="Arial;sans-serif" w:hAnsi="Arial;sans-serif"/>
          <w:b w:val="false"/>
          <w:color w:val="000000"/>
          <w:sz w:val="20"/>
        </w:rPr>
        <w:t xml:space="preserve">and currency rate fluctuations </w:t>
      </w:r>
      <w:r>
        <w:rPr>
          <w:rFonts w:ascii="Arial;sans-serif" w:hAnsi="Arial;sans-serif"/>
          <w:b w:val="false"/>
          <w:color w:val="000000"/>
          <w:sz w:val="13"/>
        </w:rPr>
        <w:t>(4)</w:t>
      </w:r>
      <w:r>
        <w:rPr>
          <w:rFonts w:ascii="Arial;sans-serif" w:hAnsi="Arial;sans-serif"/>
          <w:b w:val="false"/>
          <w:color w:val="000000"/>
          <w:sz w:val="20"/>
        </w:rPr>
        <w:t xml:space="preserve">. We believe that Organic net revenue reflects the underlying growth from the ongoing activities of our business and provides improved comparability of results. We also evaluate Organic Net Revenue growth from emerging markets and developed markets, and these underlying measures are also reconciled to U.S. GAAP above.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developed markets include the entire North America region, the Europe region excluding the countries included in the emerging markets definition, and Australia, New Zealand and Japan from the AMEA region.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Operating Income” is defined as operating income (the most comparable U.S. GAAP financial measure) excluding the impacts of the Simplify to Grow Program </w:t>
      </w:r>
      <w:r>
        <w:rPr>
          <w:rFonts w:ascii="Arial;sans-serif" w:hAnsi="Arial;sans-serif"/>
          <w:b w:val="false"/>
          <w:color w:val="000000"/>
          <w:sz w:val="13"/>
        </w:rPr>
        <w:t>(5)</w:t>
      </w:r>
      <w:r>
        <w:rPr>
          <w:rFonts w:ascii="Arial;sans-serif" w:hAnsi="Arial;sans-serif"/>
          <w:b w:val="false"/>
          <w:color w:val="000000"/>
          <w:sz w:val="20"/>
        </w:rPr>
        <w:t>; gains or losses (including non-cash impairment charges) on goodwill and intangible assets; divestiture </w:t>
      </w:r>
      <w:r>
        <w:rPr>
          <w:rFonts w:ascii="Arial;sans-serif" w:hAnsi="Arial;sans-serif"/>
          <w:b w:val="false"/>
          <w:color w:val="000000"/>
          <w:sz w:val="13"/>
        </w:rPr>
        <w:t>(2)</w:t>
      </w:r>
      <w:r>
        <w:rPr>
          <w:color w:val="000000"/>
        </w:rPr>
        <w:t> </w:t>
      </w:r>
      <w:r>
        <w:rPr>
          <w:rFonts w:ascii="Arial;sans-serif" w:hAnsi="Arial;sans-serif"/>
          <w:b w:val="false"/>
          <w:color w:val="000000"/>
          <w:sz w:val="20"/>
        </w:rPr>
        <w:t xml:space="preserve">or acquisition gains or losses, divestiture-related costs </w:t>
      </w:r>
      <w:r>
        <w:rPr>
          <w:rFonts w:ascii="Arial;sans-serif" w:hAnsi="Arial;sans-serif"/>
          <w:b w:val="false"/>
          <w:color w:val="000000"/>
          <w:sz w:val="13"/>
        </w:rPr>
        <w:t>(6)</w:t>
      </w:r>
      <w:r>
        <w:rPr>
          <w:rFonts w:ascii="Arial;sans-serif" w:hAnsi="Arial;sans-serif"/>
          <w:b w:val="false"/>
          <w:color w:val="000000"/>
          <w:sz w:val="20"/>
        </w:rPr>
        <w:t xml:space="preserve">, acquisition-related costs </w:t>
      </w:r>
      <w:r>
        <w:rPr>
          <w:rFonts w:ascii="Arial;sans-serif" w:hAnsi="Arial;sans-serif"/>
          <w:b w:val="false"/>
          <w:color w:val="000000"/>
          <w:sz w:val="13"/>
        </w:rPr>
        <w:t>(7)</w:t>
      </w:r>
      <w:r>
        <w:rPr>
          <w:rFonts w:ascii="Arial;sans-serif" w:hAnsi="Arial;sans-serif"/>
          <w:b w:val="false"/>
          <w:color w:val="000000"/>
          <w:sz w:val="20"/>
        </w:rPr>
        <w:t xml:space="preserve">, and acquisition integration costs and contingent consideration adjustments </w:t>
      </w:r>
      <w:r>
        <w:rPr>
          <w:rFonts w:ascii="Arial;sans-serif" w:hAnsi="Arial;sans-serif"/>
          <w:b w:val="false"/>
          <w:color w:val="000000"/>
          <w:sz w:val="13"/>
        </w:rPr>
        <w:t>(8)</w:t>
      </w:r>
      <w:r>
        <w:rPr>
          <w:rFonts w:ascii="Arial;sans-serif" w:hAnsi="Arial;sans-serif"/>
          <w:b w:val="false"/>
          <w:color w:val="000000"/>
          <w:sz w:val="20"/>
        </w:rPr>
        <w:t xml:space="preserve">; inventory step-up charges </w:t>
      </w:r>
      <w:r>
        <w:rPr>
          <w:rFonts w:ascii="Arial;sans-serif" w:hAnsi="Arial;sans-serif"/>
          <w:b w:val="false"/>
          <w:color w:val="000000"/>
          <w:sz w:val="13"/>
        </w:rPr>
        <w:t>(9)</w:t>
      </w:r>
      <w:r>
        <w:rPr>
          <w:rFonts w:ascii="Arial;sans-serif" w:hAnsi="Arial;sans-serif"/>
          <w:b w:val="false"/>
          <w:color w:val="000000"/>
          <w:sz w:val="20"/>
        </w:rPr>
        <w:t xml:space="preserve">; the operating results of divestitures </w:t>
      </w:r>
      <w:r>
        <w:rPr>
          <w:rFonts w:ascii="Arial;sans-serif" w:hAnsi="Arial;sans-serif"/>
          <w:b w:val="false"/>
          <w:color w:val="000000"/>
          <w:sz w:val="13"/>
        </w:rPr>
        <w:t>(2)</w:t>
      </w:r>
      <w:r>
        <w:rPr>
          <w:rFonts w:ascii="Arial;sans-serif" w:hAnsi="Arial;sans-serif"/>
          <w:b w:val="false"/>
          <w:color w:val="000000"/>
          <w:sz w:val="20"/>
        </w:rPr>
        <w:t xml:space="preserve">; operating results from short-term distributor agreements related to the sale of a business </w:t>
      </w:r>
      <w:r>
        <w:rPr>
          <w:rFonts w:ascii="Arial;sans-serif" w:hAnsi="Arial;sans-serif"/>
          <w:b w:val="false"/>
          <w:color w:val="000000"/>
          <w:sz w:val="13"/>
        </w:rPr>
        <w:t>(3)</w:t>
      </w:r>
      <w:r>
        <w:rPr>
          <w:rFonts w:ascii="Arial;sans-serif" w:hAnsi="Arial;sans-serif"/>
          <w:b w:val="false"/>
          <w:color w:val="000000"/>
          <w:sz w:val="20"/>
        </w:rPr>
        <w:t xml:space="preserve">; remeasurement of net monetary position </w:t>
      </w:r>
      <w:r>
        <w:rPr>
          <w:rFonts w:ascii="Arial;sans-serif" w:hAnsi="Arial;sans-serif"/>
          <w:b w:val="false"/>
          <w:color w:val="000000"/>
          <w:sz w:val="13"/>
        </w:rPr>
        <w:t>(10)</w:t>
      </w:r>
      <w:r>
        <w:rPr>
          <w:rFonts w:ascii="Arial;sans-serif" w:hAnsi="Arial;sans-serif"/>
          <w:b w:val="false"/>
          <w:color w:val="000000"/>
          <w:sz w:val="20"/>
        </w:rPr>
        <w:t xml:space="preserve">; mark-to-market impacts from commodity, forecasted currency and equity method investment transaction derivative contracts </w:t>
      </w:r>
      <w:r>
        <w:rPr>
          <w:rFonts w:ascii="Arial;sans-serif" w:hAnsi="Arial;sans-serif"/>
          <w:b w:val="false"/>
          <w:color w:val="000000"/>
          <w:sz w:val="13"/>
        </w:rPr>
        <w:t>(11)</w:t>
      </w:r>
      <w:r>
        <w:rPr>
          <w:rFonts w:ascii="Arial;sans-serif" w:hAnsi="Arial;sans-serif"/>
          <w:b w:val="false"/>
          <w:color w:val="000000"/>
          <w:sz w:val="20"/>
        </w:rPr>
        <w:t xml:space="preserve">; impact from resolution of tax matters </w:t>
      </w:r>
      <w:r>
        <w:rPr>
          <w:rFonts w:ascii="Arial;sans-serif" w:hAnsi="Arial;sans-serif"/>
          <w:b w:val="false"/>
          <w:color w:val="000000"/>
          <w:sz w:val="13"/>
        </w:rPr>
        <w:t>(12)</w:t>
      </w:r>
      <w:r>
        <w:rPr>
          <w:rFonts w:ascii="Arial;sans-serif" w:hAnsi="Arial;sans-serif"/>
          <w:b w:val="false"/>
          <w:color w:val="000000"/>
          <w:sz w:val="20"/>
        </w:rPr>
        <w:t xml:space="preserve">; 2017 malware incident net recoveries; incremental costs due to the war in Ukraine </w:t>
      </w:r>
      <w:r>
        <w:rPr>
          <w:rFonts w:ascii="Arial;sans-serif" w:hAnsi="Arial;sans-serif"/>
          <w:b w:val="false"/>
          <w:color w:val="000000"/>
          <w:sz w:val="13"/>
        </w:rPr>
        <w:t>(13)</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impact from the European Commission legal matter </w:t>
      </w:r>
      <w:r>
        <w:rPr>
          <w:rFonts w:ascii="Arial;sans-serif" w:hAnsi="Arial;sans-serif"/>
          <w:b w:val="false"/>
          <w:color w:val="000000"/>
          <w:sz w:val="13"/>
        </w:rPr>
        <w:t>(14)</w:t>
      </w:r>
      <w:r>
        <w:rPr>
          <w:rFonts w:ascii="Arial;sans-serif" w:hAnsi="Arial;sans-serif"/>
          <w:b w:val="false"/>
          <w:color w:val="000000"/>
          <w:sz w:val="20"/>
        </w:rPr>
        <w:t xml:space="preserve">; and impact from pension participation changes </w:t>
      </w:r>
      <w:r>
        <w:rPr>
          <w:rFonts w:ascii="Arial;sans-serif" w:hAnsi="Arial;sans-serif"/>
          <w:b w:val="false"/>
          <w:color w:val="000000"/>
          <w:sz w:val="13"/>
        </w:rPr>
        <w:t>(15)</w:t>
      </w:r>
      <w:r>
        <w:rPr>
          <w:rFonts w:ascii="Arial;sans-serif" w:hAnsi="Arial;sans-serif"/>
          <w:b w:val="false"/>
          <w:color w:val="000000"/>
          <w:sz w:val="20"/>
        </w:rPr>
        <w:t xml:space="preserve">. We also present “Adjusted Operating Income margin,” which is subject to the same adjustments as Adjusted Operating Income. We also evaluate growth in our Adjusted Operating Income on a constant currency basis </w:t>
      </w:r>
      <w:r>
        <w:rPr>
          <w:rFonts w:ascii="Arial;sans-serif" w:hAnsi="Arial;sans-serif"/>
          <w:b w:val="false"/>
          <w:color w:val="000000"/>
          <w:sz w:val="13"/>
        </w:rPr>
        <w:t>(4)</w:t>
      </w:r>
      <w:r>
        <w:rPr>
          <w:rFonts w:ascii="Arial;sans-serif" w:hAnsi="Arial;sans-serif"/>
          <w:b w:val="false"/>
          <w:color w:val="000000"/>
          <w:sz w:val="20"/>
        </w:rPr>
        <w:t>. We believe these measures provide improved comparability of underlying operating results.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Adjusted EPS” is defined as diluted EPS attributable to Mondelēz International (the most comparable U.S. GAAP financial measure) from continuing operations excluding the impacts of the items listed in the Adjusted Operating Income definition as well as losses on debt extinguishment and related expenses; gains or losses on interest rate swaps no longer designated as accounting cash flow hedges due to changed financing and hedging plans; mark-to-market unrealized gains or losses and realized gains or losses from marketable securities </w:t>
      </w:r>
      <w:r>
        <w:rPr>
          <w:rFonts w:ascii="Arial;sans-serif" w:hAnsi="Arial;sans-serif"/>
          <w:b w:val="false"/>
          <w:color w:val="000000"/>
          <w:sz w:val="13"/>
        </w:rPr>
        <w:t>(16)</w:t>
      </w:r>
      <w:r>
        <w:rPr>
          <w:rFonts w:ascii="Arial;sans-serif" w:hAnsi="Arial;sans-serif"/>
          <w:b w:val="false"/>
          <w:color w:val="000000"/>
          <w:sz w:val="20"/>
        </w:rPr>
        <w:t xml:space="preserve">; initial impacts from enacted tax law changes </w:t>
      </w:r>
      <w:r>
        <w:rPr>
          <w:rFonts w:ascii="Arial;sans-serif" w:hAnsi="Arial;sans-serif"/>
          <w:b w:val="false"/>
          <w:color w:val="000000"/>
          <w:sz w:val="13"/>
        </w:rPr>
        <w:t>(17)</w:t>
      </w:r>
      <w:r>
        <w:rPr>
          <w:rFonts w:ascii="Arial;sans-serif" w:hAnsi="Arial;sans-serif"/>
          <w:b w:val="false"/>
          <w:color w:val="000000"/>
          <w:sz w:val="20"/>
        </w:rPr>
        <w:t xml:space="preserve">; and gains or losses on equity method investment transactions including impairments. Similarly, within Adjusted EPS, our equity method investment net earnings exclude our proportionate share of our investee's significant operating and non-operating items </w:t>
      </w:r>
      <w:r>
        <w:rPr>
          <w:rFonts w:ascii="Arial;sans-serif" w:hAnsi="Arial;sans-serif"/>
          <w:b w:val="false"/>
          <w:color w:val="000000"/>
          <w:sz w:val="13"/>
        </w:rPr>
        <w:t>(18)</w:t>
      </w:r>
      <w:r>
        <w:rPr>
          <w:rFonts w:ascii="Arial;sans-serif" w:hAnsi="Arial;sans-serif"/>
          <w:b w:val="false"/>
          <w:color w:val="000000"/>
          <w:sz w:val="20"/>
        </w:rPr>
        <w:t xml:space="preserve">. We also evaluate growth in our Adjusted EPS on a constant currency basis </w:t>
      </w:r>
      <w:r>
        <w:rPr>
          <w:rFonts w:ascii="Arial;sans-serif" w:hAnsi="Arial;sans-serif"/>
          <w:b w:val="false"/>
          <w:color w:val="000000"/>
          <w:sz w:val="13"/>
        </w:rPr>
        <w:t>(4)</w:t>
      </w:r>
      <w:r>
        <w:rPr>
          <w:rFonts w:ascii="Arial;sans-serif" w:hAnsi="Arial;sans-serif"/>
          <w:b w:val="false"/>
          <w:color w:val="000000"/>
          <w:sz w:val="20"/>
        </w:rPr>
        <w:t>. We believe Adjusted EPS provides improved comparability of underlying operating results.</w:t>
      </w:r>
    </w:p>
    <w:p>
      <w:pPr>
        <w:pStyle w:val="TextBody"/>
        <w:bidi w:val="0"/>
        <w:spacing w:before="0" w:after="0"/>
        <w:jc w:val="both"/>
        <w:rPr/>
      </w:pPr>
      <w:r>
        <w:rPr/>
      </w:r>
    </w:p>
    <w:p>
      <w:pPr>
        <w:pStyle w:val="TextBody"/>
        <w:bidi w:val="0"/>
        <w:spacing w:lineRule="auto" w:line="256"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(1)When items no longer impact our current or future presentation of non-GAAP operating results, we remove these items from our non-GAAP definitions. Beginning in Q1 2024, due to a significant devaluation of the Argentinean peso that occurred in December 2023 and the resulting distortion it would cause on our non-GAAP constant currency growth rate measures, we now exclude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49935"/>
                <wp:effectExtent l="0" t="0" r="0" b="0"/>
                <wp:wrapNone/>
                <wp:docPr id="132" name="Frame45"/>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5" descr=""/>
                                                <pic:cNvPicPr>
                                                  <a:picLocks noChangeAspect="1" noChangeArrowheads="1"/>
                                                </pic:cNvPicPr>
                                              </pic:nvPicPr>
                                              <pic:blipFill>
                                                <a:blip r:embed="rId89"/>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43</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5" descr=""/>
                                          <pic:cNvPicPr>
                                            <a:picLocks noChangeAspect="1" noChangeArrowheads="1"/>
                                          </pic:cNvPicPr>
                                        </pic:nvPicPr>
                                        <pic:blipFill>
                                          <a:blip r:embed="rId90"/>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56" w:before="0" w:after="0"/>
        <w:jc w:val="both"/>
        <w:rPr>
          <w:rFonts w:ascii="Arial;sans-serif" w:hAnsi="Arial;sans-serif"/>
          <w:b w:val="false"/>
          <w:color w:val="000000"/>
          <w:sz w:val="16"/>
        </w:rPr>
      </w:pPr>
      <w:r>
        <w:rPr>
          <w:rFonts w:ascii="Arial;sans-serif" w:hAnsi="Arial;sans-serif"/>
          <w:b w:val="false"/>
          <w:color w:val="000000"/>
          <w:sz w:val="16"/>
        </w:rPr>
        <w:t>impact of pricing in excess of 26% year-over-year ("extreme pricing") in Argentina, which is the level at which hyperinflation generally occurs cumulatively over a 3-year period. We have excluded the impact of extreme pricing in Argentina from our calculation of Organic Net Revenue, Organic Net Revenue growth and other non-GAAP financial constant currency growth measures with a corresponding adjustment to changes in currency exchange rates. We made this change on a prospective basis due to the distorting effect expected in the current period and future periods following the Argentinian peso devaluation that occurred in December 2023 and did not revise our historical non-GAAP constant currency growth measures.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(2)Divestitures include completed sales of businesses, exits of major product lines upon completion of a sale or licensing agreement, the partial or full sale of an equity method investment and changes from equity method investment accounting to accounting for marketable securities. As we record our share of JDE Peet’s ongoing earnings on a one-quarter lag basis, any JDE Peet’s ownership reductions are reflected as divestitures within our non-GAAP results the following quarter.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(3)In the fourth quarter of 2023, we began to exclude the operating results from short-term distributor agreements that have been executed in conjunction with the sale of a business. We exclude this item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(4)Constant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 Beginning in the first quarter of 2024, we also now include within our currency-related impacts a corresponding adjustment associated with the impact of extreme pricing in Argentina.</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(5)Non-GAAP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(6)Divestiture-related costs, which includes costs incurred in relation to the preparation and completion (including one-time costs such as severance related to elimination of stranded costs) of our divestitures as defined in footnote (2), also includes costs incurred associated with our publicly announced processes to sell businesses. We exclude these items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(7)Acquisition-related costs, which includes transaction costs such as third party advisor, investment banking and legal fees, also includes one-time compensation expense related to the buyout of non-vested ESOP shares and realized gains or losses from hedging activities associated with acquisition funds. We exclude these items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(8)Acquisition integration costs and contingent consideration adjustments include one-time costs related to the integration of acquisitions as well as any adjustments made to the fair market value of contingent compensation liabilities that have been previously booked for earn-outs related to acquisitions that do not relate to employee compensation expense. We exclude these items to better facilitate comparisons of our underlying operating performance across periods.</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(9)In the third quarter of 2022, we began to exclude the one-time inventory step-up charges associated with acquired companies related to the fair market valuation of the acquired inventory. We exclude this item to better facilitate comparisons of our underlying operating performance across periods.</w:t>
      </w:r>
    </w:p>
    <w:p>
      <w:pPr>
        <w:pStyle w:val="TextBody"/>
        <w:bidi w:val="0"/>
        <w:spacing w:lineRule="auto" w:line="288" w:before="0" w:after="0"/>
        <w:ind w:left="0" w:right="0" w:hanging="360"/>
        <w:jc w:val="both"/>
        <w:rPr/>
      </w:pPr>
      <w:r>
        <w:rPr>
          <w:rFonts w:ascii="Arial;sans-serif" w:hAnsi="Arial;sans-serif"/>
          <w:b w:val="false"/>
          <w:color w:val="000000"/>
          <w:sz w:val="16"/>
        </w:rPr>
        <w:t xml:space="preserve">(10)In connection with our applying highly inflationary accounting (refer to Note 1, </w:t>
      </w:r>
      <w:r>
        <w:rPr>
          <w:rFonts w:ascii="Arial;sans-serif" w:hAnsi="Arial;sans-serif"/>
          <w:b w:val="false"/>
          <w:i/>
          <w:color w:val="000000"/>
          <w:sz w:val="16"/>
        </w:rPr>
        <w:t>Basis of Presentation</w:t>
      </w:r>
      <w:r>
        <w:rPr>
          <w:rFonts w:ascii="Arial;sans-serif" w:hAnsi="Arial;sans-serif"/>
          <w:b w:val="false"/>
          <w:color w:val="000000"/>
          <w:sz w:val="16"/>
        </w:rPr>
        <w:t>) for Argentina (beginning in the third quarter of 2018) and Türkiye (beginning in the second quarter of 2022), we exclude the related remeasurement gains or losses related to remeasuring net monetary assets or liabilities denominated in the local currency to the U.S. dollar during the periods presented and the realized gains and losses from derivatives that mitigate the foreign currency volatility related to the remeasurement of the respective net monetary assets or liabilities during the periods presented.</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(11)We exclude unrealized gains and losses (mark-to-market impacts) from outstanding commodity and forecasted currency and equity method investment transaction derivatives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pStyle w:val="TextBody"/>
        <w:bidi w:val="0"/>
        <w:spacing w:lineRule="auto" w:line="288" w:before="0" w:after="0"/>
        <w:ind w:left="0" w:right="0" w:hanging="360"/>
        <w:jc w:val="both"/>
        <w:rPr/>
      </w:pPr>
      <w:r>
        <w:rPr>
          <w:rFonts w:ascii="Arial;sans-serif" w:hAnsi="Arial;sans-serif"/>
          <w:b w:val="false"/>
          <w:color w:val="000000"/>
          <w:sz w:val="16"/>
        </w:rPr>
        <w:t xml:space="preserve">(12)See Note 12, </w:t>
      </w:r>
      <w:r>
        <w:rPr>
          <w:rFonts w:ascii="Arial;sans-serif" w:hAnsi="Arial;sans-serif"/>
          <w:b w:val="false"/>
          <w:i/>
          <w:color w:val="000000"/>
          <w:sz w:val="16"/>
        </w:rPr>
        <w:t>Commitments and Contingencies</w:t>
      </w:r>
      <w:r>
        <w:rPr>
          <w:rFonts w:ascii="Arial;sans-serif" w:hAnsi="Arial;sans-serif"/>
          <w:b w:val="false"/>
          <w:color w:val="000000"/>
          <w:sz w:val="16"/>
        </w:rPr>
        <w:t>, in this report,</w:t>
      </w:r>
      <w:r>
        <w:rPr>
          <w:color w:val="000000"/>
        </w:rPr>
        <w:t xml:space="preserve"> </w:t>
      </w:r>
      <w:r>
        <w:rPr>
          <w:rFonts w:ascii="Arial;sans-serif" w:hAnsi="Arial;sans-serif"/>
          <w:b w:val="false"/>
          <w:color w:val="000000"/>
          <w:sz w:val="16"/>
        </w:rPr>
        <w:t xml:space="preserve">and Note 14, </w:t>
      </w:r>
      <w:r>
        <w:rPr>
          <w:rFonts w:ascii="Arial;sans-serif" w:hAnsi="Arial;sans-serif"/>
          <w:b w:val="false"/>
          <w:i/>
          <w:color w:val="000000"/>
          <w:sz w:val="16"/>
        </w:rPr>
        <w:t>Commitments and Contingencies</w:t>
      </w:r>
      <w:r>
        <w:rPr>
          <w:rFonts w:ascii="Arial;sans-serif" w:hAnsi="Arial;sans-serif"/>
          <w:b w:val="false"/>
          <w:color w:val="000000"/>
          <w:sz w:val="16"/>
        </w:rPr>
        <w:t xml:space="preserve">, in our Annual Report on Form 10-K for the year ended December 31, 2023.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(13)In February 2022, Russia began a military invasion of Ukraine and we stopped our production and closed our facilities in Ukraine for a period of time due to damage incurred to our facilities during the invasion. We began to incur incremental costs directly related to the war including asset impairments, such as property and inventory losses, higher expected allowances for uncollectible accounts receivable and committed compensation. We have isolated and exclude these costs and related impacts as well as subsequent recoveries from our operating results to facilitate evaluation and comparisons of our ongoing results. Incremental costs related to increasing operations in other primarily European facilities are not included with these costs. </w:t>
      </w:r>
    </w:p>
    <w:p>
      <w:pPr>
        <w:pStyle w:val="TextBody"/>
        <w:bidi w:val="0"/>
        <w:spacing w:lineRule="auto" w:line="288" w:before="0" w:after="0"/>
        <w:ind w:left="0" w:right="0" w:hanging="360"/>
        <w:jc w:val="both"/>
        <w:rPr/>
      </w:pPr>
      <w:r>
        <w:rPr>
          <w:rFonts w:ascii="Arial;sans-serif" w:hAnsi="Arial;sans-serif"/>
          <w:b w:val="false"/>
          <w:color w:val="000000"/>
          <w:sz w:val="16"/>
        </w:rPr>
        <w:t xml:space="preserve">(14)In the fourth quarter of 2022, we began to exclude the impact from the European Commission legal matter.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We have been cooperating with the investigation and are currently engaged in discussions with the European Commission in an effort to reach a negotiated, proportionate resolution to this matter. As of December 31. 2022, we recorded an estimate of the possible cost to resolve this matter. Due to the unique nature of this matter, we believe it to be infrequent and unusual and therefore exclude it to better facilitate comparisons of our underlying operating performance across periods. Refer to Note 12, </w:t>
      </w:r>
      <w:r>
        <w:rPr>
          <w:rFonts w:ascii="Arial;sans-serif" w:hAnsi="Arial;sans-serif"/>
          <w:b w:val="false"/>
          <w:i/>
          <w:color w:val="000000"/>
          <w:sz w:val="16"/>
        </w:rPr>
        <w:t xml:space="preserve">Commitments and Contingencies, </w:t>
      </w:r>
      <w:r>
        <w:rPr>
          <w:rFonts w:ascii="Arial;sans-serif" w:hAnsi="Arial;sans-serif"/>
          <w:b w:val="false"/>
          <w:color w:val="000000"/>
          <w:sz w:val="16"/>
        </w:rPr>
        <w:t>for additional information.</w:t>
      </w:r>
    </w:p>
    <w:p>
      <w:pPr>
        <w:pStyle w:val="TextBody"/>
        <w:bidi w:val="0"/>
        <w:spacing w:lineRule="auto" w:line="288" w:before="0" w:after="0"/>
        <w:ind w:left="0" w:right="0" w:hanging="360"/>
        <w:jc w:val="both"/>
        <w:rPr/>
      </w:pPr>
      <w:r>
        <w:rPr>
          <w:rFonts w:ascii="Arial;sans-serif" w:hAnsi="Arial;sans-serif"/>
          <w:b w:val="false"/>
          <w:color w:val="000000"/>
          <w:sz w:val="16"/>
        </w:rPr>
        <w:t xml:space="preserve">(15)The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sans-serif" w:hAnsi="Arial;sans-serif"/>
          <w:b w:val="false"/>
          <w:i/>
          <w:color w:val="000000"/>
          <w:sz w:val="16"/>
        </w:rPr>
        <w:t>Benefit Plans</w:t>
      </w:r>
      <w:r>
        <w:rPr>
          <w:rFonts w:ascii="Arial;sans-serif" w:hAnsi="Arial;sans-serif"/>
          <w:b w:val="false"/>
          <w:color w:val="000000"/>
          <w:sz w:val="16"/>
        </w:rPr>
        <w:t>, for additional information on the multiemployer pension plan withdrawal.</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(16)In the first quarter of 2023, we began to exclude mark-to-market unrealized gains or losses, as well as realized gains or losses, associated with our marketable securities from our non-GAAP earnings measures. These marketable securities gains or losses are not indicative of underlying operations and are excluded to better facilitate comparisons of our underlying operating performance across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49935"/>
                <wp:effectExtent l="0" t="0" r="0" b="0"/>
                <wp:wrapNone/>
                <wp:docPr id="135" name="Frame46"/>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6" descr=""/>
                                                <pic:cNvPicPr>
                                                  <a:picLocks noChangeAspect="1" noChangeArrowheads="1"/>
                                                </pic:cNvPicPr>
                                              </pic:nvPicPr>
                                              <pic:blipFill>
                                                <a:blip r:embed="rId9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44</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6" descr=""/>
                                          <pic:cNvPicPr>
                                            <a:picLocks noChangeAspect="1" noChangeArrowheads="1"/>
                                          </pic:cNvPicPr>
                                        </pic:nvPicPr>
                                        <pic:blipFill>
                                          <a:blip r:embed="rId9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 xml:space="preserve">(17)We have excluded the initial impacts from enacted tax law changes. Initial impacts include items such as the remeasurement of deferred tax balances and the transition tax from the 2017 U.S. tax reform. We exclude initial impacts from enacted tax law changes from our Adjusted EPS as they do not reflect our ongoing tax obligations under the enacted tax law changes.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(18)We have excluded our proportionate share of our equity method investees’ significant operating and non-operating items such as acquisition and divestiture-related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significant operating and non-operating items.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believe that the presentation of these non-GAAP financial measures, when considered together with our U.S. GAAP financial measures and the reconciliations to the corresponding U.S. GAAP financial measures, provides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that have an impact on our U.S. GAAP reported results. The best way this limitation can be addressed is by evaluating our non-GAAP financial measures in combination with our U.S. GAAP reported results and carefully evaluating the tables that reconcile U.S. GAAP reported figures to the non-GAAP financial measures in this Form 10-Q, which can be found above under </w:t>
      </w:r>
      <w:r>
        <w:rPr>
          <w:rFonts w:ascii="Arial;sans-serif" w:hAnsi="Arial;sans-serif"/>
          <w:b w:val="false"/>
          <w:i/>
          <w:color w:val="000000"/>
          <w:sz w:val="20"/>
        </w:rPr>
        <w:t>Consolidated Results of Operations</w:t>
      </w:r>
      <w:r>
        <w:rPr>
          <w:rFonts w:ascii="Arial;sans-serif" w:hAnsi="Arial;sans-serif"/>
          <w:b w:val="false"/>
          <w:color w:val="000000"/>
          <w:sz w:val="20"/>
        </w:rPr>
        <w:t>.</w:t>
      </w:r>
    </w:p>
    <w:p>
      <w:pPr>
        <w:pStyle w:val="TextBody"/>
        <w:bidi w:val="0"/>
        <w:spacing w:before="0" w:after="0"/>
        <w:jc w:val="both"/>
        <w:rPr/>
      </w:pPr>
      <w:r>
        <w:rPr/>
      </w:r>
    </w:p>
    <w:p>
      <w:pPr>
        <w:pStyle w:val="TextBody"/>
        <w:bidi w:val="0"/>
        <w:spacing w:before="100" w:after="283"/>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49935"/>
                <wp:effectExtent l="0" t="0" r="0" b="0"/>
                <wp:wrapNone/>
                <wp:docPr id="138" name="Frame47"/>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3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7" descr=""/>
                                                <pic:cNvPicPr>
                                                  <a:picLocks noChangeAspect="1" noChangeArrowheads="1"/>
                                                </pic:cNvPicPr>
                                              </pic:nvPicPr>
                                              <pic:blipFill>
                                                <a:blip r:embed="rId9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45</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7" descr=""/>
                                          <pic:cNvPicPr>
                                            <a:picLocks noChangeAspect="1" noChangeArrowheads="1"/>
                                          </pic:cNvPicPr>
                                        </pic:nvPicPr>
                                        <pic:blipFill>
                                          <a:blip r:embed="rId9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principally utilize derivative instruments to reduce significant, unanticipated earnings fluctuations that may arise from volatility in currency exchange rates, commodity prices and interest rates. Additionally, we periodically use interest rate swaps and forward interest rate contracts to achieve a desired proportion of variable versus fixed rate debt based on current and projected market conditions. For additional information on our derivative activity and the types of derivative instruments we use to hedge our currency exchange, commodity price and interest rate exposures, see Note 9, </w:t>
      </w:r>
      <w:r>
        <w:rPr>
          <w:rFonts w:ascii="Arial;sans-serif" w:hAnsi="Arial;sans-serif"/>
          <w:b w:val="false"/>
          <w:i/>
          <w:color w:val="000000"/>
          <w:sz w:val="20"/>
        </w:rPr>
        <w:t>Financial Instruments</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val="false"/>
          <w:color w:val="000000"/>
          <w:sz w:val="20"/>
        </w:rPr>
        <w:t xml:space="preserve">for additional information on our debt activity, see Note 8, </w:t>
      </w:r>
      <w:r>
        <w:rPr>
          <w:rFonts w:ascii="Arial;sans-serif" w:hAnsi="Arial;sans-serif"/>
          <w:b w:val="false"/>
          <w:i/>
          <w:color w:val="000000"/>
          <w:sz w:val="20"/>
        </w:rPr>
        <w:t>Debt and Borrowing Arrangements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additional information on our strategies, policies and practices on an ongoing basis, refer to our Annual Report on Form 10-K for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March 31, 2024. Based on this evaluation, the CEO and CFO concluded that our disclosure controls and procedures were effective as of March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together with our CEO and CFO, evaluated the changes in our internal control over financial reporting during the quarter ended March 31, 2024. There were no material changes in our internal control over financial reporting during the quarter ended March 31, 2024, that have materially affected, or are reasonably likely to materially affect, our internal control over financial reporting.</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49935"/>
                <wp:effectExtent l="0" t="0" r="0" b="0"/>
                <wp:wrapNone/>
                <wp:docPr id="141" name="Frame48"/>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8" descr=""/>
                                                <pic:cNvPicPr>
                                                  <a:picLocks noChangeAspect="1" noChangeArrowheads="1"/>
                                                </pic:cNvPicPr>
                                              </pic:nvPicPr>
                                              <pic:blipFill>
                                                <a:blip r:embed="rId95"/>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46</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8" descr=""/>
                                          <pic:cNvPicPr>
                                            <a:picLocks noChangeAspect="1" noChangeArrowheads="1"/>
                                          </pic:cNvPicPr>
                                        </pic:nvPicPr>
                                        <pic:blipFill>
                                          <a:blip r:embed="rId96"/>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Information regarding legal proceedings is available in Note 12, </w:t>
      </w:r>
      <w:r>
        <w:rPr>
          <w:rFonts w:ascii="Arial;sans-serif" w:hAnsi="Arial;sans-serif"/>
          <w:b w:val="false"/>
          <w:i/>
          <w:color w:val="000000"/>
          <w:sz w:val="20"/>
        </w:rPr>
        <w:t>Commitments and Contingencies</w:t>
      </w:r>
      <w:r>
        <w:rPr>
          <w:rFonts w:ascii="Arial;sans-serif" w:hAnsi="Arial;sans-serif"/>
          <w:b w:val="false"/>
          <w:color w:val="000000"/>
          <w:sz w:val="20"/>
        </w:rPr>
        <w:t>, to the condensed consolidated financial statements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There were no material changes to the risk factors disclosed in our Annual Report on Form 10-K for the year ended December 31,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stock repurchase activity for each of the three months in the quarter ended March 31, 2024 was:</w:t>
      </w:r>
    </w:p>
    <w:tbl>
      <w:tblPr>
        <w:tblW w:w="10205" w:type="dxa"/>
        <w:jc w:val="left"/>
        <w:tblInd w:w="0" w:type="dxa"/>
        <w:tblLayout w:type="fixed"/>
        <w:tblCellMar>
          <w:top w:w="28" w:type="dxa"/>
          <w:left w:w="28" w:type="dxa"/>
          <w:bottom w:w="28" w:type="dxa"/>
          <w:right w:w="28" w:type="dxa"/>
        </w:tblCellMar>
      </w:tblPr>
      <w:tblGrid>
        <w:gridCol w:w="806"/>
        <w:gridCol w:w="646"/>
        <w:gridCol w:w="457"/>
        <w:gridCol w:w="510"/>
        <w:gridCol w:w="511"/>
        <w:gridCol w:w="328"/>
        <w:gridCol w:w="109"/>
        <w:gridCol w:w="109"/>
        <w:gridCol w:w="109"/>
        <w:gridCol w:w="217"/>
        <w:gridCol w:w="666"/>
        <w:gridCol w:w="113"/>
        <w:gridCol w:w="109"/>
        <w:gridCol w:w="109"/>
        <w:gridCol w:w="109"/>
        <w:gridCol w:w="510"/>
        <w:gridCol w:w="511"/>
        <w:gridCol w:w="511"/>
        <w:gridCol w:w="109"/>
        <w:gridCol w:w="109"/>
        <w:gridCol w:w="109"/>
        <w:gridCol w:w="716"/>
        <w:gridCol w:w="2193"/>
        <w:gridCol w:w="529"/>
      </w:tblGrid>
      <w:tr>
        <w:trPr/>
        <w:tc>
          <w:tcPr>
            <w:tcW w:w="80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Period</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of Shares</w:t>
            </w:r>
          </w:p>
          <w:p>
            <w:pPr>
              <w:pStyle w:val="TableContents"/>
              <w:bidi w:val="0"/>
              <w:spacing w:lineRule="auto" w:line="240" w:before="0" w:after="0"/>
              <w:jc w:val="center"/>
              <w:rPr/>
            </w:pPr>
            <w:r>
              <w:rPr>
                <w:rFonts w:ascii="Arial;sans-serif" w:hAnsi="Arial;sans-serif"/>
                <w:b/>
                <w:color w:val="000000"/>
                <w:sz w:val="16"/>
              </w:rPr>
              <w:t xml:space="preserve">Purchased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Price Paid</w:t>
            </w:r>
          </w:p>
          <w:p>
            <w:pPr>
              <w:pStyle w:val="TableContents"/>
              <w:bidi w:val="0"/>
              <w:spacing w:lineRule="auto" w:line="240" w:before="0" w:after="0"/>
              <w:jc w:val="center"/>
              <w:rPr/>
            </w:pPr>
            <w:r>
              <w:rPr>
                <w:rFonts w:ascii="Arial;sans-serif" w:hAnsi="Arial;sans-serif"/>
                <w:b/>
                <w:color w:val="000000"/>
                <w:sz w:val="16"/>
              </w:rPr>
              <w:t>per Share </w:t>
            </w:r>
            <w:r>
              <w:rPr>
                <w:rFonts w:ascii="Arial;sans-serif" w:hAnsi="Arial;sans-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Total Number of</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Shares Purchased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Part of Publicly</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Announced Plans</w:t>
            </w:r>
          </w:p>
          <w:p>
            <w:pPr>
              <w:pStyle w:val="TableContents"/>
              <w:bidi w:val="0"/>
              <w:spacing w:lineRule="auto" w:line="240" w:before="0" w:after="0"/>
              <w:jc w:val="center"/>
              <w:rPr/>
            </w:pPr>
            <w:r>
              <w:rPr>
                <w:rFonts w:ascii="Arial;sans-serif" w:hAnsi="Arial;sans-serif"/>
                <w:b/>
                <w:color w:val="000000"/>
                <w:sz w:val="16"/>
              </w:rPr>
              <w:t xml:space="preserve">or Programs </w:t>
            </w:r>
            <w:r>
              <w:rPr>
                <w:rFonts w:ascii="Arial;sans-serif" w:hAnsi="Arial;sans-serif"/>
                <w:b/>
                <w:color w:val="000000"/>
                <w:sz w:val="10"/>
              </w:rPr>
              <w:t>(2)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Approximate Dollar Value of Shares That May Yet Be Purchased Under the Plans or Programs </w:t>
            </w:r>
            <w:r>
              <w:rPr>
                <w:rFonts w:ascii="Arial;sans-serif" w:hAnsi="Arial;sans-serif"/>
                <w:b/>
                <w:color w:val="000000"/>
                <w:sz w:val="10"/>
              </w:rPr>
              <w:t>(2)</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1-31, 2024</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2,855,262 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2,849,179 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4,222 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1-29, 2024</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3,115,395 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2,554,318 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1-31, 2024</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2,307,961 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2,304,960 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3,869 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the Quarter Ended March 31, 2024</w:t>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8,278,618 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7,708,457 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(1)The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6,083 shares, 561,077 shares and 3,001 shares for the fiscal months of January, February and March 2024, respectively.</w:t>
      </w:r>
    </w:p>
    <w:p>
      <w:pPr>
        <w:pStyle w:val="TextBody"/>
        <w:bidi w:val="0"/>
        <w:spacing w:lineRule="auto" w:line="288" w:before="0" w:after="0"/>
        <w:ind w:left="0" w:right="0" w:hanging="360"/>
        <w:jc w:val="both"/>
        <w:rPr/>
      </w:pPr>
      <w:r>
        <w:rPr>
          <w:rFonts w:ascii="Arial;sans-serif" w:hAnsi="Arial;sans-serif"/>
          <w:b w:val="false"/>
          <w:color w:val="000000"/>
          <w:sz w:val="16"/>
        </w:rPr>
        <w:t xml:space="preserve">(2)Dollar values stated in millions. Effective January 1, 2023, our Board of Directors authorized a program for the repurchase of $6.0 billion of our Common Stock through December 31, 2025, excluding excise tax. During the year ended December 31, 2023, we repurchased approximately $1.6 billion of Common Stock pursuant to this authorization. During the three months ended March 31, 2024, we repurchased $563 million, and as of March 31, 2024, we had approximately $3.9 billion share repurchase authorization remaining. See related information in Note 11, </w:t>
      </w:r>
      <w:r>
        <w:rPr>
          <w:rFonts w:ascii="Arial;sans-serif" w:hAnsi="Arial;sans-serif"/>
          <w:b w:val="false"/>
          <w:i/>
          <w:color w:val="000000"/>
          <w:sz w:val="16"/>
        </w:rPr>
        <w:t>Stock Plans</w:t>
      </w:r>
      <w:r>
        <w:rPr>
          <w:rFonts w:ascii="Arial;sans-serif" w:hAnsi="Arial;sans-serif"/>
          <w:b w:val="false"/>
          <w:color w:val="000000"/>
          <w:sz w:val="16"/>
        </w:rPr>
        <w:t>.</w:t>
      </w:r>
    </w:p>
    <w:p>
      <w:pPr>
        <w:pStyle w:val="TextBody"/>
        <w:bidi w:val="0"/>
        <w:spacing w:lineRule="auto" w:line="288" w:before="0" w:after="0"/>
        <w:ind w:left="0" w:right="0" w:hanging="360"/>
        <w:jc w:val="both"/>
        <w:rPr>
          <w:rFonts w:ascii="Arial;sans-serif" w:hAnsi="Arial;sans-serif"/>
          <w:b w:val="false"/>
          <w:color w:val="000000"/>
          <w:sz w:val="16"/>
        </w:rPr>
      </w:pPr>
      <w:r>
        <w:rPr>
          <w:rFonts w:ascii="Arial;sans-serif" w:hAnsi="Arial;sans-serif"/>
          <w:b w:val="false"/>
          <w:color w:val="000000"/>
          <w:sz w:val="16"/>
        </w:rPr>
        <w:t>(3)Our share repurchases in excess of issuances are subject to a 1% excise tax enacted by the Inflation Reduction Act. Any excise tax incurred on share repurchases is recognized as part of the cost basis of the shares acquired in the consolidated statements of equity.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 Insider Trading Arrangements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March 31, 2024, no such plans or other arrangements were adopted or terminated.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49935"/>
                <wp:effectExtent l="0" t="0" r="0" b="0"/>
                <wp:wrapNone/>
                <wp:docPr id="144" name="Frame49"/>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9" descr=""/>
                                                <pic:cNvPicPr>
                                                  <a:picLocks noChangeAspect="1" noChangeArrowheads="1"/>
                                                </pic:cNvPicPr>
                                              </pic:nvPicPr>
                                              <pic:blipFill>
                                                <a:blip r:embed="rId97"/>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47</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9" descr=""/>
                                          <pic:cNvPicPr>
                                            <a:picLocks noChangeAspect="1" noChangeArrowheads="1"/>
                                          </pic:cNvPicPr>
                                        </pic:nvPicPr>
                                        <pic:blipFill>
                                          <a:blip r:embed="rId98"/>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2737"/>
        <w:gridCol w:w="2610"/>
        <w:gridCol w:w="3735"/>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Description</w:t>
            </w:r>
          </w:p>
        </w:tc>
      </w:tr>
      <w:tr>
        <w:trPr/>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9">
              <w:r>
                <w:rPr>
                  <w:rStyle w:val="InternetLink"/>
                  <w:rFonts w:ascii="Arial;sans-serif" w:hAnsi="Arial;sans-serif"/>
                  <w:b w:val="false"/>
                  <w:color w:val="000080"/>
                  <w:sz w:val="20"/>
                  <w:u w:val="single"/>
                </w:rPr>
                <w:t>364-Day Revolving Credit Agreement, dated February 21, 2024, by and among Mondelēz International, Inc., the lenders named therein and JPMorgan Chase Bank, N.A., as Administrative Agent</w:t>
              </w:r>
            </w:hyperlink>
            <w:hyperlink r:id="rId100">
              <w:r>
                <w:rPr>
                  <w:rStyle w:val="InternetLink"/>
                  <w:rFonts w:ascii="Arial;sans-serif" w:hAnsi="Arial;sans-serif"/>
                  <w:b w:val="false"/>
                  <w:color w:val="000080"/>
                  <w:sz w:val="20"/>
                  <w:u w:val="single"/>
                </w:rPr>
                <w:t xml:space="preserve"> </w:t>
              </w:r>
            </w:hyperlink>
            <w:hyperlink r:id="rId101">
              <w:r>
                <w:rPr>
                  <w:rStyle w:val="InternetLink"/>
                  <w:rFonts w:ascii="Arial;sans-serif" w:hAnsi="Arial;sans-serif"/>
                  <w:b w:val="false"/>
                  <w:color w:val="000080"/>
                  <w:sz w:val="20"/>
                  <w:u w:val="single"/>
                </w:rPr>
                <w:t>(incorporated by reference to Exhibit 10.1</w:t>
              </w:r>
            </w:hyperlink>
            <w:hyperlink r:id="rId102">
              <w:r>
                <w:rPr>
                  <w:rStyle w:val="InternetLink"/>
                  <w:rFonts w:ascii="Arial;sans-serif" w:hAnsi="Arial;sans-serif"/>
                  <w:b w:val="false"/>
                  <w:color w:val="000080"/>
                  <w:sz w:val="20"/>
                  <w:u w:val="single"/>
                </w:rPr>
                <w:t xml:space="preserve"> to the Registrant’s </w:t>
              </w:r>
            </w:hyperlink>
            <w:hyperlink r:id="rId103">
              <w:r>
                <w:rPr>
                  <w:rStyle w:val="InternetLink"/>
                  <w:rFonts w:ascii="Arial;sans-serif" w:hAnsi="Arial;sans-serif"/>
                  <w:b w:val="false"/>
                  <w:color w:val="000080"/>
                  <w:sz w:val="20"/>
                  <w:u w:val="single"/>
                </w:rPr>
                <w:t>Current</w:t>
              </w:r>
            </w:hyperlink>
            <w:hyperlink r:id="rId104">
              <w:r>
                <w:rPr>
                  <w:rStyle w:val="InternetLink"/>
                  <w:rFonts w:ascii="Arial;sans-serif" w:hAnsi="Arial;sans-serif"/>
                  <w:b w:val="false"/>
                  <w:color w:val="000080"/>
                  <w:sz w:val="20"/>
                  <w:u w:val="single"/>
                </w:rPr>
                <w:t xml:space="preserve"> Report on Form </w:t>
              </w:r>
            </w:hyperlink>
            <w:hyperlink r:id="rId105">
              <w:r>
                <w:rPr>
                  <w:rStyle w:val="InternetLink"/>
                  <w:rFonts w:ascii="Arial;sans-serif" w:hAnsi="Arial;sans-serif"/>
                  <w:b w:val="false"/>
                  <w:color w:val="000080"/>
                  <w:sz w:val="20"/>
                  <w:u w:val="single"/>
                </w:rPr>
                <w:t>8</w:t>
              </w:r>
            </w:hyperlink>
            <w:hyperlink r:id="rId106">
              <w:r>
                <w:rPr>
                  <w:rStyle w:val="InternetLink"/>
                  <w:rFonts w:ascii="Arial;sans-serif" w:hAnsi="Arial;sans-serif"/>
                  <w:b w:val="false"/>
                  <w:color w:val="000080"/>
                  <w:sz w:val="20"/>
                  <w:u w:val="single"/>
                </w:rPr>
                <w:t>-K filed with the SEC on February 2</w:t>
              </w:r>
            </w:hyperlink>
            <w:hyperlink r:id="rId107">
              <w:r>
                <w:rPr>
                  <w:rStyle w:val="InternetLink"/>
                  <w:rFonts w:ascii="Arial;sans-serif" w:hAnsi="Arial;sans-serif"/>
                  <w:b w:val="false"/>
                  <w:color w:val="000080"/>
                  <w:sz w:val="20"/>
                  <w:u w:val="single"/>
                </w:rPr>
                <w:t>1</w:t>
              </w:r>
            </w:hyperlink>
            <w:hyperlink r:id="rId108">
              <w:r>
                <w:rPr>
                  <w:rStyle w:val="InternetLink"/>
                  <w:rFonts w:ascii="Arial;sans-serif" w:hAnsi="Arial;sans-serif"/>
                  <w:b w:val="false"/>
                  <w:color w:val="000080"/>
                  <w:sz w:val="20"/>
                  <w:u w:val="single"/>
                </w:rPr>
                <w:t>, 20</w:t>
              </w:r>
            </w:hyperlink>
            <w:hyperlink r:id="rId109">
              <w:r>
                <w:rPr>
                  <w:rStyle w:val="InternetLink"/>
                  <w:rFonts w:ascii="Arial;sans-serif" w:hAnsi="Arial;sans-serif"/>
                  <w:b w:val="false"/>
                  <w:color w:val="000080"/>
                  <w:sz w:val="20"/>
                  <w:u w:val="single"/>
                </w:rPr>
                <w:t>24</w:t>
              </w:r>
            </w:hyperlink>
            <w:hyperlink r:id="rId110">
              <w:r>
                <w:rPr>
                  <w:rStyle w:val="InternetLink"/>
                  <w:rFonts w:ascii="Arial;sans-serif" w:hAnsi="Arial;sans-serif"/>
                  <w:b w:val="false"/>
                  <w:color w:val="000080"/>
                  <w:sz w:val="20"/>
                  <w:u w:val="single"/>
                </w:rPr>
                <w: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2_33124.htm">
              <w:r>
                <w:rPr>
                  <w:rStyle w:val="InternetLink"/>
                  <w:rFonts w:ascii="Arial;sans-serif" w:hAnsi="Arial;sans-serif"/>
                  <w:b w:val="false"/>
                  <w:color w:val="000080"/>
                  <w:sz w:val="20"/>
                  <w:u w:val="single"/>
                </w:rPr>
                <w:t xml:space="preserve">2024 Form of Mondelēz International, Inc. Amended and Restated 2005 Performance Incentive Plan </w:t>
              </w:r>
            </w:hyperlink>
            <w:hyperlink w:anchor="ex102_33124.htm">
              <w:r>
                <w:rPr>
                  <w:rStyle w:val="InternetLink"/>
                  <w:rFonts w:ascii="Arial;sans-serif" w:hAnsi="Arial;sans-serif"/>
                  <w:b w:val="false"/>
                  <w:color w:val="000080"/>
                  <w:sz w:val="20"/>
                  <w:u w:val="single"/>
                </w:rPr>
                <w:t xml:space="preserve">Non-Qualified </w:t>
              </w:r>
            </w:hyperlink>
            <w:hyperlink w:anchor="ex102_33124.htm">
              <w:r>
                <w:rPr>
                  <w:rStyle w:val="InternetLink"/>
                  <w:rFonts w:ascii="Arial;sans-serif" w:hAnsi="Arial;sans-serif"/>
                  <w:b w:val="false"/>
                  <w:color w:val="000080"/>
                  <w:sz w:val="20"/>
                  <w:u w:val="single"/>
                </w:rPr>
                <w:t xml:space="preserve">Global Stock </w:t>
              </w:r>
            </w:hyperlink>
            <w:hyperlink w:anchor="ex102_33124.htm">
              <w:r>
                <w:rPr>
                  <w:rStyle w:val="InternetLink"/>
                  <w:rFonts w:ascii="Arial;sans-serif" w:hAnsi="Arial;sans-serif"/>
                  <w:b w:val="false"/>
                  <w:color w:val="000080"/>
                  <w:sz w:val="20"/>
                  <w:u w:val="single"/>
                </w:rPr>
                <w:t>Options Agreement</w:t>
              </w:r>
            </w:hyperlink>
            <w:hyperlink w:anchor="ex102_33124.htm">
              <w:r>
                <w:rPr>
                  <w:rStyle w:val="InternetLink"/>
                  <w:rFonts w:ascii="Arial;sans-serif" w:hAnsi="Arial;sans-serif"/>
                  <w:b w:val="false"/>
                  <w:color w:val="000080"/>
                  <w:sz w:val="20"/>
                  <w:u w:val="single"/>
                </w:rPr>
                <w: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3_33124.htm">
              <w:r>
                <w:rPr>
                  <w:rStyle w:val="InternetLink"/>
                  <w:rFonts w:ascii="Arial;sans-serif" w:hAnsi="Arial;sans-serif"/>
                  <w:b w:val="false"/>
                  <w:color w:val="000080"/>
                  <w:sz w:val="20"/>
                  <w:u w:val="single"/>
                </w:rPr>
                <w:t xml:space="preserve">2024 Form of Mondelēz International, Inc. Amended and Restated 2005 Performance Incentive Plan </w:t>
              </w:r>
            </w:hyperlink>
            <w:hyperlink w:anchor="ex103_33124.htm">
              <w:r>
                <w:rPr>
                  <w:rStyle w:val="InternetLink"/>
                  <w:rFonts w:ascii="Arial;sans-serif" w:hAnsi="Arial;sans-serif"/>
                  <w:b w:val="false"/>
                  <w:color w:val="000080"/>
                  <w:sz w:val="20"/>
                  <w:u w:val="single"/>
                </w:rPr>
                <w:t>Global</w:t>
              </w:r>
            </w:hyperlink>
            <w:hyperlink w:anchor="ex103_33124.htm">
              <w:r>
                <w:rPr>
                  <w:rStyle w:val="InternetLink"/>
                  <w:rFonts w:ascii="Arial;sans-serif" w:hAnsi="Arial;sans-serif"/>
                  <w:b w:val="false"/>
                  <w:color w:val="000080"/>
                  <w:sz w:val="20"/>
                  <w:u w:val="single"/>
                </w:rPr>
                <w:t xml:space="preserve"> </w:t>
              </w:r>
            </w:hyperlink>
            <w:hyperlink w:anchor="ex103_33124.htm">
              <w:r>
                <w:rPr>
                  <w:rStyle w:val="InternetLink"/>
                  <w:rFonts w:ascii="Arial;sans-serif" w:hAnsi="Arial;sans-serif"/>
                  <w:b w:val="false"/>
                  <w:color w:val="000080"/>
                  <w:sz w:val="20"/>
                  <w:u w:val="single"/>
                </w:rPr>
                <w:t>Long-Term Incentive Grant Agreement.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104_33124.htm">
              <w:r>
                <w:rPr>
                  <w:rStyle w:val="InternetLink"/>
                  <w:rFonts w:ascii="Arial;sans-serif" w:hAnsi="Arial;sans-serif"/>
                  <w:b w:val="false"/>
                  <w:color w:val="0000FF"/>
                  <w:sz w:val="20"/>
                  <w:u w:val="single"/>
                </w:rPr>
                <w:t>2024 Form of Mondelēz International, Inc. Amended and Restated 2005 Performance Incentive Plan Global Deferred Stock Unit Agreement</w:t>
              </w:r>
            </w:hyperlink>
            <w:r>
              <w:rPr>
                <w:rFonts w:ascii="Arial;sans-serif" w:hAnsi="Arial;sans-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1_33124.htm">
              <w:r>
                <w:rPr>
                  <w:rStyle w:val="InternetLink"/>
                  <w:rFonts w:ascii="Arial;sans-serif" w:hAnsi="Arial;sans-serif"/>
                  <w:b w:val="false"/>
                  <w:color w:val="0000FF"/>
                  <w:sz w:val="20"/>
                  <w:u w:val="single"/>
                </w:rPr>
                <w:t>Certification of Chief Executive Officer pursuant to Rule 13a-14(a)/15d-14(a) of the Securities Exchange Act of 1934, as amended.</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12_33124.htm">
              <w:r>
                <w:rPr>
                  <w:rStyle w:val="InternetLink"/>
                  <w:rFonts w:ascii="Arial;sans-serif" w:hAnsi="Arial;sans-serif"/>
                  <w:b w:val="false"/>
                  <w:color w:val="0000FF"/>
                  <w:sz w:val="20"/>
                  <w:u w:val="single"/>
                </w:rPr>
                <w:t>Certification of Chief Financial Officer pursuant to Rule 13a-14(a)/15d-14(a) of the Securities Exchange Act of 1934, as amended.</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321_33124.htm">
              <w:r>
                <w:rPr>
                  <w:rStyle w:val="InternetLink"/>
                  <w:rFonts w:ascii="Arial;sans-serif" w:hAnsi="Arial;sans-serif"/>
                  <w:b w:val="false"/>
                  <w:color w:val="0000FF"/>
                  <w:sz w:val="20"/>
                  <w:u w:val="single"/>
                </w:rPr>
                <w:t>Certifications of Chief Executive Officer and Chief Financial Officer pursuant to 18 U.S.C. 1350, as adopted pursuant to Section 906 of the Sarbanes-Oxley Act of 2002.</w:t>
              </w:r>
            </w:hyperlink>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 xml:space="preserve">The following materials from Mondelēz International’s Quarterly Report on Form 10-Q for the quarter ended March 31, 2024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(vi) Notes to Condensed Consolidated Financial Statements and (vii) Part II, Item 5. </w:t>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The cover page from Mondelēz International’s Quarterly Report on Form 10-Q for the quarter ended March 31, 2024, formatted in Inline XBRL (included as Exhibit 101).</w:t>
            </w:r>
          </w:p>
        </w:tc>
      </w:tr>
    </w:tbl>
    <w:p>
      <w:pPr>
        <w:pStyle w:val="TextBody"/>
        <w:bidi w:val="0"/>
        <w:spacing w:before="100" w:after="283"/>
        <w:jc w:val="left"/>
        <w:rPr/>
      </w:pPr>
      <w:r>
        <w:rPr/>
      </w:r>
    </w:p>
    <w:p>
      <w:pPr>
        <w:pStyle w:val="TextBody"/>
        <w:bidi w:val="0"/>
        <w:spacing w:lineRule="auto" w:line="288" w:before="0" w:after="0"/>
        <w:ind w:left="0" w:right="0" w:firstLine="1440"/>
        <w:jc w:val="center"/>
        <w:rPr>
          <w:rFonts w:ascii="Arial;sans-serif" w:hAnsi="Arial;sans-serif"/>
          <w:b w:val="false"/>
          <w:i/>
          <w:color w:val="000000"/>
          <w:sz w:val="20"/>
        </w:rPr>
      </w:pPr>
      <w:r>
        <w:rPr>
          <w:rFonts w:ascii="Arial;sans-serif" w:hAnsi="Arial;sans-serif"/>
          <w:b w:val="false"/>
          <w:i/>
          <w:color w:val="000000"/>
          <w:sz w:val="20"/>
        </w:rPr>
        <w:t>+ Indicates a management contract or compensatory plan or arrangement.</w:t>
      </w:r>
    </w:p>
    <w:p>
      <w:pPr>
        <w:pStyle w:val="TextBody"/>
        <w:bidi w:val="0"/>
        <w:spacing w:before="0" w:after="0"/>
        <w:jc w:val="left"/>
        <w:rPr/>
      </w:pPr>
      <w:r>
        <w:rPr/>
      </w:r>
    </w:p>
    <w:p>
      <w:pPr>
        <w:pStyle w:val="TextBody"/>
        <w:bidi w:val="0"/>
        <w:spacing w:before="0" w:after="0"/>
        <w:ind w:left="0" w:right="0" w:firstLine="1440"/>
        <w:jc w:val="left"/>
        <w:rPr/>
      </w:pPr>
      <w:r>
        <w:rPr/>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49935"/>
                <wp:effectExtent l="0" t="0" r="0" b="0"/>
                <wp:wrapNone/>
                <wp:docPr id="147" name="Frame50"/>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0" descr=""/>
                                                <pic:cNvPicPr>
                                                  <a:picLocks noChangeAspect="1" noChangeArrowheads="1"/>
                                                </pic:cNvPicPr>
                                              </pic:nvPicPr>
                                              <pic:blipFill>
                                                <a:blip r:embed="rId111"/>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48</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4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0" descr=""/>
                                          <pic:cNvPicPr>
                                            <a:picLocks noChangeAspect="1" noChangeArrowheads="1"/>
                                          </pic:cNvPicPr>
                                        </pic:nvPicPr>
                                        <pic:blipFill>
                                          <a:blip r:embed="rId112"/>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6c95f23a8a74d8884db6f85e38f69db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3376" w:type="dxa"/>
        <w:jc w:val="left"/>
        <w:tblInd w:w="0" w:type="dxa"/>
        <w:tblLayout w:type="fixed"/>
        <w:tblCellMar>
          <w:top w:w="28" w:type="dxa"/>
          <w:left w:w="28" w:type="dxa"/>
          <w:bottom w:w="28" w:type="dxa"/>
          <w:right w:w="28" w:type="dxa"/>
        </w:tblCellMar>
      </w:tblPr>
      <w:tblGrid>
        <w:gridCol w:w="1081"/>
        <w:gridCol w:w="950"/>
        <w:gridCol w:w="1345"/>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MONDELĒZ INTERNATIONAL, INC.</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 LUCA ZARAMELLA</w:t>
            </w:r>
          </w:p>
        </w:tc>
      </w:tr>
      <w:tr>
        <w:trPr/>
        <w:tc>
          <w:tcPr>
            <w:tcW w:w="3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C2C2C"/>
                <w:sz w:val="20"/>
              </w:rPr>
            </w:pPr>
            <w:r>
              <w:rPr>
                <w:rFonts w:ascii="Arial;sans-serif" w:hAnsi="Arial;sans-serif"/>
                <w:b w:val="false"/>
                <w:color w:val="2C2C2C"/>
                <w:sz w:val="20"/>
              </w:rPr>
              <w:t>(Duly Authorized Officer)</w:t>
            </w:r>
          </w:p>
        </w:tc>
      </w:tr>
      <w:tr>
        <w:trPr/>
        <w:tc>
          <w:tcPr>
            <w:tcW w:w="3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30, 2024</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49935"/>
                <wp:effectExtent l="0" t="0" r="0" b="0"/>
                <wp:wrapNone/>
                <wp:docPr id="150" name="Frame51"/>
                <a:graphic xmlns:a="http://schemas.openxmlformats.org/drawingml/2006/main">
                  <a:graphicData uri="http://schemas.microsoft.com/office/word/2010/wordprocessingShape">
                    <wps:wsp>
                      <wps:cNvSpPr txBox="1"/>
                      <wps:spPr>
                        <a:xfrm>
                          <a:off x="0" y="0"/>
                          <a:ext cx="6480175" cy="749935"/>
                        </a:xfrm>
                        <a:prstGeom prst="rect"/>
                        <a:solidFill>
                          <a:srgbClr val="FFFFFF"/>
                        </a:solidFill>
                      </wps:spPr>
                      <wps:txb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1" descr=""/>
                                                <pic:cNvPicPr>
                                                  <a:picLocks noChangeAspect="1" noChangeArrowheads="1"/>
                                                </pic:cNvPicPr>
                                              </pic:nvPicPr>
                                              <pic:blipFill>
                                                <a:blip r:embed="rId113"/>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05pt;mso-wrap-distance-left:0pt;mso-wrap-distance-right:0pt;mso-wrap-distance-top:0pt;mso-wrap-distance-bottom:0pt;margin-top:0pt;mso-position-vertical:top;mso-position-vertical-relative:text;margin-left:0pt;mso-position-horizontal:left;mso-position-horizontal-relative:text">
                <v:textbox>
                  <w:txbxContent>
                    <w:tbl>
                      <w:tblPr>
                        <w:tblW w:w="123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
                        <w:gridCol w:w="165"/>
                        <w:gridCol w:w="2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49</w:t>
                            </w:r>
                          </w:p>
                        </w:tc>
                        <w:tc>
                          <w:tcPr>
                            <w:tcW w:w="56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76225" cy="266700"/>
                                  <wp:effectExtent l="0" t="0" r="0" b="0"/>
                                  <wp:docPr id="1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1" descr=""/>
                                          <pic:cNvPicPr>
                                            <a:picLocks noChangeAspect="1" noChangeArrowheads="1"/>
                                          </pic:cNvPicPr>
                                        </pic:nvPicPr>
                                        <pic:blipFill>
                                          <a:blip r:embed="rId114"/>
                                          <a:stretch>
                                            <a:fillRect/>
                                          </a:stretch>
                                        </pic:blipFill>
                                        <pic:spPr bwMode="auto">
                                          <a:xfrm>
                                            <a:off x="0" y="0"/>
                                            <a:ext cx="276225" cy="266700"/>
                                          </a:xfrm>
                                          <a:prstGeom prst="rect">
                                            <a:avLst/>
                                          </a:prstGeom>
                                        </pic:spPr>
                                      </pic:pic>
                                    </a:graphicData>
                                  </a:graphic>
                                </wp:inline>
                              </w:drawing>
                            </w:r>
                          </w:p>
                        </w:tc>
                      </w:tr>
                    </w:tbl>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Dirk Van de Put,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April 30, 2024</w:t>
      </w:r>
    </w:p>
    <w:p>
      <w:pPr>
        <w:pStyle w:val="TextBody"/>
        <w:bidi w:val="0"/>
        <w:spacing w:lineRule="auto" w:line="288" w:before="0" w:after="0"/>
        <w:jc w:val="left"/>
        <w:rPr>
          <w:color w:val="000000"/>
        </w:rPr>
      </w:pPr>
      <w:r>
        <w:rPr>
          <w:color w:val="000000"/>
        </w:rPr>
        <w:t> </w:t>
      </w:r>
    </w:p>
    <w:tbl>
      <w:tblPr>
        <w:tblW w:w="3450" w:type="dxa"/>
        <w:jc w:val="right"/>
        <w:tblInd w:w="0" w:type="dxa"/>
        <w:tblLayout w:type="fixed"/>
        <w:tblCellMar>
          <w:top w:w="28" w:type="dxa"/>
          <w:left w:w="28" w:type="dxa"/>
          <w:bottom w:w="28" w:type="dxa"/>
          <w:right w:w="28" w:type="dxa"/>
        </w:tblCellMar>
      </w:tblPr>
      <w:tblGrid>
        <w:gridCol w:w="1099"/>
        <w:gridCol w:w="967"/>
        <w:gridCol w:w="1384"/>
      </w:tblGrid>
      <w:tr>
        <w:trPr/>
        <w:tc>
          <w:tcPr>
            <w:tcW w:w="109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b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Luca Zaramella,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Mondelēz International,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Date: April 30, 2024</w:t>
      </w:r>
    </w:p>
    <w:p>
      <w:pPr>
        <w:pStyle w:val="TextBody"/>
        <w:bidi w:val="0"/>
        <w:spacing w:lineRule="auto" w:line="288" w:before="0" w:after="0"/>
        <w:jc w:val="left"/>
        <w:rPr>
          <w:color w:val="000000"/>
        </w:rPr>
      </w:pPr>
      <w:r>
        <w:rPr>
          <w:color w:val="000000"/>
        </w:rPr>
        <w:t> </w:t>
      </w:r>
    </w:p>
    <w:tbl>
      <w:tblPr>
        <w:tblW w:w="2744" w:type="dxa"/>
        <w:jc w:val="right"/>
        <w:tblInd w:w="0" w:type="dxa"/>
        <w:tblLayout w:type="fixed"/>
        <w:tblCellMar>
          <w:top w:w="28" w:type="dxa"/>
          <w:left w:w="28" w:type="dxa"/>
          <w:bottom w:w="28" w:type="dxa"/>
          <w:right w:w="28" w:type="dxa"/>
        </w:tblCellMar>
      </w:tblPr>
      <w:tblGrid>
        <w:gridCol w:w="879"/>
        <w:gridCol w:w="772"/>
        <w:gridCol w:w="1093"/>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 ZARAMELLA</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br/>
              <w:t>Executive Vice President and</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 OF</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CHIEF EXECUTIVE OFFICER AND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March 31, 2024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tbl>
      <w:tblPr>
        <w:tblW w:w="3450" w:type="dxa"/>
        <w:jc w:val="left"/>
        <w:tblInd w:w="0" w:type="dxa"/>
        <w:tblLayout w:type="fixed"/>
        <w:tblCellMar>
          <w:top w:w="28" w:type="dxa"/>
          <w:left w:w="28" w:type="dxa"/>
          <w:bottom w:w="28" w:type="dxa"/>
          <w:right w:w="28" w:type="dxa"/>
        </w:tblCellMar>
      </w:tblPr>
      <w:tblGrid>
        <w:gridCol w:w="1104"/>
        <w:gridCol w:w="968"/>
        <w:gridCol w:w="1378"/>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DIRK VAN DE PUT</w:t>
            </w:r>
          </w:p>
        </w:tc>
      </w:tr>
      <w:tr>
        <w:trPr/>
        <w:tc>
          <w:tcPr>
            <w:tcW w:w="3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Dirk Van de Put</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30, 2024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80" w:after="283"/>
        <w:jc w:val="left"/>
        <w:rPr>
          <w:rFonts w:ascii="Arial;sans-serif" w:hAnsi="Arial;sans-serif"/>
          <w:b w:val="false"/>
          <w:color w:val="000000"/>
          <w:sz w:val="20"/>
        </w:rPr>
      </w:pPr>
      <w:r>
        <w:rPr>
          <w:rFonts w:ascii="Arial;sans-serif" w:hAnsi="Arial;sans-serif"/>
          <w:b w:val="false"/>
          <w:color w:val="000000"/>
          <w:sz w:val="20"/>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March 31, 2024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tbl>
      <w:tblPr>
        <w:tblW w:w="2744" w:type="dxa"/>
        <w:jc w:val="left"/>
        <w:tblInd w:w="0" w:type="dxa"/>
        <w:tblLayout w:type="fixed"/>
        <w:tblCellMar>
          <w:top w:w="28" w:type="dxa"/>
          <w:left w:w="28" w:type="dxa"/>
          <w:bottom w:w="28" w:type="dxa"/>
          <w:right w:w="28" w:type="dxa"/>
        </w:tblCellMar>
      </w:tblPr>
      <w:tblGrid>
        <w:gridCol w:w="879"/>
        <w:gridCol w:w="772"/>
        <w:gridCol w:w="1093"/>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LUCA ZARAMELLA</w:t>
            </w:r>
          </w:p>
        </w:tc>
      </w:tr>
      <w:tr>
        <w:trPr/>
        <w:tc>
          <w:tcPr>
            <w:tcW w:w="2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Luca Zaramella</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April 30, 2024</w:t>
            </w:r>
          </w:p>
        </w:tc>
      </w:tr>
    </w:tbl>
    <w:p>
      <w:pPr>
        <w:pStyle w:val="TextBody"/>
        <w:bidi w:val="0"/>
        <w:spacing w:lineRule="auto" w:line="288" w:before="260" w:after="283"/>
        <w:jc w:val="left"/>
        <w:rPr>
          <w:rFonts w:ascii="Arial;sans-serif" w:hAnsi="Arial;sans-serif"/>
          <w:b w:val="false"/>
          <w:i/>
          <w:color w:val="000000"/>
          <w:sz w:val="20"/>
        </w:rPr>
      </w:pPr>
      <w:r>
        <w:rPr>
          <w:rFonts w:ascii="Arial;sans-serif" w:hAnsi="Arial;sans-serif"/>
          <w:b w:val="false"/>
          <w:i/>
          <w:color w:val="000000"/>
          <w:sz w:val="20"/>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10.2 </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4.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6" w:before="14" w:after="283"/>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2005 PERFORMANCE INCENTIVE PLAN</w:t>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as of February 3, 2017)</w:t>
      </w:r>
    </w:p>
    <w:p>
      <w:pPr>
        <w:pStyle w:val="TextBody"/>
        <w:bidi w:val="0"/>
        <w:spacing w:lineRule="auto" w:line="276" w:before="255" w:after="283"/>
        <w:jc w:val="center"/>
        <w:rPr>
          <w:rFonts w:ascii="Times New Roman;sans-serif" w:hAnsi="Times New Roman;sans-serif"/>
          <w:b/>
          <w:color w:val="000000"/>
          <w:sz w:val="22"/>
        </w:rPr>
      </w:pPr>
      <w:r>
        <w:rPr>
          <w:rFonts w:ascii="Times New Roman;sans-serif" w:hAnsi="Times New Roman;sans-serif"/>
          <w:b/>
          <w:color w:val="000000"/>
          <w:sz w:val="22"/>
        </w:rPr>
        <w:t>NON-QUALIFIED GLOBAL STOCK OPTION AGREEMENT</w:t>
      </w:r>
    </w:p>
    <w:p>
      <w:pPr>
        <w:pStyle w:val="TextBody"/>
        <w:bidi w:val="0"/>
        <w:spacing w:lineRule="auto" w:line="276" w:before="240" w:after="283"/>
        <w:ind w:left="0" w:right="0" w:firstLine="360"/>
        <w:jc w:val="left"/>
        <w:rPr/>
      </w:pP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employee (the “</w:t>
      </w:r>
      <w:r>
        <w:rPr>
          <w:rFonts w:ascii="Times New Roman;sans-serif" w:hAnsi="Times New Roman;sans-serif"/>
          <w:b w:val="false"/>
          <w:color w:val="000000"/>
          <w:sz w:val="22"/>
          <w:u w:val="single"/>
        </w:rPr>
        <w:t>Optionee</w:t>
      </w:r>
      <w:r>
        <w:rPr>
          <w:color w:val="000000"/>
        </w:rPr>
        <w:t>”</w:t>
      </w:r>
      <w:r>
        <w:rPr>
          <w:rFonts w:ascii="Times New Roman;sans-serif" w:hAnsi="Times New Roman;sans-serif"/>
          <w:b w:val="false"/>
          <w:color w:val="000000"/>
          <w:sz w:val="22"/>
        </w:rPr>
        <w:t>) identified in the award statement provided to the Optionee (the “</w:t>
      </w:r>
      <w:r>
        <w:rPr>
          <w:rFonts w:ascii="Times New Roman;sans-serif" w:hAnsi="Times New Roman;sans-serif"/>
          <w:b w:val="false"/>
          <w:color w:val="000000"/>
          <w:sz w:val="22"/>
          <w:u w:val="single"/>
        </w:rPr>
        <w:t>Award</w:t>
      </w:r>
      <w:r>
        <w:rPr>
          <w:color w:val="000000"/>
        </w:rPr>
        <w:t xml:space="preserve"> </w:t>
      </w:r>
      <w:r>
        <w:rPr>
          <w:rFonts w:ascii="Times New Roman;sans-serif" w:hAnsi="Times New Roman;sans-serif"/>
          <w:b w:val="false"/>
          <w:color w:val="000000"/>
          <w:sz w:val="22"/>
          <w:u w:val="single"/>
        </w:rPr>
        <w:t>Statement</w:t>
      </w:r>
      <w:r>
        <w:rPr>
          <w:color w:val="000000"/>
        </w:rPr>
        <w:t>”</w:t>
      </w:r>
      <w:r>
        <w:rPr>
          <w:rFonts w:ascii="Times New Roman;sans-serif" w:hAnsi="Times New Roman;sans-serif"/>
          <w:b w:val="false"/>
          <w:color w:val="000000"/>
          <w:sz w:val="22"/>
        </w:rPr>
        <w:t>) under the Mondelēz International, Inc. Amended and Restated 2005 Performance Incentive Plan, as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non-qualified stock options (the “</w:t>
      </w:r>
      <w:r>
        <w:rPr>
          <w:rFonts w:ascii="Times New Roman;sans-serif" w:hAnsi="Times New Roman;sans-serif"/>
          <w:b w:val="false"/>
          <w:color w:val="000000"/>
          <w:sz w:val="22"/>
          <w:u w:val="single"/>
        </w:rPr>
        <w:t>Option</w:t>
      </w:r>
      <w:r>
        <w:rPr>
          <w:color w:val="000000"/>
        </w:rPr>
        <w:t>”</w:t>
      </w:r>
      <w:r>
        <w:rPr>
          <w:rFonts w:ascii="Times New Roman;sans-serif" w:hAnsi="Times New Roman;sans-serif"/>
          <w:b w:val="false"/>
          <w:color w:val="000000"/>
          <w:sz w:val="22"/>
        </w:rPr>
        <w:t>). The Option entitles the Optionee to exercise options for up to the aggregate number of shares set forth in the Award Statement (the “</w:t>
      </w:r>
      <w:r>
        <w:rPr>
          <w:rFonts w:ascii="Times New Roman;sans-serif" w:hAnsi="Times New Roman;sans-serif"/>
          <w:b w:val="false"/>
          <w:color w:val="000000"/>
          <w:sz w:val="22"/>
          <w:u w:val="single"/>
        </w:rPr>
        <w:t>Option Shares</w:t>
      </w:r>
      <w:r>
        <w:rPr>
          <w:color w:val="000000"/>
        </w:rPr>
        <w:t>”</w:t>
      </w:r>
      <w:r>
        <w:rPr>
          <w:rFonts w:ascii="Times New Roman;sans-serif" w:hAnsi="Times New Roman;sans-serif"/>
          <w:b w:val="false"/>
          <w:color w:val="000000"/>
          <w:sz w:val="22"/>
        </w:rPr>
        <w:t>) of the Company’s Common Stock, at the price per share set forth in the Award Statement (the “</w:t>
      </w:r>
      <w:r>
        <w:rPr>
          <w:rFonts w:ascii="Times New Roman;sans-serif" w:hAnsi="Times New Roman;sans-serif"/>
          <w:b w:val="false"/>
          <w:color w:val="000000"/>
          <w:sz w:val="22"/>
          <w:u w:val="single"/>
        </w:rPr>
        <w:t>Grant Price</w:t>
      </w:r>
      <w:r>
        <w:rPr>
          <w:color w:val="000000"/>
        </w:rPr>
        <w:t>”</w:t>
      </w:r>
      <w:r>
        <w:rPr>
          <w:rFonts w:ascii="Times New Roman;sans-serif" w:hAnsi="Times New Roman;sans-serif"/>
          <w:b w:val="false"/>
          <w:color w:val="000000"/>
          <w:sz w:val="22"/>
        </w:rPr>
        <w:t>). Capitalized terms not otherwise defined in this Non-Qualified Global Stock Option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shall have the same meaning as defined under the Plan. All references to action of or approval by the Committee shall be deemed to include action of or approval by any other person(s) to whom the Committee has delegated authority to act.</w:t>
      </w:r>
    </w:p>
    <w:p>
      <w:pPr>
        <w:pStyle w:val="TextBody"/>
        <w:bidi w:val="0"/>
        <w:spacing w:lineRule="auto" w:line="283" w:before="229" w:after="283"/>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The Option is subject to the following terms and conditions (including the country-specific terms set forth in Appendix A to this Agreement):</w:t>
      </w:r>
    </w:p>
    <w:p>
      <w:pPr>
        <w:pStyle w:val="TextBody"/>
        <w:bidi w:val="0"/>
        <w:spacing w:lineRule="auto" w:line="276" w:before="232" w:after="283"/>
        <w:ind w:left="0" w:right="0" w:firstLine="360"/>
        <w:jc w:val="left"/>
        <w:rPr>
          <w:rFonts w:ascii="Times New Roman;sans-serif" w:hAnsi="Times New Roman;sans-serif"/>
          <w:b/>
          <w:color w:val="000000"/>
          <w:sz w:val="22"/>
        </w:rPr>
      </w:pPr>
      <w:r>
        <w:rPr>
          <w:rFonts w:ascii="Times New Roman;sans-serif" w:hAnsi="Times New Roman;sans-serif"/>
          <w:b/>
          <w:color w:val="000000"/>
          <w:sz w:val="22"/>
        </w:rPr>
        <w:t>The Optionee must either execute and deliver an acceptance of the terms set forth in this Agreement or electronically accept the terms set forth in this Agreement, in the manner and within a period specified by the Committee. The Committee may, in its sole discretion, cancel the Option if the Optionee fails to accept this Agreement and related documents within the specified period or using the procedures for acceptance established by the Committee.</w:t>
      </w:r>
    </w:p>
    <w:p>
      <w:pPr>
        <w:pStyle w:val="TextBody"/>
        <w:bidi w:val="0"/>
        <w:spacing w:lineRule="auto" w:line="276" w:before="237" w:after="283"/>
        <w:ind w:left="0" w:right="0" w:firstLine="432"/>
        <w:jc w:val="left"/>
        <w:rPr/>
      </w:pPr>
      <w:r>
        <w:rPr>
          <w:rFonts w:ascii="Times New Roman;sans-serif" w:hAnsi="Times New Roman;sans-serif"/>
          <w:b w:val="false"/>
          <w:color w:val="000000"/>
          <w:sz w:val="22"/>
        </w:rPr>
        <w:t xml:space="preserve">1. </w:t>
      </w:r>
      <w:r>
        <w:rPr>
          <w:rFonts w:ascii="Times New Roman;sans-serif" w:hAnsi="Times New Roman;sans-serif"/>
          <w:b w:val="false"/>
          <w:color w:val="000000"/>
          <w:sz w:val="22"/>
          <w:u w:val="single"/>
        </w:rPr>
        <w:t>Vesting</w:t>
      </w:r>
      <w:r>
        <w:rPr>
          <w:rFonts w:ascii="Times New Roman;sans-serif" w:hAnsi="Times New Roman;sans-serif"/>
          <w:b w:val="false"/>
          <w:color w:val="000000"/>
          <w:sz w:val="22"/>
        </w:rPr>
        <w:t>. Except as expressly provided in this Agreement, this Option may not be exercised before the vesting requirements (“</w:t>
      </w:r>
      <w:r>
        <w:rPr>
          <w:rFonts w:ascii="Times New Roman;sans-serif" w:hAnsi="Times New Roman;sans-serif"/>
          <w:b w:val="false"/>
          <w:color w:val="000000"/>
          <w:sz w:val="22"/>
          <w:u w:val="single"/>
        </w:rPr>
        <w:t>Vesting Requirements</w:t>
      </w:r>
      <w:r>
        <w:rPr>
          <w:color w:val="000000"/>
        </w:rPr>
        <w:t>”</w:t>
      </w:r>
      <w:r>
        <w:rPr>
          <w:rFonts w:ascii="Times New Roman;sans-serif" w:hAnsi="Times New Roman;sans-serif"/>
          <w:b w:val="false"/>
          <w:color w:val="000000"/>
          <w:sz w:val="22"/>
        </w:rPr>
        <w:t>) set forth in the schedule to the Award Statement (the “</w:t>
      </w:r>
      <w:r>
        <w:rPr>
          <w:rFonts w:ascii="Times New Roman;sans-serif" w:hAnsi="Times New Roman;sans-serif"/>
          <w:b w:val="false"/>
          <w:color w:val="000000"/>
          <w:sz w:val="22"/>
          <w:u w:val="single"/>
        </w:rPr>
        <w:t>Schedule</w:t>
      </w:r>
      <w:r>
        <w:rPr>
          <w:color w:val="000000"/>
        </w:rPr>
        <w:t>”</w:t>
      </w:r>
      <w:r>
        <w:rPr>
          <w:rFonts w:ascii="Times New Roman;sans-serif" w:hAnsi="Times New Roman;sans-serif"/>
          <w:b w:val="false"/>
          <w:color w:val="000000"/>
          <w:sz w:val="22"/>
        </w:rPr>
        <w:t>) have been satisfied.</w:t>
      </w:r>
    </w:p>
    <w:p>
      <w:pPr>
        <w:pStyle w:val="TextBody"/>
        <w:bidi w:val="0"/>
        <w:spacing w:lineRule="auto" w:line="276" w:before="236" w:after="283"/>
        <w:ind w:left="0" w:right="0" w:firstLine="432"/>
        <w:jc w:val="left"/>
        <w:rPr/>
      </w:pPr>
      <w:r>
        <w:rPr>
          <w:rFonts w:ascii="Times New Roman;sans-serif" w:hAnsi="Times New Roman;sans-serif"/>
          <w:b w:val="false"/>
          <w:color w:val="000000"/>
          <w:sz w:val="22"/>
        </w:rPr>
        <w:t xml:space="preserve">2. </w:t>
      </w:r>
      <w:r>
        <w:rPr>
          <w:rFonts w:ascii="Times New Roman;sans-serif" w:hAnsi="Times New Roman;sans-serif"/>
          <w:b w:val="false"/>
          <w:color w:val="000000"/>
          <w:sz w:val="22"/>
          <w:u w:val="single"/>
        </w:rPr>
        <w:t>Vesting Upon Termination of Employment</w:t>
      </w:r>
      <w:r>
        <w:rPr>
          <w:rFonts w:ascii="Times New Roman;sans-serif" w:hAnsi="Times New Roman;sans-serif"/>
          <w:b w:val="false"/>
          <w:color w:val="000000"/>
          <w:sz w:val="22"/>
        </w:rPr>
        <w:t>. Unless determined otherwise by the Committee or except as expressly provided in this Agreement, if the Optionee terminates employment with the Mondelēz Group before satisfying the Vesting Requirements, this Option will not be exercisable. If the Optionee terminates employment with the Mondelez Group before satisfying the Vesting Requirements due to:</w:t>
      </w:r>
    </w:p>
    <w:p>
      <w:pPr>
        <w:pStyle w:val="TextBody"/>
        <w:bidi w:val="0"/>
        <w:spacing w:lineRule="auto" w:line="276" w:before="236" w:after="283"/>
        <w:ind w:left="0" w:right="0" w:firstLine="720"/>
        <w:jc w:val="left"/>
        <w:rPr/>
      </w:pPr>
      <w:r>
        <w:rPr>
          <w:rFonts w:ascii="Times New Roman;sans-serif" w:hAnsi="Times New Roman;sans-serif"/>
          <w:b w:val="false"/>
          <w:color w:val="000000"/>
          <w:sz w:val="22"/>
        </w:rPr>
        <w:t>(a)</w:t>
      </w:r>
      <w:r>
        <w:rPr>
          <w:rFonts w:ascii="Times New Roman;sans-serif" w:hAnsi="Times New Roman;sans-serif"/>
          <w:b w:val="false"/>
          <w:color w:val="000000"/>
          <w:sz w:val="22"/>
        </w:rPr>
        <w:t>the Optionee’s death or Disability (as defined below in paragraph 15), then this Option will become immediately exercisable for 100% of the Option Shares identified in the Award Statement; or</w:t>
      </w:r>
    </w:p>
    <w:p>
      <w:pPr>
        <w:pStyle w:val="TextBody"/>
        <w:bidi w:val="0"/>
        <w:spacing w:lineRule="auto" w:line="276" w:before="247" w:after="283"/>
        <w:ind w:left="0" w:right="0" w:firstLine="720"/>
        <w:jc w:val="left"/>
        <w:rPr/>
      </w:pPr>
      <w:r>
        <w:rPr>
          <w:rFonts w:ascii="Times New Roman;sans-serif" w:hAnsi="Times New Roman;sans-serif"/>
          <w:b w:val="false"/>
          <w:color w:val="000000"/>
          <w:sz w:val="22"/>
        </w:rPr>
        <w:t>(b)the Optionee’s Retirement (as defined below in paragraph 15) occurring at least 180 days after the date of grant (“</w:t>
      </w:r>
      <w:r>
        <w:rPr>
          <w:rFonts w:ascii="Times New Roman;sans-serif" w:hAnsi="Times New Roman;sans-serif"/>
          <w:b w:val="false"/>
          <w:color w:val="000000"/>
          <w:sz w:val="22"/>
          <w:u w:val="single"/>
        </w:rPr>
        <w:t>Grant Date</w:t>
      </w:r>
      <w:r>
        <w:rPr>
          <w:color w:val="000000"/>
        </w:rPr>
        <w:t>”</w:t>
      </w:r>
      <w:r>
        <w:rPr>
          <w:rFonts w:ascii="Times New Roman;sans-serif" w:hAnsi="Times New Roman;sans-serif"/>
          <w:b w:val="false"/>
          <w:color w:val="000000"/>
          <w:sz w:val="22"/>
        </w:rPr>
        <w:t>) of the Option, or as otherwise determined by the Committee, and provided the Option is not otherwise accounted for, or included in, the Optionee’s severance or retirement arrangement with the Mondelēz Group and the Optionee timely executes a general release and waiver of claims in a form and manner determined by the Company in its sole discretion, then this Option will continue to vest and become exercisable as identified on the Schedule as if the Optionee’s employment had not terminated.</w:t>
      </w:r>
    </w:p>
    <w:p>
      <w:pPr>
        <w:pStyle w:val="TextBody"/>
        <w:bidi w:val="0"/>
        <w:spacing w:lineRule="auto" w:line="276" w:before="238" w:after="283"/>
        <w:ind w:left="0" w:right="0" w:firstLine="432"/>
        <w:jc w:val="left"/>
        <w:rPr/>
      </w:pPr>
      <w:r>
        <w:rPr>
          <w:rFonts w:ascii="Times New Roman;sans-serif" w:hAnsi="Times New Roman;sans-serif"/>
          <w:b w:val="false"/>
          <w:color w:val="000000"/>
          <w:sz w:val="22"/>
        </w:rPr>
        <w:t xml:space="preserve">3. </w:t>
      </w:r>
      <w:r>
        <w:rPr>
          <w:rFonts w:ascii="Times New Roman;sans-serif" w:hAnsi="Times New Roman;sans-serif"/>
          <w:b w:val="false"/>
          <w:color w:val="000000"/>
          <w:sz w:val="22"/>
          <w:u w:val="single"/>
        </w:rPr>
        <w:t>Exercisability Upon Termination of Employment from the Mondelēz Group</w:t>
      </w:r>
      <w:r>
        <w:rPr>
          <w:rFonts w:ascii="Times New Roman;sans-serif" w:hAnsi="Times New Roman;sans-serif"/>
          <w:b w:val="false"/>
          <w:color w:val="000000"/>
          <w:sz w:val="22"/>
        </w:rPr>
        <w:t>. During the period commencing on the first date that the Vesting Requirements are satisfied (or, such earlier date determined in accordance with paragraph 2) until the close of the market on the expiration date set forth in the Schedule (“</w:t>
      </w:r>
      <w:r>
        <w:rPr>
          <w:rFonts w:ascii="Times New Roman;sans-serif" w:hAnsi="Times New Roman;sans-serif"/>
          <w:b w:val="false"/>
          <w:color w:val="000000"/>
          <w:sz w:val="22"/>
          <w:u w:val="single"/>
        </w:rPr>
        <w:t>Expiration Date</w:t>
      </w:r>
      <w:r>
        <w:rPr>
          <w:color w:val="000000"/>
        </w:rPr>
        <w:t>”</w:t>
      </w:r>
      <w:r>
        <w:rPr>
          <w:rFonts w:ascii="Times New Roman;sans-serif" w:hAnsi="Times New Roman;sans-serif"/>
          <w:b w:val="false"/>
          <w:color w:val="000000"/>
          <w:sz w:val="22"/>
        </w:rPr>
        <w:t>) (or if the market is closed on such date, the close of the market on the last</w:t>
      </w:r>
    </w:p>
    <w:p>
      <w:pPr>
        <w:pStyle w:val="TextBody"/>
        <w:bidi w:val="0"/>
        <w:spacing w:lineRule="auto" w:line="271" w:before="72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8" w:before="6"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the market is open prior to the Expiration Date), this Option may be exercised in whole or in part with respect to such Option Shares, subject to the following provisions:</w:t>
      </w:r>
    </w:p>
    <w:p>
      <w:pPr>
        <w:pStyle w:val="TextBody"/>
        <w:bidi w:val="0"/>
        <w:spacing w:lineRule="auto" w:line="278" w:before="234"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(a)In the event that the Optionee’s employment terminates by reason of Retirement, death or Disability, such Option may be exercised on or prior to the Expiration Date;</w:t>
      </w:r>
    </w:p>
    <w:p>
      <w:pPr>
        <w:pStyle w:val="TextBody"/>
        <w:bidi w:val="0"/>
        <w:spacing w:lineRule="auto" w:line="278" w:before="233" w:after="283"/>
        <w:ind w:left="0" w:right="0" w:firstLine="720"/>
        <w:jc w:val="left"/>
        <w:rPr/>
      </w:pPr>
      <w:r>
        <w:rPr>
          <w:rFonts w:ascii="Times New Roman;sans-serif" w:hAnsi="Times New Roman;sans-serif"/>
          <w:b w:val="false"/>
          <w:color w:val="000000"/>
          <w:sz w:val="22"/>
        </w:rPr>
        <w:t>(b)If employment is terminated by the Optionee (other than by Retirement, death or Disability), such Option may be exercised until the close of the market 90 days from the effective date of termination (the “</w:t>
      </w:r>
      <w:r>
        <w:rPr>
          <w:rFonts w:ascii="Times New Roman;sans-serif" w:hAnsi="Times New Roman;sans-serif"/>
          <w:b w:val="false"/>
          <w:color w:val="000000"/>
          <w:sz w:val="22"/>
          <w:u w:val="single"/>
        </w:rPr>
        <w:t>90-Day Period</w:t>
      </w:r>
      <w:r>
        <w:rPr>
          <w:color w:val="000000"/>
        </w:rPr>
        <w:t>”</w:t>
      </w:r>
      <w:r>
        <w:rPr>
          <w:rFonts w:ascii="Times New Roman;sans-serif" w:hAnsi="Times New Roman;sans-serif"/>
          <w:b w:val="false"/>
          <w:color w:val="000000"/>
          <w:sz w:val="22"/>
        </w:rPr>
        <w:t>) (or if the market is closed on such date, the close of the market on the last date the market is open prior to the expiration of the 90-Day Period);</w:t>
      </w:r>
    </w:p>
    <w:p>
      <w:pPr>
        <w:pStyle w:val="TextBody"/>
        <w:bidi w:val="0"/>
        <w:spacing w:lineRule="auto" w:line="278" w:before="225" w:after="283"/>
        <w:ind w:left="0" w:right="0" w:firstLine="720"/>
        <w:jc w:val="left"/>
        <w:rPr/>
      </w:pPr>
      <w:r>
        <w:rPr>
          <w:rFonts w:ascii="Times New Roman;sans-serif" w:hAnsi="Times New Roman;sans-serif"/>
          <w:b w:val="false"/>
          <w:color w:val="000000"/>
          <w:sz w:val="22"/>
        </w:rPr>
        <w:t>(c)</w:t>
      </w:r>
      <w:r>
        <w:rPr>
          <w:rFonts w:ascii="Times New Roman;sans-serif" w:hAnsi="Times New Roman;sans-serif"/>
          <w:b w:val="false"/>
          <w:color w:val="000000"/>
          <w:sz w:val="22"/>
        </w:rPr>
        <w:t>If, other than by death, Disability or Retirement, the Optionee’s employment is terminated by the Mondelēz Group without Cause for any reason (even if such termination constitutes unfair dismissal under the employment laws of the country where the Optionee resides or if the Optionee’s termination is later determined to be invalid and/or his or her employment is reinstated) or in the event of any other termination of employment caused directly or indirectly by the Mondelēz Group, such Option may be exercised until the close of the market 12 months from the effective date of termination (the “</w:t>
      </w:r>
      <w:r>
        <w:rPr>
          <w:rFonts w:ascii="Times New Roman;sans-serif" w:hAnsi="Times New Roman;sans-serif"/>
          <w:b w:val="false"/>
          <w:color w:val="000000"/>
          <w:sz w:val="22"/>
          <w:u w:val="single"/>
        </w:rPr>
        <w:t>12-Month Period</w:t>
      </w:r>
      <w:r>
        <w:rPr>
          <w:color w:val="000000"/>
        </w:rPr>
        <w:t>”</w:t>
      </w:r>
      <w:r>
        <w:rPr>
          <w:rFonts w:ascii="Times New Roman;sans-serif" w:hAnsi="Times New Roman;sans-serif"/>
          <w:b w:val="false"/>
          <w:color w:val="000000"/>
          <w:sz w:val="22"/>
        </w:rPr>
        <w:t>) (or if the market is closed on such date, the close of the market on the last date the market is open prior to the expiration of the 12-Month Period); and</w:t>
      </w:r>
    </w:p>
    <w:p>
      <w:pPr>
        <w:pStyle w:val="TextBody"/>
        <w:bidi w:val="0"/>
        <w:spacing w:lineRule="auto" w:line="278" w:before="234"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(d)If the Optionee’s employment is involuntarily suspended or terminated by the Mondelēz Group for Cause, the Option shall be forfeited.</w:t>
      </w:r>
    </w:p>
    <w:p>
      <w:pPr>
        <w:pStyle w:val="TextBody"/>
        <w:bidi w:val="0"/>
        <w:spacing w:lineRule="auto" w:line="278" w:before="207" w:after="283"/>
        <w:ind w:left="0" w:right="0" w:firstLine="720"/>
        <w:jc w:val="left"/>
        <w:rPr/>
      </w:pPr>
      <w:r>
        <w:rPr>
          <w:rFonts w:ascii="Times New Roman;sans-serif" w:hAnsi="Times New Roman;sans-serif"/>
          <w:b w:val="false"/>
          <w:color w:val="000000"/>
          <w:sz w:val="22"/>
        </w:rPr>
        <w:t>No provision of this paragraph 3 shall permit the exercise of any Option after the Expiration Date. For purposes of this Agreement, the Optionee’s employment shall be deemed to be terminated when he or she is no longer actively employed by the Mondelēz Group (regardless of the reason for such termination and whether or not later found to be invalid or in breach of employment laws in the jurisdiction where the Optionee is employed or the terms of the Optionee’s employment agreement, if any). The Optionee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Optionee is no longer actively employed for purposes of the Option. Unless otherwise determined by the Committee, leaves of absence shall not constitute a termination of employment for purposes of this Agreement. Notwithstanding the foregoing provisions and unless otherwise determined by the Company, this Option may only be exercised on a day that the Nasdaq Global Select Market (the “</w:t>
      </w:r>
      <w:r>
        <w:rPr>
          <w:rFonts w:ascii="Times New Roman;sans-serif" w:hAnsi="Times New Roman;sans-serif"/>
          <w:b w:val="false"/>
          <w:color w:val="000000"/>
          <w:sz w:val="22"/>
          <w:u w:val="single"/>
        </w:rPr>
        <w:t>Exchange</w:t>
      </w:r>
      <w:r>
        <w:rPr>
          <w:color w:val="000000"/>
        </w:rPr>
        <w:t>”</w:t>
      </w:r>
      <w:r>
        <w:rPr>
          <w:rFonts w:ascii="Times New Roman;sans-serif" w:hAnsi="Times New Roman;sans-serif"/>
          <w:b w:val="false"/>
          <w:color w:val="000000"/>
          <w:sz w:val="22"/>
        </w:rPr>
        <w:t>) is open. Accordingly, if the Expiration Date (or the expiration of the 90-Day Period and/or the 12-Month Period) is a day the Exchange is closed, the Expiration Date (or the expiration of the 90-Day Period and/or the 12-Month Period) shall be the immediately preceding day on which the Exchange is open.</w:t>
      </w:r>
    </w:p>
    <w:p>
      <w:pPr>
        <w:pStyle w:val="TextBody"/>
        <w:bidi w:val="0"/>
        <w:spacing w:lineRule="auto" w:line="278" w:before="232" w:after="283"/>
        <w:ind w:left="0" w:right="0" w:firstLine="432"/>
        <w:jc w:val="left"/>
        <w:rPr/>
      </w:pPr>
      <w:r>
        <w:rPr>
          <w:rFonts w:ascii="Times New Roman;sans-serif" w:hAnsi="Times New Roman;sans-serif"/>
          <w:b w:val="false"/>
          <w:color w:val="000000"/>
          <w:sz w:val="22"/>
        </w:rPr>
        <w:t xml:space="preserve">4. </w:t>
      </w:r>
      <w:r>
        <w:rPr>
          <w:rFonts w:ascii="Times New Roman;sans-serif" w:hAnsi="Times New Roman;sans-serif"/>
          <w:b w:val="false"/>
          <w:color w:val="000000"/>
          <w:sz w:val="22"/>
          <w:u w:val="single"/>
        </w:rPr>
        <w:t>Exercise of Option and Withholding Taxes</w:t>
      </w:r>
      <w:r>
        <w:rPr>
          <w:rFonts w:ascii="Times New Roman;sans-serif" w:hAnsi="Times New Roman;sans-serif"/>
          <w:b w:val="false"/>
          <w:color w:val="000000"/>
          <w:sz w:val="22"/>
        </w:rPr>
        <w:t>. This Option may be exercised only in accordance with the procedures and limitations (including the country-specific terms set forth in Appendix A to this Agreement) set forth in this paragraph 4, the Company’s Equity Grants Guide, as amended from time to time, or such other similar-type communication provided by the Company. Payment of the aggregate Grant Price shall be by any of the following, or a combination thereof:</w:t>
      </w:r>
    </w:p>
    <w:p>
      <w:pPr>
        <w:pStyle w:val="TextBody"/>
        <w:bidi w:val="0"/>
        <w:spacing w:lineRule="auto" w:line="268" w:before="247"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(a)to the extent permitted by applicable law, by cash, check or cash equivalent;</w:t>
      </w:r>
    </w:p>
    <w:p>
      <w:pPr>
        <w:pStyle w:val="TextBody"/>
        <w:bidi w:val="0"/>
        <w:spacing w:lineRule="auto" w:line="276" w:before="236"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(b)consideration received by the Company from a cashless exercise through a licensed securities broker acceptable to the Company;</w:t>
      </w:r>
    </w:p>
    <w:p>
      <w:pPr>
        <w:pStyle w:val="TextBody"/>
        <w:bidi w:val="0"/>
        <w:spacing w:lineRule="auto" w:line="271" w:before="72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(c)if the Optionee is a U.S. taxpayer or if permitted by the Committee, by surrender of shares of Common Stock previously owned by the Optionee which meet the conditions established by the Committee; or</w:t>
      </w:r>
    </w:p>
    <w:p>
      <w:pPr>
        <w:pStyle w:val="TextBody"/>
        <w:bidi w:val="0"/>
        <w:spacing w:lineRule="auto" w:line="276" w:before="237" w:after="283"/>
        <w:ind w:left="0" w:right="0" w:hanging="720"/>
        <w:jc w:val="left"/>
        <w:rPr>
          <w:rFonts w:ascii="Times New Roman;sans-serif" w:hAnsi="Times New Roman;sans-serif"/>
          <w:b w:val="false"/>
          <w:color w:val="000000"/>
          <w:sz w:val="22"/>
        </w:rPr>
      </w:pPr>
      <w:r>
        <w:rPr>
          <w:rFonts w:ascii="Times New Roman;sans-serif" w:hAnsi="Times New Roman;sans-serif"/>
          <w:b w:val="false"/>
          <w:color w:val="000000"/>
          <w:sz w:val="22"/>
        </w:rPr>
        <w:t>(d)any other methods approved by the Committee and permitted by applicable laws.</w:t>
      </w:r>
    </w:p>
    <w:p>
      <w:pPr>
        <w:pStyle w:val="TextBody"/>
        <w:bidi w:val="0"/>
        <w:spacing w:lineRule="auto" w:line="276" w:before="243" w:after="283"/>
        <w:ind w:left="0" w:right="0" w:firstLine="720"/>
        <w:jc w:val="left"/>
        <w:rPr/>
      </w:pPr>
      <w:r>
        <w:rPr>
          <w:rFonts w:ascii="Times New Roman;sans-serif" w:hAnsi="Times New Roman;sans-serif"/>
          <w:b w:val="false"/>
          <w:color w:val="000000"/>
          <w:sz w:val="22"/>
        </w:rPr>
        <w:t>The Optionee acknowledges that, regardless of any action taken by the Company or, if different, the Optionee’s employer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the ultimate liability for all income tax, social insurance, payroll tax, fringe benefits tax, payment on account or other tax-related items related to the Optionee’s participation in the Plan and legally applicable to the Optionee or deemed by the Company or the Employer, in their discretion, to be an appropriate charge to the Optionee 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the Optionee’s responsibility and may exceed the amount, if any, actually withheld by the Company or the Employer. The Optionee further acknowledges that the Company and/or the Employer (a) make no representations or undertakings regarding the treatment of any Tax-Related Items in connection with any aspect of the Option, including the grant, vesting or exercise of the Option, the subsequent sale of Option Shares acquired pursuant to such exercise and the receipt of any dividends; and (b) do not commit to and are under no obligation to structure the terms of the grant or any aspect of the Option to reduce or eliminate the Optionee’s liability for Tax-Related Items or achieve any particular tax result. Further, if the Optionee becomes subject to any Tax-Related Items in more than one jurisdiction, the Optionee acknowledges that the Company and/or the Employer (or former employer, as applicable) may be required to withhold or account for (including report) Tax-Related Items in more than one jurisdiction.</w:t>
      </w:r>
    </w:p>
    <w:p>
      <w:pPr>
        <w:pStyle w:val="TextBody"/>
        <w:bidi w:val="0"/>
        <w:spacing w:lineRule="auto" w:line="276" w:before="24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and agrees that the Company may refuse to issue or deliver shares of Common Stock upon exercise of the Option if Optionee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pStyle w:val="TextBody"/>
        <w:bidi w:val="0"/>
        <w:spacing w:lineRule="auto" w:line="276" w:before="239"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this regard, the Optionee authorizes the Company and/or the Employer, in their sole discretion and without any notice or further authorization by the Optionee, to satisfy any applicable withholding obligations with regard to all Tax-Related Items legally due by the Optionee (or otherwise due from the Optionee as set forth above in this paragraph 4) and any hypothetical taxes from the Optionee’s wages or other cash compensation paid by the Company and/or the Employer or from proceeds of the sale of Option Shares. Alternatively, or in addition, the Company may instruct the broker it has selected for this purpose (on the Optionee’s behalf and at the Optionee’s direction pursuant to this authorization without further consent) to sell the Option Shares that the Optionee acquires to meet the Tax-Related Items withholding obligation and any hypothetical taxes. In addition, unless otherwise determined by the Committee, Tax-Related Items or hypothetical taxes may be paid by withholding from Option Shares subject to the exercised Option, provided, however, that withholding in Option Shares shall be subject to approval by the Committee to the extent deemed necessary or advisable by counsel to the Company at the time of any relevant tax withholding event. Finally, the Optionee agrees to pay to the Company or the Employer any amount of Tax-Related Items and hypothetical taxes that the Company or the Employer may be required to withhold as a result of the Optionee’s participation in the Plan or the Optionee’s exercise of the Option that cannot be satisfied by the means previously described.</w:t>
      </w:r>
    </w:p>
    <w:p>
      <w:pPr>
        <w:pStyle w:val="TextBody"/>
        <w:bidi w:val="0"/>
        <w:spacing w:lineRule="auto" w:line="276" w:before="234"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may withhold or account for Tax-Related Items and any hypothetical taxes by considering statutory withholding rates or other applicable withholding rates, including minimum rates or maximum rates applicable in the Optionee’s jurisdiction(s), in which case the Optionee may receive a</w:t>
      </w:r>
    </w:p>
    <w:p>
      <w:pPr>
        <w:pStyle w:val="TextBody"/>
        <w:bidi w:val="0"/>
        <w:spacing w:lineRule="auto" w:line="271" w:before="436"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refund of any over-withheld amount in cash and will have no entitlement to the equivalent shares of Common Stock or, if not refunded, the Optionee may be able to seek a refund from the applicable tax authorities. In the event of under-withholding, the Optionee may be required to pay any additional Tax-Related Items directly to the applicable tax authority or to the Company and/or the Employer. If the obligation for Tax-Related Items is satisfied by withholding in shares of Common Stock, for tax purposes, the Optionee is deemed to have been issued the full number of Option Shares, notwithstanding that a number of the Option Shares are held back solely for the purpose of paying the Tax-Related Items and/or hypothetical taxes due as a result of any aspect of the Optionee’s participation in the Plan.</w:t>
      </w:r>
    </w:p>
    <w:p>
      <w:pPr>
        <w:pStyle w:val="TextBody"/>
        <w:bidi w:val="0"/>
        <w:spacing w:lineRule="auto" w:line="276" w:before="238" w:after="283"/>
        <w:ind w:left="0" w:right="0" w:firstLine="504"/>
        <w:jc w:val="left"/>
        <w:rPr/>
      </w:pPr>
      <w:r>
        <w:rPr>
          <w:rFonts w:ascii="Times New Roman;sans-serif" w:hAnsi="Times New Roman;sans-serif"/>
          <w:b w:val="false"/>
          <w:color w:val="000000"/>
          <w:sz w:val="22"/>
        </w:rPr>
        <w:t>5.</w:t>
      </w:r>
      <w:r>
        <w:rPr>
          <w:color w:val="000000"/>
          <w:u w:val="single"/>
        </w:rPr>
        <w:t xml:space="preserve"> </w:t>
      </w:r>
      <w:r>
        <w:rPr>
          <w:rFonts w:ascii="Times New Roman;sans-serif" w:hAnsi="Times New Roman;sans-serif"/>
          <w:b w:val="false"/>
          <w:color w:val="000000"/>
          <w:sz w:val="22"/>
          <w:u w:val="single"/>
        </w:rPr>
        <w:t>Cash-Out of Option</w:t>
      </w:r>
      <w:r>
        <w:rPr>
          <w:rFonts w:ascii="Times New Roman;sans-serif" w:hAnsi="Times New Roman;sans-serif"/>
          <w:b w:val="false"/>
          <w:color w:val="000000"/>
          <w:sz w:val="22"/>
        </w:rPr>
        <w:t>. The Committee may elect to cash out all or a portion of the Option to be exercised pursuant to any method of exercise by paying the Optionee an amount in cash or Common Stock, or both, equal to the Fair Market Value of the shares of Common Stock on the exercise date less the Grant Price for such shares.</w:t>
      </w:r>
    </w:p>
    <w:p>
      <w:pPr>
        <w:pStyle w:val="TextBody"/>
        <w:bidi w:val="0"/>
        <w:spacing w:lineRule="auto" w:line="276" w:before="245" w:after="283"/>
        <w:ind w:left="0" w:right="0" w:firstLine="504"/>
        <w:jc w:val="left"/>
        <w:rPr/>
      </w:pPr>
      <w:r>
        <w:rPr>
          <w:rFonts w:ascii="Times New Roman;sans-serif" w:hAnsi="Times New Roman;sans-serif"/>
          <w:b w:val="false"/>
          <w:color w:val="000000"/>
          <w:sz w:val="22"/>
        </w:rPr>
        <w:t>6.</w:t>
      </w:r>
      <w:r>
        <w:rPr>
          <w:color w:val="000000"/>
          <w:u w:val="single"/>
        </w:rPr>
        <w:t xml:space="preserve"> </w:t>
      </w:r>
      <w:r>
        <w:rPr>
          <w:rFonts w:ascii="Times New Roman;sans-serif" w:hAnsi="Times New Roman;sans-serif"/>
          <w:b w:val="false"/>
          <w:color w:val="000000"/>
          <w:sz w:val="22"/>
          <w:u w:val="single"/>
        </w:rPr>
        <w:t>Restrictions and Covenants</w:t>
      </w:r>
      <w:r>
        <w:rPr>
          <w:rFonts w:ascii="Times New Roman;sans-serif" w:hAnsi="Times New Roman;sans-serif"/>
          <w:b w:val="false"/>
          <w:color w:val="000000"/>
          <w:sz w:val="22"/>
        </w:rPr>
        <w:t>.</w:t>
      </w:r>
      <w:r>
        <w:rPr>
          <w:color w:val="000000"/>
          <w:u w:val="single"/>
        </w:rPr>
        <w:t xml:space="preserve"> </w:t>
      </w:r>
    </w:p>
    <w:p>
      <w:pPr>
        <w:pStyle w:val="TextBody"/>
        <w:bidi w:val="0"/>
        <w:spacing w:lineRule="auto" w:line="276" w:before="24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In addition to such other conditions as may be established by the Company or the Committee, in consideration for making a Grant under the terms of the Plan, the Optionee agrees and covenants as follows for a period of twelve (12) months following the date of the Optionee’s termination of employment from the Mondelēz Group:</w:t>
      </w:r>
    </w:p>
    <w:p>
      <w:pPr>
        <w:pStyle w:val="TextBody"/>
        <w:bidi w:val="0"/>
        <w:spacing w:lineRule="auto" w:line="276" w:before="238" w:after="283"/>
        <w:ind w:left="0" w:right="0" w:hanging="288"/>
        <w:jc w:val="left"/>
        <w:rPr>
          <w:rFonts w:ascii="Times New Roman;sans-serif" w:hAnsi="Times New Roman;sans-serif"/>
          <w:b w:val="false"/>
          <w:color w:val="000000"/>
          <w:sz w:val="22"/>
        </w:rPr>
      </w:pPr>
      <w:r>
        <w:rPr>
          <w:rFonts w:ascii="Times New Roman;sans-serif" w:hAnsi="Times New Roman;sans-serif"/>
          <w:b w:val="false"/>
          <w:color w:val="000000"/>
          <w:sz w:val="22"/>
        </w:rPr>
        <w:t>1.to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Optionee, without the express written permission of the Company’s chief human resources officer, will not engage in any conduct in which the Optionee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Optionee has reason to know has been under development by the Mondelēz Group during the Optionee’s employment with the Mondelēz Group). The Optionee will not engage in any activity that may require or inevitably require the Optionee’s use or disclosure of the Mondelēz Group’s confidential information, proprietary information and/or trade secrets;</w:t>
      </w:r>
    </w:p>
    <w:p>
      <w:pPr>
        <w:pStyle w:val="TextBody"/>
        <w:bidi w:val="0"/>
        <w:spacing w:lineRule="auto" w:line="276" w:before="237" w:after="283"/>
        <w:ind w:left="0" w:right="0" w:hanging="288"/>
        <w:jc w:val="left"/>
        <w:rPr>
          <w:rFonts w:ascii="Times New Roman;sans-serif" w:hAnsi="Times New Roman;sans-serif"/>
          <w:b w:val="false"/>
          <w:color w:val="000000"/>
          <w:sz w:val="22"/>
        </w:rPr>
      </w:pPr>
      <w:r>
        <w:rPr>
          <w:rFonts w:ascii="Times New Roman;sans-serif" w:hAnsi="Times New Roman;sans-serif"/>
          <w:b w:val="false"/>
          <w:color w:val="000000"/>
          <w:sz w:val="22"/>
        </w:rPr>
        <w:t>2.to protect the Mondelēz Group’s investment in its employees and to ensure the long-term success of the business, the Optionee, without the express written permission of the Company’s chief human resources officer, will not directly or indirectly solicit, hire, recruit, attempt to hire or recruit, or induce the termination of employment of any employee of the Mondelēz Group; and</w:t>
      </w:r>
    </w:p>
    <w:p>
      <w:pPr>
        <w:pStyle w:val="TextBody"/>
        <w:bidi w:val="0"/>
        <w:spacing w:lineRule="auto" w:line="276" w:before="241" w:after="283"/>
        <w:ind w:left="0" w:right="0" w:hanging="288"/>
        <w:jc w:val="left"/>
        <w:rPr>
          <w:rFonts w:ascii="Times New Roman;sans-serif" w:hAnsi="Times New Roman;sans-serif"/>
          <w:b w:val="false"/>
          <w:color w:val="000000"/>
          <w:sz w:val="22"/>
        </w:rPr>
      </w:pPr>
      <w:r>
        <w:rPr>
          <w:rFonts w:ascii="Times New Roman;sans-serif" w:hAnsi="Times New Roman;sans-serif"/>
          <w:b w:val="false"/>
          <w:color w:val="000000"/>
          <w:sz w:val="22"/>
        </w:rPr>
        <w:t>3.to protect the Mondelēz Group’s investment in its development of goodwill and customers and to ensure the long-term success of the business, the Optionee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pStyle w:val="TextBody"/>
        <w:bidi w:val="0"/>
        <w:spacing w:lineRule="auto" w:line="271" w:before="44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8" w:after="283"/>
        <w:jc w:val="left"/>
        <w:rPr/>
      </w:pPr>
      <w:r>
        <w:rPr>
          <w:rFonts w:ascii="Times New Roman;sans-serif" w:hAnsi="Times New Roman;sans-serif"/>
          <w:b w:val="false"/>
          <w:color w:val="000000"/>
          <w:sz w:val="22"/>
        </w:rPr>
        <w:t>The provisions contained herein in paragraph 6 are not in lieu of, but are in addition to the continuing obligation of the Optionee (which the Optionee acknowledges by accepting any Grant under the Plan) to not use or disclose the Mondelēz Group’s trade secrets or Confidential Information known to the Optionee until any particular trade secret or Confidential Information becomes generally known (through no fault of the Optionee),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Optionee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lineRule="auto" w:line="276" w:before="237"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A main purpose of the Plan is to strengthen the alignment of long-term interests between optionees and the Mondelēz Group by providing an ownership interest in the Company, and to prevent former employees whose interests become adverse to the Company from maintaining that ownership interest. By acceptance of any Grant (including the Option) under the Plan, the Optionee acknowledges and agrees that if the Optionee breaches any of the covenants set forth in paragraph 6(a):</w:t>
      </w:r>
    </w:p>
    <w:p>
      <w:pPr>
        <w:pStyle w:val="TextBody"/>
        <w:bidi w:val="0"/>
        <w:spacing w:lineRule="auto" w:line="276" w:before="236"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1.all unvested Grants (including any unvested portion of the Option) shall be immediately forfeited;</w:t>
      </w:r>
    </w:p>
    <w:p>
      <w:pPr>
        <w:pStyle w:val="TextBody"/>
        <w:bidi w:val="0"/>
        <w:spacing w:lineRule="auto" w:line="276" w:before="237"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vested, unpaid or deferred Grants (including the vested but unexercised portion of the Option) at any time if the Optionee is not in compliance with all terms and conditions set forth in the Plan and this Agreement including, but not limited to, paragraph 6(a);</w:t>
      </w:r>
    </w:p>
    <w:p>
      <w:pPr>
        <w:pStyle w:val="TextBody"/>
        <w:bidi w:val="0"/>
        <w:spacing w:lineRule="auto" w:line="276" w:before="238"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3.the Optionee shall repay to the Mondelēz Group the net proceeds of any exercise or Plan benefit that occurs at any time after the earlier of the following two dates: (i) the date twelve (12) months immediately preceding any such violation; or (ii) the date six (6) months prior to the Optionee’s termination of employment with the Mondelēz Group. The Optionee shall repay to the Mondelēz Group the net proceeds in such a manner and on such terms and conditions as may be required by the Mondelēz Group, and the Mondelēz Group shall be entitled to set-off against the amount of any such net proceeds any amount owed to the Optionee by the Mondelēz Group, in a way that is intended to avoid the application of penalties under Section 409A of the Code, if applicable, or other applicable law. For purposes of this paragraph, net proceeds shall mean the difference between the Fair Market Value of the shares of Common Stock and the Grant Price less any Tax-Related Items; and</w:t>
      </w:r>
    </w:p>
    <w:p>
      <w:pPr>
        <w:pStyle w:val="TextBody"/>
        <w:bidi w:val="0"/>
        <w:spacing w:lineRule="auto" w:line="276" w:before="242"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Optionee acknowledges that such breach would cause the Mondelēz Group to suffer irreparable harm. The aforementioned equitable relief shall be in addition to, not in lieu of, legal remedies, monetary damages or other available forms of relief.</w:t>
      </w:r>
    </w:p>
    <w:p>
      <w:pPr>
        <w:pStyle w:val="TextBody"/>
        <w:bidi w:val="0"/>
        <w:spacing w:lineRule="auto" w:line="278" w:before="235"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If any provision contained in this paragraph 6 shall for any reason, whether by application of existing law or law which may develop after the Optionee’s acceptance of a Grant under the Plan be</w:t>
      </w:r>
    </w:p>
    <w:p>
      <w:pPr>
        <w:pStyle w:val="TextBody"/>
        <w:bidi w:val="0"/>
        <w:spacing w:lineRule="auto" w:line="271" w:before="44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9"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determined by a court of competent jurisdiction to be overly broad as to scope of activity, duration or territory, the Optionee agrees to join the Mondelēz Group in requesting such court to construe such provision by limiting or reducing it so as to be enforceable to the extent compatible with then applicable law.</w:t>
      </w:r>
    </w:p>
    <w:p>
      <w:pPr>
        <w:pStyle w:val="TextBody"/>
        <w:bidi w:val="0"/>
        <w:spacing w:lineRule="auto" w:line="276" w:before="242"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    Notwithstanding the foregoing, no section of this Agreement is intended to or shall limit, prevent, impede or interfere with the Optionee's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Optionee does not need prior authorization from the Mondelēz Group to make any such reports or disclosures and is not required to notify the Mondelēz Group that the Optionee has made such reports or disclosures.</w:t>
      </w:r>
    </w:p>
    <w:p>
      <w:pPr>
        <w:pStyle w:val="TextBody"/>
        <w:bidi w:val="0"/>
        <w:spacing w:lineRule="auto" w:line="276" w:before="239" w:after="283"/>
        <w:ind w:left="0" w:right="0" w:firstLine="36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rPr>
        <w:t>The Optionee is hereby advised in writing to consult with an attorney before entering into the covenants outlined in this Section 6. The Optionee acknowledges that prior to acceptance of this Agreement, the Optionee has been advised by the Company of the Optionee's right to seek independent advice from an attorney of the Optionee's own selection regarding this Agreement, including the restraints imposed upon him or her pursuant to this Section 6. The Optionee acknowledges that they have entered into this Agreement knowingly and voluntarily and with full knowledge and understanding of the provisions of this Agreement after being given the opportunity to consult with counsel. The Optionee further represents that in entering into this Agreement, the Optionee is not relying on any statements or representations made by any of the Company's directors, officers, employees or agents which are not expressly set forth herein, and that the Optionee is relying only upon their own judgment and any advice provided by the Optionee's attorney. The Optionee acknowledges he or she has been provided at minimum 14 calendar days to review the provisions contained herein but may voluntarily waive this period and sign prior to the 14 calendar day period lapsing.</w:t>
      </w:r>
    </w:p>
    <w:p>
      <w:pPr>
        <w:pStyle w:val="TextBody"/>
        <w:bidi w:val="0"/>
        <w:spacing w:lineRule="auto" w:line="276" w:before="241" w:after="283"/>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(f)For purposes of this Section 6, the Company and any member of the Mondelēz Group shall be deemed to be third-party beneficiaries with the right to seek enforcement of any of the provisions of this Section 6. Further, for purposes of this Section 6, references to acting directly or indirectly include acting jointly with or through another person.</w:t>
      </w:r>
    </w:p>
    <w:p>
      <w:pPr>
        <w:pStyle w:val="TextBody"/>
        <w:bidi w:val="0"/>
        <w:spacing w:lineRule="auto" w:line="276" w:before="236" w:after="283"/>
        <w:ind w:left="0" w:right="0" w:firstLine="360"/>
        <w:jc w:val="left"/>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Clawback Policy/Forfeiture</w:t>
      </w:r>
      <w:r>
        <w:rPr>
          <w:rFonts w:ascii="Times New Roman;sans-serif" w:hAnsi="Times New Roman;sans-serif"/>
          <w:b w:val="false"/>
          <w:color w:val="000000"/>
          <w:sz w:val="22"/>
        </w:rPr>
        <w:t>. The Optionee understands and agrees that in the Committee's sole discretion, the Company may cancel all or part of the Option or require repayment by the Optionee to the Company of all or part of any cash payment or shares of Common Stock acquired at exercise pursuant to any recovery, recoupment, clawback and/or other forfeiture policy maintained by the Company, including the Company’s Dodd-Frank Clawback Policy, the Company’s Compensation Recoupment Policy, and a violation of paragraph 6 above, from time to time. In addition, any payments or benefits the Optionee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Exchange Act, rules promulgated by the Commission, any other applicable law or any securities exchange on which the Common Stock is listed or traded, as may be in effect from time to time. In connection with the enforcement of such clawback policies, the Optionee hereby expressly acknowledges and agrees that the Company shall have the right to reduce, cancel, or withhold against outstanding, unvested, vested, or future cash or equity-based compensation owed or due to the Optionee, to the maximum extent permitted under applicable law. No such recovery will be an event giving rise to a right to resign for Good Reason or</w:t>
      </w:r>
    </w:p>
    <w:p>
      <w:pPr>
        <w:pStyle w:val="TextBody"/>
        <w:bidi w:val="0"/>
        <w:spacing w:lineRule="auto" w:line="271" w:before="42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8"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 deemed a “constructive termination” (or any similar term) as such terms are used in any agreement between the Optionee and the Company or under any severance plans applicable to the Optionee.</w:t>
      </w:r>
    </w:p>
    <w:p>
      <w:pPr>
        <w:pStyle w:val="TextBody"/>
        <w:bidi w:val="0"/>
        <w:spacing w:lineRule="auto" w:line="276" w:before="237" w:after="283"/>
        <w:ind w:left="0" w:right="0" w:firstLine="360"/>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Transfer Restrictions</w:t>
      </w:r>
      <w:r>
        <w:rPr>
          <w:rFonts w:ascii="Times New Roman;sans-serif" w:hAnsi="Times New Roman;sans-serif"/>
          <w:b w:val="false"/>
          <w:color w:val="000000"/>
          <w:sz w:val="22"/>
        </w:rPr>
        <w:t>. Unless otherwise required by law, this Option is not transferable or assignable by the Optionee in any manner other than by will or the laws of descent and distribution applicable to the Optionee and is exercisable during the Optionee’s lifetime only by the Optionee.</w:t>
      </w:r>
    </w:p>
    <w:p>
      <w:pPr>
        <w:pStyle w:val="TextBody"/>
        <w:bidi w:val="0"/>
        <w:spacing w:lineRule="auto" w:line="276" w:before="229" w:after="283"/>
        <w:ind w:left="0" w:right="0" w:firstLine="360"/>
        <w:jc w:val="left"/>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Grant Date, the Board or the Committee shall make adjustments to the terms and provisions of this Grant (including, without limiting the generality of the foregoing, terms and provisions relating to the Grant Price and the number and kind of shares subject to this Option) as it deems appropriate including, but not limited to, the substitution of equity interests in other entities involved in such transactions, to provide for cash payments in lieu of the Option, and to determine whether continued employment with any entity resulting from such transaction or event will or will not be treated as a continued employment with the Mondelēz Group, in each case, subject to any Board or Committee action specifically addressing any such adjustments, cash payments or continued employment treatment.</w:t>
      </w:r>
    </w:p>
    <w:p>
      <w:pPr>
        <w:pStyle w:val="TextBody"/>
        <w:bidi w:val="0"/>
        <w:spacing w:lineRule="auto" w:line="276" w:before="233" w:after="283"/>
        <w:ind w:left="0" w:right="0" w:firstLine="360"/>
        <w:jc w:val="left"/>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Whenever the word “Optionee” is used herein under circumstances such that the provision should logically be construed to apply to the executors, the administrators, or the person or persons to whom this Option may be transferred pursuant to this Agreement, it shall be deemed to include such person or persons.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pStyle w:val="TextBody"/>
        <w:bidi w:val="0"/>
        <w:spacing w:lineRule="auto" w:line="276" w:before="227" w:after="283"/>
        <w:ind w:left="0" w:right="0" w:firstLine="360"/>
        <w:jc w:val="left"/>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The Award Statement, the Plan and this Agreement constitute the entire agreement of the parties with respect to the subject matter hereof and supersede in their entirety all prior undertakings and agreements of the Company and the Optionee with respect to the subject matter hereof, and may not be modified adversely to the Optionee’s interest except as provided in the Award Statement, the Plan or this Agreement or by means of a writing signed by the Company and the Optionee.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Award Statement, the Plan or this Agreement, the Optionee is deemed to submit to the exclusive jurisdiction of the Commonwealth of Virginia, U.S.A., and agrees that such litigation shall be conducted in the courts of Henrico County, Virginia, or the federal courts for the United States for the Eastern District of Virginia.</w:t>
      </w:r>
    </w:p>
    <w:p>
      <w:pPr>
        <w:pStyle w:val="TextBody"/>
        <w:bidi w:val="0"/>
        <w:spacing w:lineRule="auto" w:line="276" w:before="233" w:after="283"/>
        <w:ind w:left="0" w:right="0" w:firstLine="360"/>
        <w:jc w:val="left"/>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Grant Confers No Rights to Continued Employment - Nature of the Grant</w:t>
      </w:r>
      <w:r>
        <w:rPr>
          <w:rFonts w:ascii="Times New Roman;sans-serif" w:hAnsi="Times New Roman;sans-serif"/>
          <w:b w:val="false"/>
          <w:color w:val="000000"/>
          <w:sz w:val="22"/>
        </w:rPr>
        <w:t>. Nothing contained in the Plan or this Agreement (including the country-specific terms set forth in Appendix A to this Agreement) shall give the Optionee the right to be retained in the employment of any member of the Mondelēz Group, affect the right of the Employer to terminate the Optionee’s employment, or be interpreted as forming or amending an employment or service contract with any member of the Mondelēz Group. The adoption and maintenance of the Plan shall not constitute an inducement to, or condition of, the employment of the Optionee. Further, the Optionee acknowledges, understands and agrees that:</w:t>
      </w:r>
    </w:p>
    <w:p>
      <w:pPr>
        <w:pStyle w:val="TextBody"/>
        <w:bidi w:val="0"/>
        <w:spacing w:lineRule="auto" w:line="271" w:before="936"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7"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(a)the Plan is established voluntarily by the Company, it is discretionary in nature and it may be modified, amended, suspended or terminated by the Company at any time, to the extent permitted by the Plan;</w:t>
      </w:r>
    </w:p>
    <w:p>
      <w:pPr>
        <w:pStyle w:val="TextBody"/>
        <w:bidi w:val="0"/>
        <w:spacing w:lineRule="auto" w:line="276" w:before="237"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(b)the grant of the Option is exceptional, voluntary and occasional and does not create any contractual or other right to receive future grants of options, or benefits in lieu of options, even if options have been granted in the past;</w:t>
      </w:r>
    </w:p>
    <w:p>
      <w:pPr>
        <w:pStyle w:val="TextBody"/>
        <w:bidi w:val="0"/>
        <w:spacing w:lineRule="auto" w:line="278" w:before="234"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(c)all decisions with respect to future option or other Grants, if any, will be at the sole discretion of the Committee;</w:t>
      </w:r>
    </w:p>
    <w:p>
      <w:pPr>
        <w:pStyle w:val="TextBody"/>
        <w:bidi w:val="0"/>
        <w:spacing w:lineRule="auto" w:line="268" w:before="248"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(d)the Optionee is voluntarily participating in the Plan;</w:t>
      </w:r>
    </w:p>
    <w:p>
      <w:pPr>
        <w:pStyle w:val="TextBody"/>
        <w:bidi w:val="0"/>
        <w:spacing w:lineRule="auto" w:line="276" w:before="236"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(e)the Option and the Option Shares subject to the Option, and the income and value of same, are not intended to replace any pension rights or compensation;</w:t>
      </w:r>
    </w:p>
    <w:p>
      <w:pPr>
        <w:pStyle w:val="TextBody"/>
        <w:bidi w:val="0"/>
        <w:spacing w:lineRule="auto" w:line="276" w:before="237"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(f)the Option and the Option Shares subject to the Option, and the income and value of same, are not part of normal or expected compensation or salary for purposes of calculating any severance, resignation, termination, redundancy, dismissal, end-of-service payments, holiday pay, bonuses, long-service awards, leave-related payment, pension, retirement or welfare benefits or similar mandatory payments;</w:t>
      </w:r>
    </w:p>
    <w:p>
      <w:pPr>
        <w:pStyle w:val="TextBody"/>
        <w:bidi w:val="0"/>
        <w:spacing w:lineRule="auto" w:line="276" w:before="236"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(g)the future value of the underlying shares of Common Stock is unknown, indeterminable and cannot be predicted;</w:t>
      </w:r>
    </w:p>
    <w:p>
      <w:pPr>
        <w:pStyle w:val="TextBody"/>
        <w:bidi w:val="0"/>
        <w:spacing w:lineRule="auto" w:line="283" w:before="231"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(h)if the underlying shares of Common Stock do not increase in value, the Option will have no value;</w:t>
      </w:r>
    </w:p>
    <w:p>
      <w:pPr>
        <w:pStyle w:val="TextBody"/>
        <w:bidi w:val="0"/>
        <w:spacing w:lineRule="auto" w:line="276" w:before="236"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(i)if the Optionee exercises the Option and obtains shares of Common Stock, the value of those shares of Common Stock acquired upon exercise may increase or decrease in value, even below the Grant Price;</w:t>
      </w:r>
    </w:p>
    <w:p>
      <w:pPr>
        <w:pStyle w:val="TextBody"/>
        <w:bidi w:val="0"/>
        <w:spacing w:lineRule="auto" w:line="276" w:before="239"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(j)unless otherwise agreed with the Company, the Option and the shares of Common Stock subject to the Option, and the income and value of same, are not granted as consideration for, or in connection with, the service the Optionee may provide as a director of any entity of the Mondelēz Group;</w:t>
      </w:r>
    </w:p>
    <w:p>
      <w:pPr>
        <w:pStyle w:val="TextBody"/>
        <w:bidi w:val="0"/>
        <w:spacing w:lineRule="auto" w:line="276" w:before="237"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(k)the Optionee understands and agrees that Optionee should consult with the Optionee’s own personal tax, legal and financial advisors regarding the Optionee’s participation in the Plan before taking any action related to the Plan and that the Company is not providing any tax, legal or financial advice, nor is the Company making any recommendations regarding the Optionee’s participation in the Plan, or the Optionee’s acquisition or sale of the underlying shares of Common Stock;</w:t>
      </w:r>
    </w:p>
    <w:p>
      <w:pPr>
        <w:pStyle w:val="TextBody"/>
        <w:bidi w:val="0"/>
        <w:spacing w:lineRule="auto" w:line="276" w:before="239"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(l)the Option is designated as not constituting an Incentive Stock Option; this Agreement shall be interpreted and treated consistently with such designation;</w:t>
      </w:r>
    </w:p>
    <w:p>
      <w:pPr>
        <w:pStyle w:val="TextBody"/>
        <w:bidi w:val="0"/>
        <w:spacing w:lineRule="auto" w:line="276" w:before="237"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(m)unless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Company's Common Stock;</w:t>
      </w:r>
    </w:p>
    <w:p>
      <w:pPr>
        <w:pStyle w:val="TextBody"/>
        <w:bidi w:val="0"/>
        <w:spacing w:lineRule="auto" w:line="271" w:before="1028"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8" w:before="7" w:after="283"/>
        <w:ind w:left="0" w:right="0" w:firstLine="864"/>
        <w:jc w:val="left"/>
        <w:rPr>
          <w:rFonts w:ascii="Times New Roman;sans-serif" w:hAnsi="Times New Roman;sans-serif"/>
          <w:b w:val="false"/>
          <w:color w:val="000000"/>
          <w:sz w:val="22"/>
        </w:rPr>
      </w:pPr>
      <w:r>
        <w:rPr>
          <w:rFonts w:ascii="Times New Roman;sans-serif" w:hAnsi="Times New Roman;sans-serif"/>
          <w:b w:val="false"/>
          <w:color w:val="000000"/>
          <w:sz w:val="22"/>
        </w:rPr>
        <w:t>(n)the Option and the shares of Common Stock subject to the Option, and the income and value of same, are not part of Optionee’s normal or expected compensation or salary for any purpose;</w:t>
      </w:r>
    </w:p>
    <w:p>
      <w:pPr>
        <w:pStyle w:val="TextBody"/>
        <w:bidi w:val="0"/>
        <w:spacing w:lineRule="auto" w:line="276" w:before="237" w:after="283"/>
        <w:ind w:left="0" w:right="0" w:firstLine="864"/>
        <w:jc w:val="left"/>
        <w:rPr>
          <w:rFonts w:ascii="Times New Roman;sans-serif" w:hAnsi="Times New Roman;sans-serif"/>
          <w:b w:val="false"/>
          <w:color w:val="000000"/>
          <w:sz w:val="22"/>
        </w:rPr>
      </w:pPr>
      <w:r>
        <w:rPr>
          <w:rFonts w:ascii="Times New Roman;sans-serif" w:hAnsi="Times New Roman;sans-serif"/>
          <w:b w:val="false"/>
          <w:color w:val="000000"/>
          <w:sz w:val="22"/>
        </w:rPr>
        <w:t>(o)neither the Company, the Employer nor any member of the Mondelēz Group shall be liable for any foreign exchange rate fluctuation between the Optionee’s local currency and the United States Dollar that may affect the value of the Option or any shares of Common Stock delivered to the Optionee upon exercise of the Option or of any proceeds resulting from the Optionee’s sale of such shares; and</w:t>
      </w:r>
    </w:p>
    <w:p>
      <w:pPr>
        <w:pStyle w:val="TextBody"/>
        <w:bidi w:val="0"/>
        <w:spacing w:lineRule="auto" w:line="276" w:before="247" w:after="283"/>
        <w:ind w:left="0" w:right="0" w:firstLine="864"/>
        <w:jc w:val="left"/>
        <w:rPr>
          <w:rFonts w:ascii="Times New Roman;sans-serif" w:hAnsi="Times New Roman;sans-serif"/>
          <w:b w:val="false"/>
          <w:color w:val="000000"/>
          <w:sz w:val="22"/>
        </w:rPr>
      </w:pPr>
      <w:r>
        <w:rPr>
          <w:rFonts w:ascii="Times New Roman;sans-serif" w:hAnsi="Times New Roman;sans-serif"/>
          <w:b w:val="false"/>
          <w:color w:val="000000"/>
          <w:sz w:val="22"/>
        </w:rPr>
        <w:t>(p)no claim or entitlement to compensation or damages shall arise from forfeiture of the Option or the recoupment of any shares of Common Stock acquired under the Plan resulting from (a) the termination of the Optionee’s employment or other service relationship by the Company or the Employer (for any reason whatsoever, whether or not later found to be invalid or in breach of any employment laws in the jurisdiction where the Optionee is employed or the terms of the Optionee’s employment agreement, if any); and/or (b) the application of any recoupment policy or any recovery or clawback policy otherwise required by law.</w:t>
      </w:r>
    </w:p>
    <w:p>
      <w:pPr>
        <w:pStyle w:val="TextBody"/>
        <w:bidi w:val="0"/>
        <w:spacing w:lineRule="auto" w:line="276" w:before="245" w:after="283"/>
        <w:ind w:left="0" w:right="0" w:firstLine="432"/>
        <w:jc w:val="left"/>
        <w:rPr/>
      </w:pPr>
      <w:r>
        <w:rPr>
          <w:rFonts w:ascii="Times New Roman;sans-serif" w:hAnsi="Times New Roman;sans-serif"/>
          <w:b w:val="false"/>
          <w:color w:val="000000"/>
          <w:sz w:val="22"/>
        </w:rPr>
        <w:t xml:space="preserve">13. </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Optionee explicitly and unambiguously consents to the collection, use and transfer, in electronic or other form, of the Optionee’s personal data as described in this Agreement and any other Option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the Optionee’s participation in the Plan.</w:t>
      </w:r>
    </w:p>
    <w:p>
      <w:pPr>
        <w:pStyle w:val="TextBody"/>
        <w:bidi w:val="0"/>
        <w:spacing w:lineRule="auto" w:line="276" w:before="248" w:after="283"/>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The Optionee understands that the Mondelēz Group may hold certain personal information about the Optionee, including, but not limited to, the Optionee’s name, home address, email address and telephone number, date of birth, social security, passport or insurance number or other identification number (e.g., resident registration number), salary, nationality, job title, any shares of stock or directorships held in the Company, details of all Options or any other entitlement to shares of stock or other equivalent benefits awarded, canceled, purchased, exercised, vested, unvested or outstanding in the Optionee’s favor, for the exclusive purpose of implementing, administering and managing the Plan.</w:t>
      </w:r>
    </w:p>
    <w:p>
      <w:pPr>
        <w:pStyle w:val="TextBody"/>
        <w:bidi w:val="0"/>
        <w:spacing w:lineRule="auto" w:line="276" w:before="254" w:after="283"/>
        <w:ind w:left="0" w:right="0" w:firstLine="720"/>
        <w:jc w:val="left"/>
        <w:rPr/>
      </w:pPr>
      <w:r>
        <w:rPr>
          <w:rFonts w:ascii="Times New Roman;sans-serif" w:hAnsi="Times New Roman;sans-serif"/>
          <w:b/>
          <w:i/>
          <w:color w:val="000000"/>
          <w:sz w:val="22"/>
        </w:rPr>
        <w:t>The Optionee understands that Data will be transferred to Morgan Stanley Smith Barney, LLC and its affiliates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or such other stock plan service provider as may be selected by the Company in the future, which is assisting the Company with the implementation, administration and management of the Plan. The Optionee understands that Data may also be transferred to the Company’s independent registered public accounting firm, PricewaterhouseCoopers LLP, KPMG LLP, or such other public accounting firm that may be engaged by the Company in the future. The Optionee understands that the recipients of the Data may be located in the United States or elsewhere, and that the recipients’ country (e.g., the United States) may have different data privacy laws and protections than the Optionee’s country. If the Optionee resides outside the United States, the Optionee understands that the Optionee may request a list with the names and addresses of any potential recipients of the Data by contacting the Optionee’s local human resources representative. The Optionee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Optionee’s participation in the Plan. The Optionee understands that Data will be held only as long as is necessary to implement, administer and manage the Optionee’s participation in the Plan. If the Optionee resides outside the United States, the Optionee understands that the Optionee may, at any time, view Data, request additional information about the storage and processing of Data, require any necessary amendments to Data or refuse or withdraw the consents herein, in any case without cost, by</w:t>
      </w:r>
    </w:p>
    <w:p>
      <w:pPr>
        <w:pStyle w:val="TextBody"/>
        <w:bidi w:val="0"/>
        <w:spacing w:lineRule="auto" w:line="271" w:before="438"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0" w:after="283"/>
        <w:jc w:val="left"/>
        <w:rPr>
          <w:rFonts w:ascii="Times New Roman;sans-serif" w:hAnsi="Times New Roman;sans-serif"/>
          <w:b/>
          <w:i/>
          <w:color w:val="000000"/>
          <w:sz w:val="22"/>
        </w:rPr>
      </w:pPr>
      <w:r>
        <w:rPr>
          <w:rFonts w:ascii="Times New Roman;sans-serif" w:hAnsi="Times New Roman;sans-serif"/>
          <w:b/>
          <w:i/>
          <w:color w:val="000000"/>
          <w:sz w:val="22"/>
        </w:rPr>
        <w:t>contacting in writing the Optionee’s local human resources representative. Further, the Optionee understands that he or she is providing the consents herein on a purely voluntary basis. If the Optionee does not consent, or if the Optionee later seeks to revoke his or her consent, his or her employment status or service with the Employer will not be affected; the only consequence of refusing or withdrawing the Optionee’s consent is that the Company would not be able to grant the Optionee an option or other equity awards or administer or maintain such grants. The Optionee also understands that the Company has no obligation to substitute other forms of grants or compensation in lieu of the option as a consequence of the Optionee’s refusal or withdrawal of his or her consent.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pStyle w:val="TextBody"/>
        <w:bidi w:val="0"/>
        <w:spacing w:lineRule="auto" w:line="276" w:before="241" w:after="283"/>
        <w:ind w:left="0" w:right="0" w:firstLine="720"/>
        <w:jc w:val="left"/>
        <w:rPr>
          <w:rFonts w:ascii="Times New Roman;sans-serif" w:hAnsi="Times New Roman;sans-serif"/>
          <w:b/>
          <w:i/>
          <w:color w:val="000000"/>
          <w:sz w:val="22"/>
        </w:rPr>
      </w:pPr>
      <w:r>
        <w:rPr>
          <w:rFonts w:ascii="Times New Roman;sans-serif" w:hAnsi="Times New Roman;sans-serif"/>
          <w:b/>
          <w:i/>
          <w:color w:val="000000"/>
          <w:sz w:val="22"/>
        </w:rPr>
        <w:t>Further, upon request of the Company or the Employer, the Optionee agrees to provide an executed data privacy form (or any other agreements or consents) that the Company and/or the Employer may deem necessary to obtain from the Optionee for the purpose of administering the Optionee’s participation in the Plan in compliance with the data privacy laws in the Optionee’s country, either now or in the future. The Optionee understands and agrees that he or she will not be able to participate in the Plan if the Optionee’s fails to provide any such consent or agreement as requested by the Company and/or the Employer.</w:t>
      </w:r>
    </w:p>
    <w:p>
      <w:pPr>
        <w:pStyle w:val="TextBody"/>
        <w:bidi w:val="0"/>
        <w:spacing w:lineRule="auto" w:line="276" w:before="237" w:after="283"/>
        <w:ind w:left="0" w:right="0" w:firstLine="288"/>
        <w:jc w:val="left"/>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The terms and provisions of the Plan (a copy of which will be made available online or furnished to the Optionee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an Optionee is no longer actively employed, and any interpretation, determination or other action made or taken by the Committee regarding the Plan or this Agreement shall be final, binding and conclusive.</w:t>
      </w:r>
    </w:p>
    <w:p>
      <w:pPr>
        <w:pStyle w:val="TextBody"/>
        <w:bidi w:val="0"/>
        <w:spacing w:lineRule="auto" w:line="276" w:before="241" w:after="283"/>
        <w:ind w:left="0" w:right="0" w:firstLine="288"/>
        <w:jc w:val="left"/>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Miscellaneous Definitions</w:t>
      </w:r>
      <w:r>
        <w:rPr>
          <w:rFonts w:ascii="Times New Roman;sans-serif" w:hAnsi="Times New Roman;sans-serif"/>
          <w:b w:val="false"/>
          <w:color w:val="000000"/>
          <w:sz w:val="22"/>
        </w:rPr>
        <w:t>. 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the termination of employment on or after either (i) the date the Optionee is age 55 or older with at least ten (10) or more years of active continuous employment with the Mondelēz Group or (ii) the date the Optionee is age 65 or older with at least five (5) or more years of active continuous employment with the Mondelēz Group.</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Company receives an opinion of counsel that there has been a legal judgment and/or legal development in the Optionee’s jurisdiction that likely would result in the favorable Retirement treatment (as set forth in paragraphs 2 and 3) that applies to the Option being deemed unlawful and/or discriminatory, then the Company will not apply the favorable Retirement treatment at the time of termination and the Option will be treated as it would under the rules that apply if the Optionee’s employment is terminated for reasons other than Retirement, death or Disability.</w:t>
      </w:r>
    </w:p>
    <w:p>
      <w:pPr>
        <w:pStyle w:val="TextBody"/>
        <w:bidi w:val="0"/>
        <w:spacing w:lineRule="auto" w:line="276" w:before="240" w:after="283"/>
        <w:ind w:left="0" w:right="0" w:firstLine="288"/>
        <w:jc w:val="left"/>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Optionee acknowledges that he or she is sufficiently proficient in English, or, alternatively, the Optionee acknowledges that he or she will seek appropriate assistance, to understand the terms and conditions in the Agreement. Furthermore, if this Agreement or any other document related to the Plan is translated into a language other than English and if the meaning of the translated version is</w:t>
      </w:r>
    </w:p>
    <w:p>
      <w:pPr>
        <w:pStyle w:val="TextBody"/>
        <w:bidi w:val="0"/>
        <w:spacing w:lineRule="auto" w:line="271" w:before="686"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9"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different from the English version, the English version will control, unless otherwise required by applicable law.</w:t>
      </w:r>
    </w:p>
    <w:p>
      <w:pPr>
        <w:pStyle w:val="TextBody"/>
        <w:bidi w:val="0"/>
        <w:spacing w:lineRule="auto" w:line="276" w:before="226" w:after="283"/>
        <w:ind w:left="0" w:right="0" w:firstLine="288"/>
        <w:jc w:val="left"/>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Compliance With Law</w:t>
      </w:r>
      <w:r>
        <w:rPr>
          <w:rFonts w:ascii="Times New Roman;sans-serif" w:hAnsi="Times New Roman;sans-serif"/>
          <w:b w:val="false"/>
          <w:color w:val="000000"/>
          <w:sz w:val="22"/>
        </w:rPr>
        <w:t>. Notwithstanding any other provision of the Plan or this Agreement, unless there is an available exemption from any registration, qualification or other legal requirement applicable to the shares of Common Stock, the Company shall not be required to deliver any Option Shares issuable upon exercise of the Option prior to the completion of any registration or qualification of the Option Shares under any local, state, federal or foreign securities or exchange control law or under rulings or regulations of the Commission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Commission or any state or foreign securities commission or to seek approval or clearance from any governmental authority for the issuance or sale of the shares. Further, the Optionee agrees that the Company shall have unilateral authority to amend the Plan and this Agreement without the Optionee’s consent to the extent necessary to comply with securities or other laws applicable to the issuance of shares of Common Stock.</w:t>
      </w:r>
    </w:p>
    <w:p>
      <w:pPr>
        <w:pStyle w:val="TextBody"/>
        <w:bidi w:val="0"/>
        <w:spacing w:lineRule="auto" w:line="276" w:before="230" w:after="283"/>
        <w:ind w:left="0" w:right="0" w:firstLine="288"/>
        <w:jc w:val="left"/>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Optionee related to current or future participation in the Plan may also be delivered through electronic means as described in paragraph 19 below.</w:t>
      </w:r>
    </w:p>
    <w:p>
      <w:pPr>
        <w:pStyle w:val="TextBody"/>
        <w:bidi w:val="0"/>
        <w:spacing w:lineRule="auto" w:line="276" w:before="232" w:after="283"/>
        <w:ind w:left="0" w:right="0" w:firstLine="288"/>
        <w:jc w:val="left"/>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276" w:before="237" w:after="283"/>
        <w:ind w:left="0" w:right="0" w:firstLine="288"/>
        <w:jc w:val="left"/>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Agreement Severable</w:t>
      </w:r>
      <w:r>
        <w:rPr>
          <w:rFonts w:ascii="Times New Roman;sans-serif" w:hAnsi="Times New Roman;sans-serif"/>
          <w:b w:val="false"/>
          <w:color w:val="000000"/>
          <w:sz w:val="22"/>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lineRule="auto" w:line="276" w:before="240" w:after="283"/>
        <w:ind w:left="0" w:right="0" w:firstLine="288"/>
        <w:jc w:val="left"/>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xml:space="preserve">. Headings of paragraphs and sections used in this Agreement are for convenience only </w:t>
        <w:br/>
        <w:t>and are not part of this Agreement, and must not be used in construing it.</w:t>
      </w:r>
    </w:p>
    <w:p>
      <w:pPr>
        <w:pStyle w:val="TextBody"/>
        <w:bidi w:val="0"/>
        <w:spacing w:lineRule="auto" w:line="276" w:before="233" w:after="283"/>
        <w:ind w:left="0" w:right="0" w:firstLine="288"/>
        <w:jc w:val="left"/>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Optionee’s participation in the Plan, on the Option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pStyle w:val="TextBody"/>
        <w:bidi w:val="0"/>
        <w:spacing w:lineRule="auto" w:line="276" w:before="237" w:after="283"/>
        <w:ind w:left="0" w:right="0" w:firstLine="288"/>
        <w:jc w:val="left"/>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Optionee may be subject to insider trading and/or market abuse laws which may affect the Optionee’s ability to accept, acquire, sell or 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Options) or rights linked to the value of shares of</w:t>
      </w:r>
    </w:p>
    <w:p>
      <w:pPr>
        <w:pStyle w:val="TextBody"/>
        <w:bidi w:val="0"/>
        <w:spacing w:lineRule="auto" w:line="271" w:before="45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Common Stock under the Plan during such times as the Optionee is considered to have “material nonpublic information” or “insider information” regarding the Company (as defined by the laws or regulations in the relevant jurisdiction). Local insider trading laws and regulations may prohibit the cancellation or amendment of orders the Optionee places before the Optionee possessed inside information. Furthermore, the Optionee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Optionee acknowledges that it is his or her responsibility to comply with any applicable restrictions, and that the Optionee should speak to his or her personal advisor on this matter.</w:t>
      </w:r>
    </w:p>
    <w:p>
      <w:pPr>
        <w:pStyle w:val="TextBody"/>
        <w:bidi w:val="0"/>
        <w:spacing w:lineRule="auto" w:line="276" w:before="227" w:after="283"/>
        <w:ind w:left="0" w:right="0" w:firstLine="288"/>
        <w:jc w:val="left"/>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The Optionee acknowledges that there may be exchange control, tax, foreign asset and/or account reporting requirements which may affect the Optionee’s ability to acquire or hold shares of Common Stock acquired under the Plan or cash received from participating in the Plan (including from any dividends paid on shares of Common Stock acquired under the Plan) in a brokerage, bank account or legal entity outside the Optionee’s country. The Optionee may be required to report such accounts, balances, assets and/or the related transactions to the tax or other authorities in his or her country. The Optionee also may be required to repatriate sale proceeds or other funds received as a result of the Optionee’s participation in the Plan to his or her country through a designated bank or broker within a certain time after receipt. In addition, the Optionee agrees to take any and all actions required by the Company, any other entity in the Mondelēz Group or the local laws, rules and regulations in the Optionee’s country of residence (and country of employment, if different) that may be required to comply with such laws, rules and regulations. The Optionee acknowledges that it is the Optionee’s responsibility to be compliant with such regulations, and the Optionee should consult his or her personal legal advisor for any details.</w:t>
      </w:r>
    </w:p>
    <w:p>
      <w:pPr>
        <w:pStyle w:val="TextBody"/>
        <w:bidi w:val="0"/>
        <w:spacing w:lineRule="auto" w:line="276" w:before="232" w:after="283"/>
        <w:ind w:left="0" w:right="0" w:firstLine="288"/>
        <w:jc w:val="left"/>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Option shall be subject to any terms set forth in the Appendix to this Agreement for the Optionee’s country. Moreover, if the Optionee relocates to one of the countries included in the Appendix, the terms for such country will apply to the Optionee, to the extent the Company determines that the application of such terms is necessary or advisable for legal or administrative reasons. The Appendix constitutes part of this Agreement.</w:t>
      </w:r>
    </w:p>
    <w:p>
      <w:pPr>
        <w:pStyle w:val="TextBody"/>
        <w:bidi w:val="0"/>
        <w:spacing w:lineRule="auto" w:line="276" w:before="237" w:after="283"/>
        <w:ind w:left="0" w:right="0" w:firstLine="288"/>
        <w:jc w:val="left"/>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Optionee acknowledges that a waiver by the Company of a breach of any provision of this Agreement shall not operate or be construed as a waiver of any other provision of this Agreement or of any subsequent breach by the Optionee or any other participant of the Plan.</w:t>
      </w:r>
    </w:p>
    <w:p>
      <w:pPr>
        <w:pStyle w:val="TextBody"/>
        <w:bidi w:val="0"/>
        <w:spacing w:lineRule="auto" w:line="276" w:before="233" w:after="283"/>
        <w:ind w:left="0" w:right="0" w:firstLine="288"/>
        <w:jc w:val="left"/>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Optionee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Option is granted, only in such a manner as to conform to such laws, rules and regulations. To the extent permitted by applicable law, the Award Statement, the Plan and this Agreement shall be deemed amended to the extent necessary to conform to such laws, rules and regulations.</w:t>
      </w:r>
    </w:p>
    <w:p>
      <w:pPr>
        <w:pStyle w:val="TextBody"/>
        <w:bidi w:val="0"/>
        <w:spacing w:before="10" w:after="283"/>
        <w:jc w:val="left"/>
        <w:rPr/>
      </w:pPr>
      <w:r>
        <w:rPr/>
      </w:r>
    </w:p>
    <w:p>
      <w:pPr>
        <w:pStyle w:val="TextBody"/>
        <w:bidi w:val="0"/>
        <w:spacing w:before="10" w:after="283"/>
        <w:jc w:val="left"/>
        <w:rPr/>
      </w:pPr>
      <w:r>
        <w:rPr/>
      </w:r>
    </w:p>
    <w:p>
      <w:pPr>
        <w:pStyle w:val="TextBody"/>
        <w:bidi w:val="0"/>
        <w:spacing w:before="10" w:after="283"/>
        <w:jc w:val="left"/>
        <w:rPr/>
      </w:pPr>
      <w:r>
        <w:rPr/>
      </w:r>
    </w:p>
    <w:p>
      <w:pPr>
        <w:pStyle w:val="TextBody"/>
        <w:bidi w:val="0"/>
        <w:spacing w:before="10" w:after="283"/>
        <w:jc w:val="left"/>
        <w:rPr/>
      </w:pPr>
      <w:r>
        <w:rPr/>
      </w:r>
    </w:p>
    <w:p>
      <w:pPr>
        <w:pStyle w:val="TextBody"/>
        <w:bidi w:val="0"/>
        <w:spacing w:before="10" w:after="283"/>
        <w:jc w:val="left"/>
        <w:rPr/>
      </w:pPr>
      <w:r>
        <w:rPr/>
      </w:r>
    </w:p>
    <w:p>
      <w:pPr>
        <w:pStyle w:val="TextBody"/>
        <w:bidi w:val="0"/>
        <w:spacing w:before="10" w:after="283"/>
        <w:jc w:val="left"/>
        <w:rPr/>
      </w:pPr>
      <w:r>
        <w:rPr/>
      </w:r>
    </w:p>
    <w:p>
      <w:pPr>
        <w:pStyle w:val="TextBody"/>
        <w:bidi w:val="0"/>
        <w:spacing w:before="10" w:after="283"/>
        <w:jc w:val="left"/>
        <w:rPr/>
      </w:pPr>
      <w:r>
        <w:rPr/>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76" w:before="10" w:after="283"/>
        <w:jc w:val="center"/>
        <w:rPr>
          <w:rFonts w:ascii="Times New Roman;sans-serif" w:hAnsi="Times New Roman;sans-serif"/>
          <w:b/>
          <w:color w:val="000000"/>
          <w:sz w:val="22"/>
        </w:rPr>
      </w:pPr>
      <w:r>
        <w:rPr>
          <w:rFonts w:ascii="Times New Roman;sans-serif" w:hAnsi="Times New Roman;sans-serif"/>
          <w:b/>
          <w:color w:val="000000"/>
          <w:sz w:val="22"/>
        </w:rPr>
        <w:t>***</w:t>
      </w:r>
    </w:p>
    <w:p>
      <w:pPr>
        <w:pStyle w:val="TextBody"/>
        <w:bidi w:val="0"/>
        <w:spacing w:lineRule="auto" w:line="276" w:before="3" w:after="283"/>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Optionee acknowledges that the Optionee has reviewed the Plan, the Award Statement and this Agreement (including any appendices hereto) in their entirety and fully understands their respective provisions. The Optionee agrees to accept as binding, conclusive and final all decisions or interpretations of the Committee upon any questions arising under the Plan, the Award Statement or this Agreement.</w:t>
      </w:r>
    </w:p>
    <w:p>
      <w:pPr>
        <w:pStyle w:val="TextBody"/>
        <w:bidi w:val="0"/>
        <w:spacing w:lineRule="auto" w:line="264" w:before="261"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Agreement has been executed as of the Grant Date.</w:t>
      </w:r>
    </w:p>
    <w:p>
      <w:pPr>
        <w:pStyle w:val="TextBody"/>
        <w:bidi w:val="0"/>
        <w:spacing w:lineRule="auto" w:line="271" w:before="1499" w:after="341"/>
        <w:jc w:val="left"/>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p>
      <w:pPr>
        <w:pStyle w:val="TextBody"/>
        <w:bidi w:val="0"/>
        <w:spacing w:lineRule="auto" w:line="288" w:before="0" w:after="347"/>
        <w:jc w:val="left"/>
        <w:rPr>
          <w:rFonts w:ascii="Times New Roman;sans-serif" w:hAnsi="Times New Roman;sans-serif"/>
          <w:b w:val="false"/>
          <w:color w:val="000000"/>
          <w:sz w:val="22"/>
        </w:rPr>
      </w:pPr>
      <w:r>
        <w:rPr>
          <w:rFonts w:ascii="Times New Roman;sans-serif" w:hAnsi="Times New Roman;sans-serif"/>
          <w:b w:val="false"/>
          <w:color w:val="000000"/>
          <w:sz w:val="22"/>
        </w:rPr>
        <w:t>/s/ Laura Stein</w:t>
      </w:r>
    </w:p>
    <w:p>
      <w:pPr>
        <w:pStyle w:val="TextBody"/>
        <w:bidi w:val="0"/>
        <w:spacing w:lineRule="auto" w:line="264"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Laura Stein</w:t>
      </w:r>
    </w:p>
    <w:p>
      <w:pPr>
        <w:pStyle w:val="TextBody"/>
        <w:bidi w:val="0"/>
        <w:spacing w:before="6" w:after="283"/>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Corporate &amp; Legal Affairs, General Counsel and</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Corporate Secretary</w:t>
      </w:r>
    </w:p>
    <w:p>
      <w:pPr>
        <w:pStyle w:val="TextBody"/>
        <w:bidi w:val="0"/>
        <w:spacing w:before="0" w:after="0"/>
        <w:jc w:val="left"/>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4" w:after="283"/>
        <w:jc w:val="center"/>
        <w:rPr/>
      </w:pPr>
      <w:r>
        <w:rPr/>
      </w:r>
    </w:p>
    <w:p>
      <w:pPr>
        <w:pStyle w:val="TextBody"/>
        <w:bidi w:val="0"/>
        <w:spacing w:lineRule="auto" w:line="266" w:before="14"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lineRule="auto" w:line="266" w:before="260" w:after="283"/>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r>
    </w:p>
    <w:p>
      <w:pPr>
        <w:pStyle w:val="TextBody"/>
        <w:bidi w:val="0"/>
        <w:spacing w:lineRule="auto" w:line="268" w:before="10" w:after="283"/>
        <w:jc w:val="center"/>
        <w:rPr>
          <w:rFonts w:ascii="Times New Roman;sans-serif" w:hAnsi="Times New Roman;sans-serif"/>
          <w:b/>
          <w:color w:val="000000"/>
          <w:sz w:val="22"/>
        </w:rPr>
      </w:pPr>
      <w:r>
        <w:rPr>
          <w:rFonts w:ascii="Times New Roman;sans-serif" w:hAnsi="Times New Roman;sans-serif"/>
          <w:b/>
          <w:color w:val="000000"/>
          <w:sz w:val="22"/>
        </w:rPr>
        <w:t>AMENDED AND RESTATED 2005 PERFORMANCE INCENTIVE PLAN</w:t>
      </w:r>
    </w:p>
    <w:p>
      <w:pPr>
        <w:pStyle w:val="TextBody"/>
        <w:bidi w:val="0"/>
        <w:spacing w:lineRule="auto" w:line="268" w:before="7" w:after="283"/>
        <w:jc w:val="center"/>
        <w:rPr>
          <w:rFonts w:ascii="Times New Roman;sans-serif" w:hAnsi="Times New Roman;sans-serif"/>
          <w:b/>
          <w:color w:val="000000"/>
          <w:sz w:val="22"/>
        </w:rPr>
      </w:pPr>
      <w:r>
        <w:rPr>
          <w:rFonts w:ascii="Times New Roman;sans-serif" w:hAnsi="Times New Roman;sans-serif"/>
          <w:b/>
          <w:color w:val="000000"/>
          <w:sz w:val="22"/>
        </w:rPr>
        <w:t>(Amended and Restated as of February 3, 2017)</w:t>
      </w:r>
    </w:p>
    <w:p>
      <w:pPr>
        <w:pStyle w:val="TextBody"/>
        <w:bidi w:val="0"/>
        <w:spacing w:lineRule="auto" w:line="278" w:before="249" w:after="283"/>
        <w:jc w:val="center"/>
        <w:rPr>
          <w:rFonts w:ascii="Times New Roman;sans-serif" w:hAnsi="Times New Roman;sans-serif"/>
          <w:b/>
          <w:color w:val="000000"/>
          <w:sz w:val="22"/>
        </w:rPr>
      </w:pPr>
      <w:r>
        <w:rPr>
          <w:rFonts w:ascii="Times New Roman;sans-serif" w:hAnsi="Times New Roman;sans-serif"/>
          <w:b/>
          <w:color w:val="000000"/>
          <w:sz w:val="22"/>
        </w:rPr>
        <w:t xml:space="preserve">ADDITIONAL TERMS AND CONDITIONS OF THE </w:t>
        <w:br/>
        <w:t>NON-QUALIFIED GLOBAL STOCK OPTION AGREEMENT</w:t>
      </w:r>
    </w:p>
    <w:p>
      <w:pPr>
        <w:pStyle w:val="TextBody"/>
        <w:bidi w:val="0"/>
        <w:spacing w:lineRule="auto" w:line="276" w:before="243" w:after="283"/>
        <w:jc w:val="left"/>
        <w:rPr/>
      </w:pPr>
      <w:r>
        <w:rPr>
          <w:rFonts w:ascii="Times New Roman;sans-serif" w:hAnsi="Times New Roman;sans-serif"/>
          <w:b w:val="false"/>
          <w:color w:val="000000"/>
          <w:sz w:val="22"/>
        </w:rPr>
        <w:t>This Appendix A includes additional terms and conditions that govern the Option granted to the Optionee under the Plan if he or she resides and/or works in one of the countries listed herein. If the Optionee is a citizen or resident (or is considered as such for local law purposes) of a country other than the country in which the Optionee is currently residing and/or working, or if the Optionee transfers to another country after receiving the Option, the Company shall, in its discretion, determine to what extent the terms and conditions contained herein shall be applicable to the Optionee. Certain capitalized terms used but not defined in this Appendix A have the meanings set forth in the Plan and/or the Non-Qualified Global Stock Option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w:t>
      </w:r>
    </w:p>
    <w:p>
      <w:pPr>
        <w:pStyle w:val="TextBody"/>
        <w:bidi w:val="0"/>
        <w:spacing w:lineRule="auto" w:line="276" w:before="238"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Optionee should be aware with respect to participation in the Plan. The information is based on the securities, exchange control and other laws in effect in the respective countries as of January 2024. Such laws are often complex and change frequently. As a result, the Optionee should not rely on the information in this Appendix A as the only source of information relating to the consequences of his or her participation in the Plan because the information may be out of date at the time the Optionee exercises the Option or sells shares of Common Stock acquired under the Plan.</w:t>
      </w:r>
    </w:p>
    <w:p>
      <w:pPr>
        <w:pStyle w:val="TextBody"/>
        <w:bidi w:val="0"/>
        <w:spacing w:lineRule="auto" w:line="276" w:before="243"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Optionee’s particular situation, and the Company is not in a position to assure the Optionee of a particular result. Accordingly, the Optionee should seek appropriate professional advice as to how the relevant laws in his or her country may apply to the Optionee’s situation.</w:t>
      </w:r>
    </w:p>
    <w:p>
      <w:pPr>
        <w:pStyle w:val="TextBody"/>
        <w:bidi w:val="0"/>
        <w:spacing w:lineRule="auto" w:line="276" w:before="234"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Finally, if the Optionee is a citizen or resident of a country other than the one in which he or she is currently working, transfers employment after the Grant Date, or is considered a resident of another country for local law purposes, the information contained herein may not be applicable to the Optionee in the same manner.</w:t>
      </w:r>
    </w:p>
    <w:p>
      <w:pPr>
        <w:pStyle w:val="TextBody"/>
        <w:bidi w:val="0"/>
        <w:spacing w:lineRule="auto" w:line="271" w:before="243"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EUROPEAN UNION / EUROPEAN ECONOMIC AREA, SWITZERLAND AND THE UNITED KINGDOM</w:t>
      </w:r>
    </w:p>
    <w:p>
      <w:pPr>
        <w:pStyle w:val="TextBody"/>
        <w:bidi w:val="0"/>
        <w:spacing w:lineRule="auto" w:line="271" w:before="26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54" w:after="283"/>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13 of the Agreement:</w:t>
      </w:r>
    </w:p>
    <w:p>
      <w:pPr>
        <w:pStyle w:val="TextBody"/>
        <w:bidi w:val="0"/>
        <w:spacing w:lineRule="auto" w:line="276" w:before="242"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the Optionee is based in the European Union (“EU”), the European Economic Area, Switzerland or the United Kingdom, the Optionee should note that Mondelēz International, Inc., with registered address at 905 West Fulton Market, Suite 200, Chicago, Illinois 60607, U.S.A. is the controller responsible for the processing of the Optionee's Personal Data (as defined below) in connection with the Agreement and the Plan.</w:t>
      </w:r>
    </w:p>
    <w:p>
      <w:pPr>
        <w:pStyle w:val="TextBody"/>
        <w:bidi w:val="0"/>
        <w:spacing w:lineRule="auto" w:line="276" w:before="262" w:after="283"/>
        <w:jc w:val="left"/>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Pursuant to applicable data protection laws, the Optionee is hereby notified that the Company collects, processes and uses the following types of personal data about the Optionee: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home address and telephone number, email address, date of birth, social insurance, passport number or other identification number, salary, nationality, job title, any shares of stock or directorships held in any entity in the Mondelēz Group, details of all Options or any other entitlement to shares awarded, canceled, settled, vested, unvested or outstanding in the Optionee’s favor, which the Company receives from the Optionee or the Employer (“Personal Data”) for the exclusive legitimate purpose of granting Options and implementing, administering and managing the Optionee’s participation in the Plan.</w:t>
      </w:r>
    </w:p>
    <w:p>
      <w:pPr>
        <w:pStyle w:val="TextBody"/>
        <w:bidi w:val="0"/>
        <w:spacing w:lineRule="auto" w:line="276" w:before="240" w:after="283"/>
        <w:jc w:val="left"/>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Optionee understands that providing the Company with Personal Data is necessary for the performance of the Agreement and that the Optionee's refusal to provide Personal Data would make it impossible for the Company to perform its contractual obligations and may affect the Optionee's ability to participate in the Plan.</w:t>
      </w:r>
    </w:p>
    <w:p>
      <w:pPr>
        <w:pStyle w:val="TextBody"/>
        <w:bidi w:val="0"/>
        <w:spacing w:lineRule="auto" w:line="276" w:before="239" w:after="283"/>
        <w:jc w:val="left"/>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The Company is located in the United States which means that it will be necessary for Personal Data to be transferred to, and processed in, the United States. The Optionee understands and acknowledges that the United States is not subject to an unlimited adequacy finding by the European Commission and that the Optionee’s Personal Data may not have an equivalent level of protection as compared to the Optionee’s country of residence. To provide appropriate safeguards for the protection of the Optionee’s Personal Data, the Personal Data is transferred to the Company based on data transfer and processing agreements implementing the EU Standard Contractual Clauses. Further, the Optionee understands that the Company transfers his or her Personal Data, or parts thereof to third parties based on agreements implementing the EU Standard Contractual Clauses. These third parties include Morgan Stanley Smith Barney, LLC and its affiliates (“Morgan Stanley”), an independent service provider based in the United States which assists the Company with the implementation, administration and management of the Plan. Morgan Stanley has opened or will open an account for the Optionee to receive and trade shares of Common Stock acquired under the Plan. The Optionee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Optionee may be asked to agree on separate terms and data processing practices with Morgan Stanley, PricewaterhouseCoopers LLP or KPMG LLP with such agreement being a condition to the Optionee’s ability to participate in the Plan.</w:t>
      </w:r>
    </w:p>
    <w:p>
      <w:pPr>
        <w:pStyle w:val="TextBody"/>
        <w:bidi w:val="0"/>
        <w:spacing w:lineRule="auto" w:line="276" w:before="240" w:after="283"/>
        <w:jc w:val="left"/>
        <w:rPr/>
      </w:pPr>
      <w:r>
        <w:rPr>
          <w:rFonts w:ascii="Times New Roman;sans-serif" w:hAnsi="Times New Roman;sans-serif"/>
          <w:b w:val="false"/>
          <w:color w:val="000000"/>
          <w:sz w:val="22"/>
        </w:rPr>
        <w:t xml:space="preserve">The Optionee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FF"/>
          <w:sz w:val="22"/>
          <w:u w:val="single"/>
        </w:rPr>
        <w:t>DataProtectionOfficeMEU@mdlz.com.</w:t>
      </w:r>
      <w:r>
        <w:rPr>
          <w:color w:val="000000"/>
          <w:u w:val="single"/>
        </w:rPr>
        <w:t xml:space="preserve"> </w:t>
      </w:r>
    </w:p>
    <w:p>
      <w:pPr>
        <w:pStyle w:val="TextBody"/>
        <w:bidi w:val="0"/>
        <w:spacing w:lineRule="auto" w:line="276" w:before="238" w:after="283"/>
        <w:jc w:val="left"/>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The Company will use the Personal Data only as long as necessary to implement, administer and manage the Optionee’s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pStyle w:val="TextBody"/>
        <w:bidi w:val="0"/>
        <w:spacing w:lineRule="auto" w:line="276" w:before="236" w:after="283"/>
        <w:jc w:val="left"/>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To the extent provided by law, the Optionee has the right to (i) inquire whether and what kind of Personal Data the Company holds about the Optionee and how it is processed, and to access or request copies of such Personal Data, (ii) request the correction or supplementation of Personal Data that is inaccurate, incomplete or out-of-date in light of the purposes underlying the processing, (iii) obtain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13" w:after="283"/>
        <w:jc w:val="left"/>
        <w:rPr/>
      </w:pPr>
      <w:r>
        <w:rPr>
          <w:rFonts w:ascii="Times New Roman;sans-serif" w:hAnsi="Times New Roman;sans-serif"/>
          <w:b w:val="false"/>
          <w:color w:val="000000"/>
          <w:sz w:val="22"/>
        </w:rPr>
        <w:t>the erasure of Personal Data no longer necessary for the purposes underlying the processing or processed in non-compliance with applicable legal requirements, (iv) request the Company to restrict the processing of Personal Data in certain situations where the Optionee feels its processing is inappropriate, (v) object, in certain circumstances, to the processing of Personal Data for legitimate interests, (vi) request portability of Personal Data that the Optionee has actively or passively provided to the Company, where the processing of such Personal Data is based on consent or a contractual agreement with the Optionee and is carried out by automated means, or (vii) lodge a complaint with the competent local data protection authority. To receive additional information regarding the Optionee</w:t>
      </w:r>
      <w:r>
        <w:rPr>
          <w:color w:val="000000"/>
        </w:rPr>
        <w:t>’</w:t>
      </w:r>
      <w:r>
        <w:rPr>
          <w:rFonts w:ascii="Times New Roman;sans-serif" w:hAnsi="Times New Roman;sans-serif"/>
          <w:b w:val="false"/>
          <w:color w:val="000000"/>
          <w:sz w:val="23"/>
        </w:rPr>
        <w:t xml:space="preserve">s </w:t>
      </w:r>
      <w:r>
        <w:rPr>
          <w:rFonts w:ascii="Times New Roman;sans-serif" w:hAnsi="Times New Roman;sans-serif"/>
          <w:b w:val="false"/>
          <w:color w:val="000000"/>
          <w:sz w:val="22"/>
        </w:rPr>
        <w:t>rights, raise any other questions regarding the practices described in the Agreement or to exercise his or her rights, the Optionee should contact the Company at</w:t>
      </w:r>
      <w:r>
        <w:rPr>
          <w:color w:val="0000FF"/>
          <w:u w:val="single"/>
        </w:rPr>
        <w:t xml:space="preserve"> </w:t>
      </w:r>
      <w:r>
        <w:rPr>
          <w:rFonts w:ascii="Times New Roman;sans-serif" w:hAnsi="Times New Roman;sans-serif"/>
          <w:b w:val="false"/>
          <w:color w:val="0000FF"/>
          <w:sz w:val="22"/>
          <w:u w:val="single"/>
        </w:rPr>
        <w:t>DataProtectionOfficeMEU@mdlz.com.</w:t>
      </w:r>
      <w:r>
        <w:rPr>
          <w:color w:val="000000"/>
          <w:u w:val="single"/>
        </w:rPr>
        <w:t xml:space="preserve"> </w:t>
      </w:r>
    </w:p>
    <w:p>
      <w:pPr>
        <w:pStyle w:val="TextBody"/>
        <w:bidi w:val="0"/>
        <w:spacing w:lineRule="auto" w:line="271" w:before="241" w:after="283"/>
        <w:jc w:val="center"/>
        <w:rPr/>
      </w:pPr>
      <w:r>
        <w:rPr>
          <w:rFonts w:ascii="Times New Roman;sans-serif" w:hAnsi="Times New Roman;sans-serif"/>
          <w:b/>
          <w:color w:val="000000"/>
          <w:sz w:val="22"/>
          <w:u w:val="single"/>
        </w:rPr>
        <w:t>ARGENTINA</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68" w:before="241" w:after="283"/>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regulatory requirements in Argentina, the Optionee may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w:t>
      </w:r>
      <w:r>
        <w:rPr>
          <w:rFonts w:ascii="Times New Roman;sans-serif" w:hAnsi="Times New Roman;sans-serif"/>
          <w:b w:val="false"/>
          <w:color w:val="000000"/>
          <w:sz w:val="23"/>
        </w:rPr>
        <w:t>Related Items and broker’s fees or commission</w:t>
      </w:r>
      <w:r>
        <w:rPr>
          <w:rFonts w:ascii="Times New Roman;sans-serif" w:hAnsi="Times New Roman;sans-serif"/>
          <w:b w:val="false"/>
          <w:color w:val="000000"/>
          <w:sz w:val="22"/>
        </w:rPr>
        <w:t>s, will be remitted to the Optionee in accordance with any applicable exchange control laws and regulations. The Company reserves the right to provide the Optionee with additional methods of exercise depending on the development of local law.</w:t>
      </w:r>
    </w:p>
    <w:p>
      <w:pPr>
        <w:pStyle w:val="TextBody"/>
        <w:bidi w:val="0"/>
        <w:spacing w:lineRule="auto" w:line="276" w:before="238" w:after="283"/>
        <w:jc w:val="left"/>
        <w:rPr/>
      </w:pPr>
      <w:r>
        <w:rPr>
          <w:rFonts w:ascii="Times New Roman;sans-serif" w:hAnsi="Times New Roman;sans-serif"/>
          <w:b/>
          <w:color w:val="000000"/>
          <w:sz w:val="22"/>
        </w:rPr>
        <w:t>Restrictions and Covenants</w:t>
      </w:r>
      <w:r>
        <w:rPr>
          <w:rFonts w:ascii="Times New Roman;sans-serif" w:hAnsi="Times New Roman;sans-serif"/>
          <w:b w:val="false"/>
          <w:color w:val="000000"/>
          <w:sz w:val="22"/>
        </w:rPr>
        <w:t>. Notwithstanding anything to the contrary in the Agreement, paragraph 6 of the Agreement will not apply to Argentinian Optionees.</w:t>
      </w:r>
    </w:p>
    <w:p>
      <w:pPr>
        <w:pStyle w:val="TextBody"/>
        <w:bidi w:val="0"/>
        <w:spacing w:lineRule="auto" w:line="276" w:before="238" w:after="283"/>
        <w:jc w:val="left"/>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12 of the Agreement:</w:t>
      </w:r>
    </w:p>
    <w:p>
      <w:pPr>
        <w:pStyle w:val="TextBody"/>
        <w:bidi w:val="0"/>
        <w:spacing w:lineRule="auto" w:line="276" w:before="244"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and agrees that the Grant is made by the Company (not the Employer) in its sole discretion and that the value of the Option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Optionee acknowledges and agrees that such benefits shall not accrue more frequently than on each vesting date.</w:t>
      </w:r>
    </w:p>
    <w:p>
      <w:pPr>
        <w:pStyle w:val="TextBody"/>
        <w:bidi w:val="0"/>
        <w:spacing w:lineRule="auto" w:line="271" w:before="242"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68" w:before="241"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Neither the Option nor the underlying shares of Common Stock are publicly offered or listed on any stock exchange in Argentina and, as a result, have not been and will not be registered with the Argentine Securities Commission (</w:t>
      </w:r>
      <w:r>
        <w:rPr>
          <w:rFonts w:ascii="Times New Roman;sans-serif" w:hAnsi="Times New Roman;sans-serif"/>
          <w:b w:val="false"/>
          <w:i/>
          <w:color w:val="000000"/>
          <w:sz w:val="22"/>
        </w:rPr>
        <w:t>Comisión Nacional de Valores</w:t>
      </w:r>
      <w:r>
        <w:rPr>
          <w:rFonts w:ascii="Times New Roman;sans-serif" w:hAnsi="Times New Roman;sans-serif"/>
          <w:b w:val="false"/>
          <w:color w:val="000000"/>
          <w:sz w:val="23"/>
        </w:rPr>
        <w:t>, “</w:t>
      </w:r>
      <w:r>
        <w:rPr>
          <w:rFonts w:ascii="Times New Roman;sans-serif" w:hAnsi="Times New Roman;sans-serif"/>
          <w:b w:val="false"/>
          <w:i/>
          <w:color w:val="000000"/>
          <w:sz w:val="22"/>
        </w:rPr>
        <w:t>CNV</w:t>
      </w:r>
      <w:r>
        <w:rPr>
          <w:color w:val="000000"/>
        </w:rPr>
        <w:t>”</w:t>
      </w:r>
      <w:r>
        <w:rPr>
          <w:rFonts w:ascii="Times New Roman;sans-serif" w:hAnsi="Times New Roman;sans-serif"/>
          <w:b w:val="false"/>
          <w:color w:val="000000"/>
          <w:sz w:val="23"/>
        </w:rPr>
        <w:t xml:space="preserve">). </w:t>
      </w:r>
      <w:r>
        <w:rPr>
          <w:rFonts w:ascii="Times New Roman;sans-serif" w:hAnsi="Times New Roman;sans-serif"/>
          <w:b w:val="false"/>
          <w:color w:val="000000"/>
          <w:sz w:val="22"/>
        </w:rPr>
        <w:t>Neither this Agreement nor any other offering material related to the Option nor the underlying shares of Common Stock may be utilized in connection with any general offering to the public in Argentina.</w:t>
      </w:r>
    </w:p>
    <w:p>
      <w:pPr>
        <w:pStyle w:val="TextBody"/>
        <w:bidi w:val="0"/>
        <w:spacing w:lineRule="auto" w:line="276" w:before="238"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Optionee is solely responsible for complying with the exchange control rules that may apply in connection with his or her participation in the Plan and/or the transfer 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proceeds acquired under the Plan into Argentina. Prior to exercising the Option or transferring proceeds into Argentina, the Optionee should consult his or her local bank and exchange control advisor to confirm the exchange control rules and required documentation.</w:t>
      </w:r>
    </w:p>
    <w:p>
      <w:pPr>
        <w:pStyle w:val="TextBody"/>
        <w:bidi w:val="0"/>
        <w:spacing w:lineRule="auto" w:line="276" w:before="240"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must report holdings of any equity interest in a foreign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on his or her annual tax return each year.</w:t>
      </w:r>
    </w:p>
    <w:p>
      <w:pPr>
        <w:pStyle w:val="TextBody"/>
        <w:bidi w:val="0"/>
        <w:spacing w:lineRule="auto" w:line="271" w:before="241" w:after="283"/>
        <w:jc w:val="center"/>
        <w:rPr/>
      </w:pPr>
      <w:r>
        <w:rPr>
          <w:rFonts w:ascii="Times New Roman;sans-serif" w:hAnsi="Times New Roman;sans-serif"/>
          <w:b/>
          <w:color w:val="000000"/>
          <w:sz w:val="22"/>
          <w:u w:val="single"/>
        </w:rPr>
        <w:t>AUSTRALIA</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1" w:after="283"/>
        <w:jc w:val="left"/>
        <w:rPr/>
      </w:pPr>
      <w:r>
        <w:rPr>
          <w:rFonts w:ascii="Times New Roman;sans-serif" w:hAnsi="Times New Roman;sans-serif"/>
          <w:b/>
          <w:color w:val="000000"/>
          <w:sz w:val="22"/>
        </w:rPr>
        <w:t xml:space="preserve">Australian Offer Document. </w:t>
      </w:r>
      <w:r>
        <w:rPr>
          <w:rFonts w:ascii="Times New Roman;sans-serif" w:hAnsi="Times New Roman;sans-serif"/>
          <w:b w:val="false"/>
          <w:color w:val="000000"/>
          <w:sz w:val="22"/>
        </w:rPr>
        <w:t>This offer is being made under Division 1A, Part 7.12 of the Corporations Act 2001 (Cth). The Optionee’s right to participate in the Plan and receive the grant of the Option under the Plan is subject to the terms and conditions as stated in the ESS Offer Document, the Plan and the Agreement. By accepting the grant of the Option, the Optionee acknowledges and confirms that the Optionee has received these documents.</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0"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AUD10,000 and for international fund transfers. If an Australian bank is assisting with the transaction, the bank will file the report on the Optionee’s behalf, otherwise the Optionee will be responsible for complying with any exchange control reporting requirements.</w:t>
      </w:r>
    </w:p>
    <w:p>
      <w:pPr>
        <w:pStyle w:val="TextBody"/>
        <w:bidi w:val="0"/>
        <w:spacing w:lineRule="auto" w:line="283" w:before="231" w:after="283"/>
        <w:jc w:val="left"/>
        <w:rPr/>
      </w:pPr>
      <w:r>
        <w:rPr>
          <w:rFonts w:ascii="Times New Roman;sans-serif" w:hAnsi="Times New Roman;sans-serif"/>
          <w:b/>
          <w:color w:val="000000"/>
          <w:sz w:val="22"/>
        </w:rPr>
        <w:t xml:space="preserve">Tax Notification. </w:t>
      </w:r>
      <w:r>
        <w:rPr>
          <w:rFonts w:ascii="Times New Roman;sans-serif" w:hAnsi="Times New Roman;sans-serif"/>
          <w:b w:val="false"/>
          <w:color w:val="000000"/>
          <w:sz w:val="22"/>
        </w:rPr>
        <w:t>The Plan is a plan to which Subdivision 83A-C of the Income Tax Assessment Act 1997 (Cth) (the “Act”) applies (subject to conditions in the Act).</w:t>
      </w:r>
    </w:p>
    <w:p>
      <w:pPr>
        <w:pStyle w:val="TextBody"/>
        <w:bidi w:val="0"/>
        <w:spacing w:lineRule="auto" w:line="271" w:before="242" w:after="283"/>
        <w:jc w:val="center"/>
        <w:rPr/>
      </w:pPr>
      <w:r>
        <w:rPr>
          <w:rFonts w:ascii="Times New Roman;sans-serif" w:hAnsi="Times New Roman;sans-serif"/>
          <w:b/>
          <w:color w:val="000000"/>
          <w:sz w:val="22"/>
          <w:u w:val="single"/>
        </w:rPr>
        <w:t>AUSTRIA</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7"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Optionee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bidi w:val="0"/>
        <w:spacing w:lineRule="auto" w:line="276" w:before="245" w:after="283"/>
        <w:jc w:val="left"/>
        <w:rPr/>
      </w:pPr>
      <w:r>
        <w:rPr>
          <w:rFonts w:ascii="Times New Roman;sans-serif" w:hAnsi="Times New Roman;sans-serif"/>
          <w:b w:val="false"/>
          <w:color w:val="000000"/>
          <w:sz w:val="22"/>
        </w:rPr>
        <w:t>If the Participant sells shares of Common Stock, or receives any cash dividends, the Optionee may have exchange control obligations if the Optionee holds the cash proceeds outside Austria. If the transaction volume of all the Optionee’s accounts abroad meets or exceeds a certain threshold, the Optionee must 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14" w:after="283"/>
        <w:jc w:val="center"/>
        <w:rPr/>
      </w:pPr>
      <w:r>
        <w:rPr>
          <w:rFonts w:ascii="Times New Roman;sans-serif" w:hAnsi="Times New Roman;sans-serif"/>
          <w:b/>
          <w:color w:val="000000"/>
          <w:sz w:val="22"/>
          <w:u w:val="single"/>
        </w:rPr>
        <w:t>BAHRAIN</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24"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Agreement does not constitute advertising or an offering of securities in Bahrain, nor does it constitute an allotment of securities in Bahrain. Any shares of Common Stock issued pursuant to the Options under the Plan shall be deposited into a brokerage account in the United States. In no event will shares of Common Stock be issued or delivered in Bahrain. The issuance of shares of Common Stock pursuant to the Options described herein has not and will not be registered in Bahrain and hence, the shares of Common Stock described herein may not be admitted or used for offering, placement or public circulation in Bahrain. Accordingly, the Optionee may not make any public advertising or announcements regarding the Options or shares of Common Stock in Bahrain, promote these shares of Common Stock to legal entities or individuals in Bahrain, or sell shares of Common Stock directly to other legal entities or individuals in Bahrain. The Optionee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the Nasdaq Global Select Market).</w:t>
      </w:r>
    </w:p>
    <w:p>
      <w:pPr>
        <w:pStyle w:val="TextBody"/>
        <w:bidi w:val="0"/>
        <w:spacing w:lineRule="auto" w:line="271" w:before="248" w:after="283"/>
        <w:jc w:val="center"/>
        <w:rPr/>
      </w:pPr>
      <w:r>
        <w:rPr>
          <w:rFonts w:ascii="Times New Roman;sans-serif" w:hAnsi="Times New Roman;sans-serif"/>
          <w:b/>
          <w:color w:val="000000"/>
          <w:sz w:val="22"/>
          <w:u w:val="single"/>
        </w:rPr>
        <w:t>BELGIUM</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1" w:after="283"/>
        <w:jc w:val="left"/>
        <w:rPr/>
      </w:pPr>
      <w:r>
        <w:rPr>
          <w:rFonts w:ascii="Times New Roman;sans-serif" w:hAnsi="Times New Roman;sans-serif"/>
          <w:b/>
          <w:color w:val="000000"/>
          <w:sz w:val="22"/>
        </w:rPr>
        <w:t xml:space="preserve">Tax Considerations. </w:t>
      </w:r>
      <w:r>
        <w:rPr>
          <w:rFonts w:ascii="Times New Roman;sans-serif" w:hAnsi="Times New Roman;sans-serif"/>
          <w:b w:val="false"/>
          <w:color w:val="000000"/>
          <w:sz w:val="22"/>
        </w:rPr>
        <w:t>The Option must be accepted in writing either (i) within 60 days of the offer (for tax at offer), or (ii) after 60 days of the offer (for tax at exercise). The Optionee will receive a separate offer letter, acceptance form and undertaking form in addition to the Agreement. He or she should refer to the offer letter for a more detailed description of the tax consequences of choosing to accept the Option. The Optionee should consult a personal tax advisor with respect to completing the additional forms.</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is required to report any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t>
      </w:r>
      <w:r>
        <w:rPr>
          <w:rFonts w:ascii="Times New Roman;sans-serif" w:hAnsi="Times New Roman;sans-serif"/>
          <w:b w:val="false"/>
          <w:color w:val="0000FF"/>
          <w:sz w:val="22"/>
          <w:u w:val="single"/>
        </w:rPr>
        <w:t>www.nbb.be</w:t>
      </w:r>
      <w:r>
        <w:rPr>
          <w:rFonts w:ascii="Times New Roman;sans-serif" w:hAnsi="Times New Roman;sans-serif"/>
          <w:b w:val="false"/>
          <w:color w:val="000000"/>
          <w:sz w:val="22"/>
        </w:rPr>
        <w:t>, under Kredietcentrales / Centrales des crédits caption. The Optionee should consult a personal tax advisor with respect to the applicable reporting obligations.</w:t>
      </w:r>
    </w:p>
    <w:p>
      <w:pPr>
        <w:pStyle w:val="TextBody"/>
        <w:bidi w:val="0"/>
        <w:spacing w:lineRule="auto" w:line="276" w:before="236" w:after="283"/>
        <w:jc w:val="left"/>
        <w:rPr/>
      </w:pPr>
      <w:r>
        <w:rPr>
          <w:rFonts w:ascii="Times New Roman;sans-serif" w:hAnsi="Times New Roman;sans-serif"/>
          <w:b/>
          <w:color w:val="000000"/>
          <w:sz w:val="22"/>
        </w:rPr>
        <w:t>Stock Exchange Tax Information</w:t>
      </w:r>
      <w:r>
        <w:rPr>
          <w:rFonts w:ascii="Times New Roman;sans-serif" w:hAnsi="Times New Roman;sans-serif"/>
          <w:b w:val="false"/>
          <w:color w:val="000000"/>
          <w:sz w:val="22"/>
        </w:rPr>
        <w:t>. A stock exchange tax applies to transactions executed by Belgian residents through a non-Belgian financial intermediary, such as a U.S. broker. The stock exchange tax will apply when shares of Common Stock acquired upon exercise of the Options are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6" w:after="283"/>
        <w:jc w:val="left"/>
        <w:rPr/>
      </w:pPr>
      <w:r>
        <w:rPr>
          <w:rFonts w:ascii="Times New Roman;sans-serif" w:hAnsi="Times New Roman;sans-serif"/>
          <w:b/>
          <w:color w:val="000000"/>
          <w:sz w:val="22"/>
        </w:rPr>
        <w:t xml:space="preserve">Annual Securities Accounts Tax. </w:t>
      </w:r>
      <w:r>
        <w:rPr>
          <w:rFonts w:ascii="Times New Roman;sans-serif" w:hAnsi="Times New Roman;sans-serif"/>
          <w:b w:val="false"/>
          <w:color w:val="000000"/>
          <w:sz w:val="22"/>
        </w:rPr>
        <w:t>An annual securities accounts tax may be payable if the total value of securities held in a Belgian or foreign securities account (e.g., shares of Common Stock acquired under the Plan) exceeds a certain threshold on four reference dates within the relevant reporting period (i.e., December 31, March 31, June 30 and September 30). In such case, the tax will be due on the value of the qualifying securities held in such account. Belgian residents should consult with their personal tax advisor regarding the new tax.</w:t>
      </w:r>
    </w:p>
    <w:p>
      <w:pPr>
        <w:pStyle w:val="TextBody"/>
        <w:bidi w:val="0"/>
        <w:spacing w:lineRule="auto" w:line="271" w:before="241" w:after="283"/>
        <w:jc w:val="center"/>
        <w:rPr/>
      </w:pPr>
      <w:r>
        <w:rPr>
          <w:rFonts w:ascii="Times New Roman;sans-serif" w:hAnsi="Times New Roman;sans-serif"/>
          <w:b/>
          <w:color w:val="000000"/>
          <w:sz w:val="22"/>
          <w:u w:val="single"/>
        </w:rPr>
        <w:t>BRAZIL</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5" w:after="283"/>
        <w:jc w:val="left"/>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By accepting the Option, the Optionee acknowledges that he or she agrees to comply with applicable Brazilian laws and pay any and all applicable Tax-Related Items associated with the exercise of the Option, the receipt of any dividends and the sale of shares of Common Stock acquired under the Plan.</w:t>
      </w:r>
    </w:p>
    <w:p>
      <w:pPr>
        <w:pStyle w:val="TextBody"/>
        <w:bidi w:val="0"/>
        <w:spacing w:lineRule="auto" w:line="276" w:before="237" w:after="283"/>
        <w:jc w:val="left"/>
        <w:rPr/>
      </w:pPr>
      <w:r>
        <w:rPr>
          <w:rFonts w:ascii="Times New Roman;sans-serif" w:hAnsi="Times New Roman;sans-serif"/>
          <w:b/>
          <w:color w:val="000000"/>
          <w:sz w:val="22"/>
        </w:rPr>
        <w:t xml:space="preserve">Labor Law Acknowledgment. </w:t>
      </w:r>
      <w:r>
        <w:rPr>
          <w:rFonts w:ascii="Times New Roman;sans-serif" w:hAnsi="Times New Roman;sans-serif"/>
          <w:b w:val="false"/>
          <w:color w:val="000000"/>
          <w:sz w:val="22"/>
        </w:rPr>
        <w:t>By accepting the Option, the Optionee understands, acknowledges and agrees that, for all legal purposes (i) the Optionee is making an investment decision and (ii) the value of the underlying shares of Common Stock are not fixed and may increase or decrease in value over the vesting period without compensation to the Optionee.</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1"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Individuals who are resident or domiciled in Brazil are generally required to submit an annual declaration of assets and rights held outside Brazil to the Central Bank of Brazil if the aggregate value of such assets and rights is greater than US$1,000,000. If such amount is equal to or greater than US$100,000,000, the referenced declaration must be submitted quarterly, in the month following the end of each quarter. Assets and rights to be included in this annual declaration include shares of Common Stock acquired under the Plan.</w:t>
      </w:r>
    </w:p>
    <w:p>
      <w:pPr>
        <w:pStyle w:val="TextBody"/>
        <w:bidi w:val="0"/>
        <w:spacing w:lineRule="auto" w:line="276" w:before="233" w:after="283"/>
        <w:jc w:val="left"/>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Payments to foreign countries (including payment of the Grant Price) and the repatriation of funds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sale proceeds from the sale of shares of Common Stock and/or dividends) into Brazil and the conversion between BRL and USD associated with such transfers may be subject to the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pStyle w:val="TextBody"/>
        <w:bidi w:val="0"/>
        <w:spacing w:lineRule="auto" w:line="271" w:before="247" w:after="283"/>
        <w:jc w:val="center"/>
        <w:rPr/>
      </w:pPr>
      <w:r>
        <w:rPr>
          <w:rFonts w:ascii="Times New Roman;sans-serif" w:hAnsi="Times New Roman;sans-serif"/>
          <w:b/>
          <w:color w:val="000000"/>
          <w:sz w:val="22"/>
          <w:u w:val="single"/>
        </w:rPr>
        <w:t>BULGARIA</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7"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Optionee exercises the Option through a cash purchase exercise, in order to remit funds out of Bulgaria, he or she will need to declare the purpose of the remittance to the local bank that is transferring the funds abroad. If the amount the Optionee wishes to transfer exceeds BGN 30,000, he or she will need to provide the bank with certain documents evidencing the transaction. If the Optionee exercises the Option by way of a cashless method of exercise, this declaration will not be required because no funds will be remitted out of Bulgaria.</w:t>
      </w:r>
    </w:p>
    <w:p>
      <w:pPr>
        <w:pStyle w:val="TextBody"/>
        <w:bidi w:val="0"/>
        <w:spacing w:lineRule="auto" w:line="276" w:before="232" w:after="283"/>
        <w:jc w:val="left"/>
        <w:rPr/>
      </w:pPr>
      <w:r>
        <w:rPr>
          <w:rFonts w:ascii="Times New Roman;sans-serif" w:hAnsi="Times New Roman;sans-serif"/>
          <w:b w:val="false"/>
          <w:color w:val="000000"/>
          <w:sz w:val="22"/>
        </w:rPr>
        <w:t>In addition, the Optionee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8" w:before="7" w:after="283"/>
        <w:jc w:val="left"/>
        <w:rPr>
          <w:rFonts w:ascii="Times New Roman;sans-serif" w:hAnsi="Times New Roman;sans-serif"/>
          <w:b w:val="false"/>
          <w:color w:val="000000"/>
          <w:sz w:val="22"/>
        </w:rPr>
      </w:pPr>
      <w:r>
        <w:rPr>
          <w:rFonts w:ascii="Times New Roman;sans-serif" w:hAnsi="Times New Roman;sans-serif"/>
          <w:b w:val="false"/>
          <w:color w:val="000000"/>
          <w:sz w:val="22"/>
        </w:rPr>
        <w:t>shares of Common Stock acquired under the Plan) if the total sum of all such receivables and securities equals or exceeds BGN50,000 as of the previous calendar year end. The reports are due by March 31.</w:t>
      </w:r>
    </w:p>
    <w:p>
      <w:pPr>
        <w:pStyle w:val="TextBody"/>
        <w:bidi w:val="0"/>
        <w:spacing w:lineRule="auto" w:line="278" w:before="234"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should contact his or her bank in Bulgaria for additional information regarding these requirements.</w:t>
      </w:r>
    </w:p>
    <w:p>
      <w:pPr>
        <w:pStyle w:val="TextBody"/>
        <w:bidi w:val="0"/>
        <w:spacing w:lineRule="auto" w:line="271" w:before="246" w:after="283"/>
        <w:jc w:val="center"/>
        <w:rPr/>
      </w:pPr>
      <w:r>
        <w:rPr>
          <w:rFonts w:ascii="Times New Roman;sans-serif" w:hAnsi="Times New Roman;sans-serif"/>
          <w:b/>
          <w:color w:val="000000"/>
          <w:sz w:val="22"/>
          <w:u w:val="single"/>
        </w:rPr>
        <w:t>CANADA</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8" w:before="231" w:after="283"/>
        <w:jc w:val="left"/>
        <w:rPr/>
      </w:pPr>
      <w:r>
        <w:rPr>
          <w:rFonts w:ascii="Times New Roman;sans-serif" w:hAnsi="Times New Roman;sans-serif"/>
          <w:b/>
          <w:color w:val="000000"/>
          <w:sz w:val="22"/>
        </w:rPr>
        <w:t xml:space="preserve">Form of Payment. </w:t>
      </w:r>
      <w:r>
        <w:rPr>
          <w:rFonts w:ascii="Times New Roman;sans-serif" w:hAnsi="Times New Roman;sans-serif"/>
          <w:b w:val="false"/>
          <w:color w:val="000000"/>
          <w:sz w:val="22"/>
        </w:rPr>
        <w:t>Notwithstanding anything in the Plan or the Agreement to the contrary, the Optionee is prohibited from surrendering shares of Common Stock that he or she already owns or attesting to the ownership of shares of Common Stock to pay the Grant Price or any Tax-Related Items in connection with the Option.</w:t>
      </w:r>
    </w:p>
    <w:p>
      <w:pPr>
        <w:pStyle w:val="TextBody"/>
        <w:bidi w:val="0"/>
        <w:spacing w:lineRule="auto" w:line="278" w:before="234" w:after="283"/>
        <w:jc w:val="left"/>
        <w:rPr/>
      </w:pPr>
      <w:r>
        <w:rPr>
          <w:rFonts w:ascii="Times New Roman;sans-serif" w:hAnsi="Times New Roman;sans-serif"/>
          <w:b/>
          <w:color w:val="000000"/>
          <w:sz w:val="22"/>
        </w:rPr>
        <w:t xml:space="preserve">Form of Settlement. </w:t>
      </w:r>
      <w:r>
        <w:rPr>
          <w:rFonts w:ascii="Times New Roman;sans-serif" w:hAnsi="Times New Roman;sans-serif"/>
          <w:b w:val="false"/>
          <w:color w:val="000000"/>
          <w:sz w:val="22"/>
        </w:rPr>
        <w:t>Options granted to employees resident in Canada shall be paid in shares of Common Stock only.</w:t>
      </w:r>
    </w:p>
    <w:p>
      <w:pPr>
        <w:pStyle w:val="TextBody"/>
        <w:bidi w:val="0"/>
        <w:spacing w:lineRule="auto" w:line="278" w:before="234" w:after="283"/>
        <w:jc w:val="left"/>
        <w:rPr/>
      </w:pPr>
      <w:r>
        <w:rPr>
          <w:rFonts w:ascii="Times New Roman;sans-serif" w:hAnsi="Times New Roman;sans-serif"/>
          <w:b/>
          <w:color w:val="000000"/>
          <w:sz w:val="22"/>
        </w:rPr>
        <w:t>Termination of Employment</w:t>
      </w:r>
      <w:r>
        <w:rPr>
          <w:rFonts w:ascii="Times New Roman;sans-serif" w:hAnsi="Times New Roman;sans-serif"/>
          <w:b w:val="false"/>
          <w:color w:val="000000"/>
          <w:sz w:val="22"/>
        </w:rPr>
        <w:t>. The following provision supplements paragraphs 2 and 3(d) of the Agreement:</w:t>
      </w:r>
    </w:p>
    <w:p>
      <w:pPr>
        <w:pStyle w:val="TextBody"/>
        <w:bidi w:val="0"/>
        <w:spacing w:lineRule="auto" w:line="278" w:before="2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Except as expressly required by applicable legislation, the Optionee’s employment with the Mondelēz Group shall be deemed to be terminated, vesting will terminate and the period remaining to exercise any Options will be measured effective as of the date that is the earliest of: (1) the date the Optionee’s employment with the Mondelēz Group is terminated, or (2) the date the Optionee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Optionee’s employment or service agreement, if any. The Committee shall have the exclusive discretion to determine when the Optionee is no longer actively employed or providing services and the termination date for purposes of the Agreement.</w:t>
      </w:r>
    </w:p>
    <w:p>
      <w:pPr>
        <w:pStyle w:val="TextBody"/>
        <w:bidi w:val="0"/>
        <w:spacing w:lineRule="auto" w:line="278" w:before="226"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applicable employment standards legislation explicitly requires continued entitlement to vesting during a statutory notice period, the Optionee’s right to vest in the Option under the Plan, if any, will terminate effective as of the last day of the Optionee’s minimum statutory notice period. The Optionee will not earn or be entitled to pro-rated vesting for that portion of time before the date on which the Optionee’s right to vest terminates or if the vesting date falls after the end of the Optionee’s statutory notice period, nor will the Optionee be entitled to any compensation for lost vesting.</w:t>
      </w:r>
    </w:p>
    <w:p>
      <w:pPr>
        <w:pStyle w:val="TextBody"/>
        <w:bidi w:val="0"/>
        <w:spacing w:lineRule="auto" w:line="271" w:before="247"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Optionees resident in Quebec:</w:t>
      </w:r>
    </w:p>
    <w:p>
      <w:pPr>
        <w:pStyle w:val="TextBody"/>
        <w:bidi w:val="0"/>
        <w:spacing w:lineRule="auto" w:line="278" w:before="239" w:after="283"/>
        <w:jc w:val="left"/>
        <w:rPr/>
      </w:pPr>
      <w:r>
        <w:rPr>
          <w:rFonts w:ascii="Times New Roman;sans-serif" w:hAnsi="Times New Roman;sans-serif"/>
          <w:b/>
          <w:color w:val="000000"/>
          <w:sz w:val="22"/>
        </w:rPr>
        <w:t>Data Privacy</w:t>
      </w:r>
      <w:r>
        <w:rPr>
          <w:rFonts w:ascii="Times New Roman;sans-serif" w:hAnsi="Times New Roman;sans-serif"/>
          <w:b w:val="false"/>
          <w:color w:val="000000"/>
          <w:sz w:val="22"/>
        </w:rPr>
        <w:t>. The following provision supplements paragraph 13 of the Agreement:</w:t>
      </w:r>
    </w:p>
    <w:p>
      <w:pPr>
        <w:pStyle w:val="TextBody"/>
        <w:bidi w:val="0"/>
        <w:spacing w:lineRule="auto" w:line="278" w:before="2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hereby authorizes the Company and the Company’s representatives to discuss with and obtain all relevant information from all personnel, professional or not, involved in the administration and operation of the Plan. The Optionee further authorizes the Mondelēz Group and the administrator of the Plan to disclose and discuss the Plan with their advisors. The Optionee acknowledges and agrees that the Optionee’s personal information, including sensitive personal information, may be transferred or disclosed outside of the Province of Quebec, including to the United States. The Optionee further authorizes the Mondelēz Group to record such information and to keep such information in his or her employee file. The Optionee also acknowledges and authorizes the Company and any subsidiary or affiliate or other parties involved in the administration of the Plan to use technology for profiling purposes and to make automated decisions that may have an impact on the Optionee or the administration of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7" w:after="283"/>
        <w:jc w:val="left"/>
        <w:rPr/>
      </w:pPr>
      <w:r>
        <w:rPr>
          <w:rFonts w:ascii="Times New Roman;sans-serif" w:hAnsi="Times New Roman;sans-serif"/>
          <w:b/>
          <w:color w:val="000000"/>
          <w:sz w:val="22"/>
        </w:rPr>
        <w:t>Language</w:t>
      </w:r>
      <w:r>
        <w:rPr>
          <w:rFonts w:ascii="Times New Roman;sans-serif" w:hAnsi="Times New Roman;sans-serif"/>
          <w:b w:val="false"/>
          <w:color w:val="000000"/>
          <w:sz w:val="22"/>
        </w:rPr>
        <w:t>. A French translation of the Plan and the Agreement can be made available to the Optionee as soon as reasonably practicable upon the Optionee’s request. The Optionee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pStyle w:val="TextBody"/>
        <w:bidi w:val="0"/>
        <w:spacing w:lineRule="auto" w:line="276" w:before="232"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Une traduction française du Plan et du présent Contrat pourra êtremise à la disposition de Optionee dès que raisonnablement possible à la demande de l' Optionee. Le Optionee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both"/>
        <w:rPr/>
      </w:pPr>
      <w:r>
        <w:rPr>
          <w:rFonts w:ascii="Times New Roman;sans-serif" w:hAnsi="Times New Roman;sans-serif"/>
          <w:b/>
          <w:color w:val="000000"/>
          <w:sz w:val="22"/>
        </w:rPr>
        <w:t xml:space="preserve">Non-Qualified Securities. </w:t>
      </w:r>
      <w:r>
        <w:rPr>
          <w:rFonts w:ascii="Times New Roman;sans-serif" w:hAnsi="Times New Roman;sans-serif"/>
          <w:b w:val="false"/>
          <w:color w:val="000000"/>
          <w:sz w:val="22"/>
        </w:rPr>
        <w:t xml:space="preserve">All or a portion of the shares of Common Stock subject to the Option may be "non-qualified securities" within the meaning of the </w:t>
      </w:r>
      <w:r>
        <w:rPr>
          <w:rFonts w:ascii="Times New Roman;sans-serif" w:hAnsi="Times New Roman;sans-serif"/>
          <w:b w:val="false"/>
          <w:i/>
          <w:color w:val="000000"/>
          <w:sz w:val="22"/>
        </w:rPr>
        <w:t xml:space="preserve">Income Tax Act </w:t>
      </w:r>
      <w:r>
        <w:rPr>
          <w:rFonts w:ascii="Times New Roman;sans-serif" w:hAnsi="Times New Roman;sans-serif"/>
          <w:b w:val="false"/>
          <w:color w:val="000000"/>
          <w:sz w:val="22"/>
        </w:rPr>
        <w:t xml:space="preserve">(Canada). The Mondelēz Group shall provide the Optionee with additional information and/or appropriate notification regarding the characterization of the Option for Canadian income tax purposes as may be required by the </w:t>
      </w:r>
      <w:r>
        <w:rPr>
          <w:rFonts w:ascii="Times New Roman;sans-serif" w:hAnsi="Times New Roman;sans-serif"/>
          <w:b w:val="false"/>
          <w:i/>
          <w:color w:val="000000"/>
          <w:sz w:val="22"/>
        </w:rPr>
        <w:t xml:space="preserve">Income Tax Act </w:t>
      </w:r>
      <w:r>
        <w:rPr>
          <w:rFonts w:ascii="Times New Roman;sans-serif" w:hAnsi="Times New Roman;sans-serif"/>
          <w:b w:val="false"/>
          <w:color w:val="000000"/>
          <w:sz w:val="22"/>
        </w:rPr>
        <w:t>(Canada) and the regulations thereunder.</w:t>
      </w:r>
    </w:p>
    <w:p>
      <w:pPr>
        <w:pStyle w:val="TextBody"/>
        <w:bidi w:val="0"/>
        <w:spacing w:lineRule="auto" w:line="276" w:before="236"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Optionee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the Nasdaq Global Select Market).</w:t>
      </w:r>
    </w:p>
    <w:p>
      <w:pPr>
        <w:pStyle w:val="TextBody"/>
        <w:bidi w:val="0"/>
        <w:spacing w:lineRule="auto" w:line="276" w:before="231"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Optionee is required to report any specified foreign property (including shares of Common Stock) annually on Form T1135 (Foreign Income Verification Statement) if the total cost of the Optionee’s specified foreign property exceeds C$100,000 at any time during the year. The form must be filed by April 30th of the following year. Specified foreign property includes shares of Common Stock acquired under the Plan and may include Options. The Options must be reported</w:t>
      </w:r>
      <w:r>
        <w:rPr>
          <w:rFonts w:ascii="Garamond;serif" w:hAnsi="Garamond;serif"/>
          <w:b w:val="false"/>
          <w:color w:val="000000"/>
          <w:sz w:val="22"/>
        </w:rPr>
        <w:t>-</w:t>
      </w:r>
      <w:r>
        <w:rPr>
          <w:rFonts w:ascii="Times New Roman;sans-serif" w:hAnsi="Times New Roman;sans-serif"/>
          <w:b w:val="false"/>
          <w:color w:val="000000"/>
          <w:sz w:val="22"/>
        </w:rPr>
        <w:t>generally at a nil cost</w:t>
      </w:r>
      <w:r>
        <w:rPr>
          <w:rFonts w:ascii="Garamond;serif" w:hAnsi="Garamond;serif"/>
          <w:b w:val="false"/>
          <w:color w:val="000000"/>
          <w:sz w:val="22"/>
        </w:rPr>
        <w:t>-</w:t>
      </w:r>
      <w:r>
        <w:rPr>
          <w:rFonts w:ascii="Times New Roman;sans-serif" w:hAnsi="Times New Roman;sans-serif"/>
          <w:b w:val="false"/>
          <w:color w:val="000000"/>
          <w:sz w:val="22"/>
        </w:rPr>
        <w:t>if the $100,000 cost threshold is exceeded because of other specified foreign property the Optionee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w:t>
      </w:r>
      <w:r>
        <w:rPr>
          <w:rFonts w:ascii="Times New Roman;sans-serif" w:hAnsi="Times New Roman;sans-serif"/>
          <w:b w:val="false"/>
          <w:color w:val="000000"/>
          <w:sz w:val="22"/>
        </w:rPr>
        <w:t>) of the shares of Common Stock. The ACB would normally equal the fair market value of the shares of Common Stock at exercise for Options, but if the Optionee owns other shares of Company Common Stock, this ACB may have to be averaged with the ACB of the other shares of Common Stock owned by the Optionee. It is the Optionee’s responsibility to comply with applicable reporting obligations.</w:t>
      </w:r>
    </w:p>
    <w:p>
      <w:pPr>
        <w:pStyle w:val="TextBody"/>
        <w:bidi w:val="0"/>
        <w:spacing w:before="14" w:after="283"/>
        <w:jc w:val="center"/>
        <w:rPr/>
      </w:pPr>
      <w:r>
        <w:rPr/>
      </w:r>
    </w:p>
    <w:p>
      <w:pPr>
        <w:pStyle w:val="TextBody"/>
        <w:bidi w:val="0"/>
        <w:spacing w:lineRule="auto" w:line="271" w:before="14" w:after="283"/>
        <w:jc w:val="center"/>
        <w:rPr/>
      </w:pPr>
      <w:r>
        <w:rPr>
          <w:rFonts w:ascii="Times New Roman;sans-serif" w:hAnsi="Times New Roman;sans-serif"/>
          <w:b/>
          <w:color w:val="000000"/>
          <w:sz w:val="22"/>
          <w:u w:val="single"/>
        </w:rPr>
        <w:t>CHINA</w:t>
      </w:r>
      <w:r>
        <w:rPr>
          <w:color w:val="000000"/>
        </w:rPr>
        <w:t xml:space="preserve"> </w:t>
      </w:r>
    </w:p>
    <w:p>
      <w:pPr>
        <w:pStyle w:val="TextBody"/>
        <w:bidi w:val="0"/>
        <w:spacing w:lineRule="auto" w:line="276" w:before="239"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7" w:after="283"/>
        <w:jc w:val="left"/>
        <w:rPr>
          <w:rFonts w:ascii="Times New Roman;sans-serif" w:hAnsi="Times New Roman;sans-serif"/>
          <w:b/>
          <w:i/>
          <w:color w:val="000000"/>
          <w:sz w:val="22"/>
        </w:rPr>
      </w:pPr>
      <w:r>
        <w:rPr>
          <w:rFonts w:ascii="Times New Roman;sans-serif" w:hAnsi="Times New Roman;sans-serif"/>
          <w:b/>
          <w:i/>
          <w:color w:val="000000"/>
          <w:sz w:val="22"/>
        </w:rPr>
        <w:t>The following provisions apply to Optionees who are exclusively citizens of the People’s Republic of China and who reside in mainland China, and Optionees who are otherwise subject to exchange control restrictions applicable to employee stock plans in China, as determined by the Company in its sole discretion.</w:t>
      </w:r>
    </w:p>
    <w:p>
      <w:pPr>
        <w:pStyle w:val="TextBody"/>
        <w:bidi w:val="0"/>
        <w:spacing w:lineRule="auto" w:line="276" w:before="234" w:after="283"/>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legal restrictions in China,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26"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that the Optionee is not required to sell shares of Common Stock immediately upon exercise, any shares of Common Stock issued to the Optionee must be maintained in an account with Morgan Stanley Smith Barney, LLC (“Morgan Stanley”) or such other broker as may be designated by the Company until the shares of Common Stock are sold through that broker. If the Company changes its designated broker, the Optionee acknowledges and agrees that the Company may transfer any shares of Common Stock issued under the Plan to the new designated broker if necessary for legal or administrative reasons. The Optionee agrees to sign any documentation necessary to facilitate the transfer. In addition, the Optionee acknowledges and agrees that he or she must sell any shares of Common Stock issued upon exercise as soon as practicable following the termination of the Optionee’s employment or other service relationship with the Mondelēz Group and in no event later than six (6) months following the termination of the Optionee’s employment or other service relationship with the Mondelēz Group, or within any other such time frame as the Company determines to be necessary or advisable to comply with local requirements.</w:t>
      </w:r>
    </w:p>
    <w:p>
      <w:pPr>
        <w:pStyle w:val="TextBody"/>
        <w:bidi w:val="0"/>
        <w:spacing w:lineRule="auto" w:line="276" w:before="233" w:after="283"/>
        <w:jc w:val="left"/>
        <w:rPr/>
      </w:pPr>
      <w:r>
        <w:rPr>
          <w:rFonts w:ascii="Times New Roman;sans-serif" w:hAnsi="Times New Roman;sans-serif"/>
          <w:b/>
          <w:color w:val="000000"/>
          <w:sz w:val="22"/>
        </w:rPr>
        <w:t xml:space="preserve">Expiration Date. </w:t>
      </w:r>
      <w:r>
        <w:rPr>
          <w:rFonts w:ascii="Times New Roman;sans-serif" w:hAnsi="Times New Roman;sans-serif"/>
          <w:b w:val="false"/>
          <w:color w:val="000000"/>
          <w:sz w:val="22"/>
        </w:rPr>
        <w:t xml:space="preserve">Notwithstanding anything to the contrary in the Agreement, in the event of the Optionee’s termination of employment with the Mondelēz Group, the Optionee shall be permitted to exercise the Option for the </w:t>
      </w:r>
      <w:r>
        <w:rPr>
          <w:rFonts w:ascii="Times New Roman;sans-serif" w:hAnsi="Times New Roman;sans-serif"/>
          <w:b w:val="false"/>
          <w:color w:val="000000"/>
          <w:sz w:val="22"/>
          <w:u w:val="single"/>
        </w:rPr>
        <w:t>shorter</w:t>
      </w:r>
      <w:r>
        <w:rPr>
          <w:color w:val="000000"/>
        </w:rPr>
        <w:t xml:space="preserve"> </w:t>
      </w:r>
      <w:r>
        <w:rPr>
          <w:rFonts w:ascii="Times New Roman;sans-serif" w:hAnsi="Times New Roman;sans-serif"/>
          <w:b w:val="false"/>
          <w:color w:val="000000"/>
          <w:sz w:val="22"/>
        </w:rPr>
        <w:t>of the post-termination exercise period (if any) set forth in the Agreement and six months (or such other period as may be required by the State Administration of Foreign Exchange (“SAFE”) after the date of termination of the Optionee’s active employment. At the end of the post-termination exercise period specified by SAFE, any unexercised portion of the Option shall immediately expire.</w:t>
      </w:r>
    </w:p>
    <w:p>
      <w:pPr>
        <w:pStyle w:val="TextBody"/>
        <w:bidi w:val="0"/>
        <w:spacing w:lineRule="auto" w:line="276" w:before="226" w:after="283"/>
        <w:jc w:val="left"/>
        <w:rPr/>
      </w:pPr>
      <w:r>
        <w:rPr>
          <w:rFonts w:ascii="Times New Roman;sans-serif" w:hAnsi="Times New Roman;sans-serif"/>
          <w:b/>
          <w:color w:val="000000"/>
          <w:sz w:val="22"/>
        </w:rPr>
        <w:t xml:space="preserve">Exchange Control Restrictions. </w:t>
      </w:r>
      <w:r>
        <w:rPr>
          <w:rFonts w:ascii="Times New Roman;sans-serif" w:hAnsi="Times New Roman;sans-serif"/>
          <w:b w:val="false"/>
          <w:color w:val="000000"/>
          <w:sz w:val="22"/>
        </w:rPr>
        <w:t>The Optionee understands and agrees that, due to exchange control laws in China, he or she will be required to immediately repatriate to China any cash proceeds from dividends and/or the cashless exercise of the Option. The Optionee further understands that, under local law, such repatriation of the cash proceeds will be effected through a special exchange control account established by a member of the Mondelēz Group and the Optionee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Optionee acknowledges that he or she will be required to set up a U.S. dollar bank account in China so that the proceeds may be delivered to this account. If the proceeds are converted to local currency, the Optionee acknowledges that the Mondelēz Group is under no obligation to secure any currency conversion rate and may face delays in converting the proceeds to local currency due to exchange control restrictions in China. The Optionee agrees to bear any currency fluctuation risk between the date the Option is exercised or dividends are paid and the time that (i) the Tax-Related Items are converted to local currency and remitted to the tax authorities and (ii) net proceeds are converted to local currency and distributed to the Optionee. The Optionee acknowledges that the Mondelēz Group will not be held liable for any delay in delivering the proceeds to the Optionee. The Optionee agrees to sign any agreements, forms and/or consents that may be requested by the Company or the Company’s designated broker to effectuate any of the remittances, transfers, conversions or other processes affecting the proceeds.</w:t>
      </w:r>
    </w:p>
    <w:p>
      <w:pPr>
        <w:pStyle w:val="TextBody"/>
        <w:bidi w:val="0"/>
        <w:spacing w:lineRule="auto" w:line="276" w:before="24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further agrees to comply with any other requirements that may be imposed by the Company in the future in order to facilitate compliance with exchange control requirements in China.</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Chinese residents may be required to report to the SAFE all details of their foreign financial assets and liabilities, as well as details of any economic transactions conducted with non-Chinese residents, including the Company.</w:t>
      </w:r>
    </w:p>
    <w:p>
      <w:pPr>
        <w:pStyle w:val="TextBody"/>
        <w:bidi w:val="0"/>
        <w:spacing w:lineRule="auto" w:line="271" w:before="241" w:after="283"/>
        <w:jc w:val="center"/>
        <w:rPr/>
      </w:pPr>
      <w:r>
        <w:rPr>
          <w:rFonts w:ascii="Times New Roman;sans-serif" w:hAnsi="Times New Roman;sans-serif"/>
          <w:b/>
          <w:color w:val="000000"/>
          <w:sz w:val="22"/>
          <w:u w:val="single"/>
        </w:rPr>
        <w:t>COLOMBIA</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3" w:before="228" w:after="283"/>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paragraph 12 of the Agreement:</w: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that pursuant to Article 128 of the Colombian Labor Code, the Plan and related benefits do not constitute a component of the Optionee’s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bidi w:val="0"/>
        <w:spacing w:lineRule="auto" w:line="276" w:before="230"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 as foreign investment held abroad. In addition, all payments relating to foreign investment originating in Colombia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payment of the Grant Price by cash exercise) and the liquidation of such investments must be transferred through the Colombian foreign exchange market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 If the Optionee exercises the Option by way of a cashless method of exercise, filing the appropriate foreign exchange form will not be required because no funds will be remitted out of Colombia. However, any sales proceeds related to shares of Common Stock acquired pursuant to cashless exercise must still be transferred through the Colombian foreign exchange market. The Optionee is responsible for ensuring compliance with all exchange control laws in Colombia and the Optionee should consult his or her legal advisor prior to the acquisition or sale of the shares of Common Stock under the Plan to ensure compliance with current regulations.</w:t>
      </w:r>
    </w:p>
    <w:p>
      <w:pPr>
        <w:pStyle w:val="TextBody"/>
        <w:bidi w:val="0"/>
        <w:spacing w:lineRule="auto" w:line="276" w:before="236"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Optionee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Optionee must describe each asset and indicate the jurisdiction in which it is located, its nature and its value.</w:t>
      </w:r>
    </w:p>
    <w:p>
      <w:pPr>
        <w:pStyle w:val="TextBody"/>
        <w:bidi w:val="0"/>
        <w:spacing w:lineRule="auto" w:line="271" w:before="247"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COSTA RICA</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6" w:after="283"/>
        <w:jc w:val="center"/>
        <w:rPr/>
      </w:pPr>
      <w:r>
        <w:rPr>
          <w:rFonts w:ascii="Times New Roman;sans-serif" w:hAnsi="Times New Roman;sans-serif"/>
          <w:b/>
          <w:color w:val="000000"/>
          <w:sz w:val="22"/>
          <w:u w:val="single"/>
        </w:rPr>
        <w:t>CROATIA</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3"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Optionee should consult his or her legal advisor to ensure compliance with current regulations. It is the Optionee’s responsibility to comply with Croatian exchange control laws.</w:t>
      </w:r>
    </w:p>
    <w:p>
      <w:pPr>
        <w:pStyle w:val="TextBody"/>
        <w:bidi w:val="0"/>
        <w:spacing w:lineRule="auto" w:line="271" w:before="24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1" w:after="283"/>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76" w:before="237" w:after="283"/>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7"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Czech residents may be required to fulfill certain notification duties in relation to the Option and the opening and maintenance of a foreign account, including reporting (i) foreign direct investments with a value of CZK 2,500,000 or more in the aggregate or (ii) foreign financial assets with a value of CZK 200,000,000 or more. The Optionee should consult their personal legal advisor to ensure compliance with the applicable requirements.</w:t>
      </w:r>
    </w:p>
    <w:p>
      <w:pPr>
        <w:pStyle w:val="TextBody"/>
        <w:bidi w:val="0"/>
        <w:spacing w:lineRule="auto" w:line="271" w:before="246" w:after="283"/>
        <w:jc w:val="center"/>
        <w:rPr/>
      </w:pPr>
      <w:r>
        <w:rPr>
          <w:rFonts w:ascii="Times New Roman;sans-serif" w:hAnsi="Times New Roman;sans-serif"/>
          <w:b/>
          <w:color w:val="000000"/>
          <w:sz w:val="22"/>
          <w:u w:val="single"/>
        </w:rPr>
        <w:t>DENMARK</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8" w:after="283"/>
        <w:jc w:val="left"/>
        <w:rPr/>
      </w:pPr>
      <w:r>
        <w:rPr>
          <w:rFonts w:ascii="Times New Roman;sans-serif" w:hAnsi="Times New Roman;sans-serif"/>
          <w:b/>
          <w:color w:val="000000"/>
          <w:sz w:val="22"/>
        </w:rPr>
        <w:t>Stock Option Act</w:t>
      </w:r>
      <w:r>
        <w:rPr>
          <w:rFonts w:ascii="Times New Roman;sans-serif" w:hAnsi="Times New Roman;sans-serif"/>
          <w:b w:val="false"/>
          <w:color w:val="000000"/>
          <w:sz w:val="22"/>
        </w:rPr>
        <w:t>. The Optionee acknowledges that he or she has received an Employer Statement in Danish, which sets forth the additional terms of the Option to the extent that the Danish Stock Option Act applies.</w:t>
      </w:r>
    </w:p>
    <w:p>
      <w:pPr>
        <w:pStyle w:val="TextBody"/>
        <w:bidi w:val="0"/>
        <w:spacing w:before="14" w:after="283"/>
        <w:jc w:val="left"/>
        <w:rPr/>
      </w:pPr>
      <w:r>
        <w:rPr/>
      </w:r>
    </w:p>
    <w:p>
      <w:pPr>
        <w:pStyle w:val="TextBody"/>
        <w:bidi w:val="0"/>
        <w:spacing w:lineRule="auto" w:line="271" w:before="14"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Optionee is required to report any accounts holding shares of Common Stock or cash established outside Denmark to the Danish Tax Administration as part of his or her tax return under the section related to foreign affairs and income.</w:t>
      </w:r>
    </w:p>
    <w:p>
      <w:pPr>
        <w:pStyle w:val="TextBody"/>
        <w:bidi w:val="0"/>
        <w:spacing w:lineRule="auto" w:line="271" w:before="246" w:after="283"/>
        <w:jc w:val="center"/>
        <w:rPr/>
      </w:pPr>
      <w:r>
        <w:rPr>
          <w:rFonts w:ascii="Times New Roman;sans-serif" w:hAnsi="Times New Roman;sans-serif"/>
          <w:b/>
          <w:color w:val="000000"/>
          <w:sz w:val="22"/>
          <w:u w:val="single"/>
        </w:rPr>
        <w:t>ECUADOR</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The Net Worth Declaration must be filed in May of the following year using the electronic form on the tax authorities’ website</w:t>
      </w:r>
      <w:r>
        <w:rPr>
          <w:color w:val="0000FF"/>
        </w:rPr>
        <w:t xml:space="preserve"> </w:t>
      </w:r>
      <w:r>
        <w:rPr>
          <w:rFonts w:ascii="Times New Roman;sans-serif" w:hAnsi="Times New Roman;sans-serif"/>
          <w:b w:val="false"/>
          <w:color w:val="0000FF"/>
          <w:sz w:val="22"/>
          <w:u w:val="single"/>
        </w:rPr>
        <w:t>(www.sri.gob.ec)</w:t>
      </w:r>
      <w:r>
        <w:rPr>
          <w:rFonts w:ascii="Times New Roman;sans-serif" w:hAnsi="Times New Roman;sans-serif"/>
          <w:b w:val="false"/>
          <w:color w:val="0000FF"/>
          <w:sz w:val="22"/>
        </w:rPr>
        <w:t>.</w:t>
      </w:r>
      <w:r>
        <w:rPr>
          <w:color w:val="000000"/>
        </w:rPr>
        <w:t xml:space="preserve"> </w:t>
      </w:r>
      <w:r>
        <w:rPr>
          <w:rFonts w:ascii="Times New Roman;sans-serif" w:hAnsi="Times New Roman;sans-serif"/>
          <w:b w:val="false"/>
          <w:color w:val="000000"/>
          <w:sz w:val="22"/>
        </w:rPr>
        <w:t>Penalties will apply to a late filing and it is not possible to seek an extension.</w: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Ecuadorian resident individuals are required to report on an annual basis, all monetary assets held in foreign financial entities in excess of US$100,000. The Optionee should consult his or her legal or tax advisor to ensure compliance with all applicable reporting obligations.</w:t>
      </w:r>
    </w:p>
    <w:p>
      <w:pPr>
        <w:pStyle w:val="TextBody"/>
        <w:bidi w:val="0"/>
        <w:spacing w:lineRule="auto" w:line="271" w:before="247" w:after="283"/>
        <w:jc w:val="center"/>
        <w:rPr/>
      </w:pPr>
      <w:r>
        <w:rPr>
          <w:rFonts w:ascii="Times New Roman;sans-serif" w:hAnsi="Times New Roman;sans-serif"/>
          <w:b/>
          <w:color w:val="000000"/>
          <w:sz w:val="22"/>
          <w:u w:val="single"/>
        </w:rPr>
        <w:t>EGYPT</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0"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Optionee transfers funds into or out of Egypt in connection with the Option, the Optionee is required to transfer the funds through a registered bank in Egypt.</w:t>
      </w:r>
    </w:p>
    <w:p>
      <w:pPr>
        <w:pStyle w:val="TextBody"/>
        <w:bidi w:val="0"/>
        <w:spacing w:lineRule="auto" w:line="271" w:before="242" w:after="283"/>
        <w:jc w:val="center"/>
        <w:rPr/>
      </w:pPr>
      <w:r>
        <w:rPr>
          <w:rFonts w:ascii="Times New Roman;sans-serif" w:hAnsi="Times New Roman;sans-serif"/>
          <w:b/>
          <w:color w:val="000000"/>
          <w:sz w:val="22"/>
          <w:u w:val="single"/>
        </w:rPr>
        <w:t>FINLAND</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There are no specific reporting requirements with respect to foreign assets/accounts. However, please note that the Optionee must check their pre-completed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tax return to confirm that the ownership of shares of Common Stock and other securities (foreign or domestic) is correctly reported. If the Optionee finds any errors or omissions, the Optionee must make the necessary corrections electronically or by sending specific paper forms to the local tax authorities.</w:t>
      </w:r>
    </w:p>
    <w:p>
      <w:pPr>
        <w:pStyle w:val="TextBody"/>
        <w:bidi w:val="0"/>
        <w:spacing w:lineRule="auto" w:line="271" w:before="242" w:after="283"/>
        <w:jc w:val="center"/>
        <w:rPr/>
      </w:pPr>
      <w:r>
        <w:rPr>
          <w:rFonts w:ascii="Times New Roman;sans-serif" w:hAnsi="Times New Roman;sans-serif"/>
          <w:b/>
          <w:color w:val="000000"/>
          <w:sz w:val="22"/>
          <w:u w:val="single"/>
        </w:rPr>
        <w:t>FRANCE</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283"/>
        <w:jc w:val="left"/>
        <w:rPr/>
      </w:pPr>
      <w:r>
        <w:rPr>
          <w:rFonts w:ascii="Times New Roman;sans-serif" w:hAnsi="Times New Roman;sans-serif"/>
          <w:b/>
          <w:color w:val="000000"/>
          <w:sz w:val="22"/>
        </w:rPr>
        <w:t xml:space="preserve">Option Not French-Qualified. </w:t>
      </w:r>
      <w:r>
        <w:rPr>
          <w:rFonts w:ascii="Times New Roman;sans-serif" w:hAnsi="Times New Roman;sans-serif"/>
          <w:b w:val="false"/>
          <w:color w:val="000000"/>
          <w:sz w:val="22"/>
        </w:rPr>
        <w:t>The Option granted under this Agreement are not intended to qualify for specific tax and social security treatment pursuant to Sections L. 225-177 to L. 225-186-1 of the French Commercial Code, as amended.</w:t>
      </w:r>
    </w:p>
    <w:p>
      <w:pPr>
        <w:pStyle w:val="TextBody"/>
        <w:bidi w:val="0"/>
        <w:spacing w:lineRule="auto" w:line="276" w:before="236" w:after="283"/>
        <w:jc w:val="left"/>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accepting the Grant, the Optionee confirms having read and understood the Plan and Agreement, including all terms and conditions included therein, which were provided in the English language. The Optionee accepts the terms of those documents accordingly.</w:t>
      </w:r>
    </w:p>
    <w:p>
      <w:pPr>
        <w:pStyle w:val="TextBody"/>
        <w:bidi w:val="0"/>
        <w:spacing w:before="9" w:after="283"/>
        <w:jc w:val="left"/>
        <w:rPr/>
      </w:pPr>
      <w:r>
        <w:rPr/>
      </w:r>
    </w:p>
    <w:p>
      <w:pPr>
        <w:pStyle w:val="TextBody"/>
        <w:bidi w:val="0"/>
        <w:spacing w:lineRule="auto" w:line="276" w:before="9" w:after="283"/>
        <w:jc w:val="left"/>
        <w:rPr/>
      </w:pPr>
      <w:r>
        <w:rPr>
          <w:rFonts w:ascii="Times New Roman;sans-serif" w:hAnsi="Times New Roman;sans-serif"/>
          <w:b w:val="false"/>
          <w:i/>
          <w:color w:val="000000"/>
          <w:sz w:val="22"/>
        </w:rPr>
        <w:t>En acceptant cette attribution, le Optionee confirme avoir lu et compris le Plan et le Contrat y relatifs, incluant tous leurs termes et conditions, qui ont été transmis en langue anglaise. Le Optionee accepte les dispositions de ces documents en connaissance de cause</w:t>
      </w:r>
      <w:r>
        <w:rPr>
          <w:rFonts w:ascii="Times New Roman;sans-serif" w:hAnsi="Times New Roman;sans-serif"/>
          <w:b w:val="false"/>
          <w:color w:val="000000"/>
          <w:sz w:val="22"/>
        </w:rPr>
        <w:t>.</w:t>
      </w:r>
    </w:p>
    <w:p>
      <w:pPr>
        <w:pStyle w:val="TextBody"/>
        <w:bidi w:val="0"/>
        <w:spacing w:lineRule="auto" w:line="271" w:before="242"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lineRule="auto" w:line="276" w:before="242"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Optionee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pStyle w:val="TextBody"/>
        <w:bidi w:val="0"/>
        <w:spacing w:lineRule="auto" w:line="271" w:before="247" w:after="283"/>
        <w:jc w:val="center"/>
        <w:rPr/>
      </w:pPr>
      <w:r>
        <w:rPr>
          <w:rFonts w:ascii="Times New Roman;sans-serif" w:hAnsi="Times New Roman;sans-serif"/>
          <w:b/>
          <w:color w:val="000000"/>
          <w:sz w:val="22"/>
          <w:u w:val="single"/>
        </w:rPr>
        <w:t>GERMANY</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2" w:after="283"/>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83" w:before="228" w:after="283"/>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Cross-border payments made or received in excess of €12,500 may need to be reported monthly by accessing the electronic General Statistics Reporting Portal (“</w:t>
      </w:r>
      <w:r>
        <w:rPr>
          <w:rFonts w:ascii="Times New Roman;sans-serif" w:hAnsi="Times New Roman;sans-serif"/>
          <w:b w:val="false"/>
          <w:i/>
          <w:color w:val="000000"/>
          <w:sz w:val="22"/>
        </w:rPr>
        <w:t>Allgemeine Meldeportal Statistik</w:t>
      </w:r>
      <w:r>
        <w:rPr>
          <w:color w:val="000000"/>
        </w:rPr>
        <w:t>”</w:t>
      </w:r>
      <w:r>
        <w:rPr>
          <w:rFonts w:ascii="Times New Roman;sans-serif" w:hAnsi="Times New Roman;sans-serif"/>
          <w:b w:val="false"/>
          <w:color w:val="000000"/>
          <w:sz w:val="22"/>
        </w:rPr>
        <w:t>) via the Bundesbank’s website</w:t>
      </w:r>
      <w:r>
        <w:rPr>
          <w:color w:val="0000FF"/>
        </w:rPr>
        <w:t xml:space="preserve"> </w:t>
      </w:r>
      <w:r>
        <w:rPr>
          <w:rFonts w:ascii="Times New Roman;sans-serif" w:hAnsi="Times New Roman;sans-serif"/>
          <w:b w:val="false"/>
          <w:color w:val="0000FF"/>
          <w:sz w:val="22"/>
          <w:u w:val="single"/>
        </w:rPr>
        <w:t>(www.bundesbank.de)</w:t>
      </w:r>
      <w:r>
        <w:rPr>
          <w:rFonts w:ascii="Times New Roman;sans-serif" w:hAnsi="Times New Roman;sans-serif"/>
          <w:b w:val="false"/>
          <w:color w:val="0000FF"/>
          <w:sz w:val="22"/>
        </w:rPr>
        <w:t>,</w:t>
      </w:r>
      <w:r>
        <w:rPr>
          <w:color w:val="000000"/>
        </w:rPr>
        <w:t xml:space="preserve"> </w:t>
      </w:r>
      <w:r>
        <w:rPr>
          <w:rFonts w:ascii="Times New Roman;sans-serif" w:hAnsi="Times New Roman;sans-serif"/>
          <w:b w:val="false"/>
          <w:color w:val="000000"/>
          <w:sz w:val="22"/>
        </w:rPr>
        <w:t>or by such other method and within such other timing as permitted or required by Bundesbank. In addition, Participant may be required to report the acquisition of securities if the value of the securities acquired exceeds €12,500 to the Bundesbank via email or telephone.</w:t>
      </w:r>
    </w:p>
    <w:p>
      <w:pPr>
        <w:pStyle w:val="TextBody"/>
        <w:bidi w:val="0"/>
        <w:spacing w:lineRule="auto" w:line="276" w:before="244"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Optionee owns at least 1% of the Company and the value of the Common Stock acquired exceeds €150,000, or (ii) the Optionee holds Common Stock exceeding 10% of the total capital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241" w:after="283"/>
        <w:jc w:val="center"/>
        <w:rPr/>
      </w:pPr>
      <w:r>
        <w:rPr>
          <w:rFonts w:ascii="Times New Roman;sans-serif" w:hAnsi="Times New Roman;sans-serif"/>
          <w:b/>
          <w:color w:val="000000"/>
          <w:sz w:val="22"/>
          <w:u w:val="single"/>
        </w:rPr>
        <w:t>GHANA</w:t>
      </w:r>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100" w:after="10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GREECE</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exercises the Options through a cash exercise, withdraws funds from a bank in Greece and remits those funds out of Greece (in an amount exceeding a specified threshold), the Optionee may be required to submit a written application to the bank.</w:t>
      </w:r>
    </w:p>
    <w:p>
      <w:pPr>
        <w:pStyle w:val="TextBody"/>
        <w:bidi w:val="0"/>
        <w:spacing w:lineRule="auto" w:line="271" w:before="247" w:after="283"/>
        <w:jc w:val="center"/>
        <w:rPr/>
      </w:pPr>
      <w:r>
        <w:rPr>
          <w:rFonts w:ascii="Times New Roman;sans-serif" w:hAnsi="Times New Roman;sans-serif"/>
          <w:b/>
          <w:color w:val="000000"/>
          <w:sz w:val="22"/>
          <w:u w:val="single"/>
        </w:rPr>
        <w:t>HONDURAS</w:t>
      </w:r>
      <w:r>
        <w:rPr>
          <w:color w:val="000000"/>
        </w:rPr>
        <w:t xml:space="preserve"> </w:t>
      </w:r>
    </w:p>
    <w:p>
      <w:pPr>
        <w:pStyle w:val="TextBody"/>
        <w:bidi w:val="0"/>
        <w:spacing w:lineRule="auto" w:line="276" w:before="235"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7"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HONG KONG</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29"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i/>
          <w:color w:val="000000"/>
          <w:sz w:val="22"/>
        </w:rPr>
        <w:t>Warning: The contents of this document have not been reviewed by any regulatory authority in Hong Kong. The Optionee is advised to exercise caution in relation to the offer. If the Optionee is in any doubt about any of the contents of the Agreement, including this Appendix, or the Plan, the Optionee should obtain independent professional advice. The Option and any shares of Common Stock issued pursuant to the Grant do not constitute a public offering of securities under Hong Kong law and are available only to employees of the Mondelēz Group.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Option and any related documentation are intended only for the personal use of each eligible employee of the Mondelēz Group and may not be distributed to any other person.</w:t>
      </w:r>
    </w:p>
    <w:p>
      <w:pPr>
        <w:pStyle w:val="TextBody"/>
        <w:bidi w:val="0"/>
        <w:spacing w:lineRule="auto" w:line="276" w:before="236" w:after="283"/>
        <w:jc w:val="both"/>
        <w:rPr/>
      </w:pPr>
      <w:r>
        <w:rPr>
          <w:rFonts w:ascii="Times New Roman;sans-serif" w:hAnsi="Times New Roman;sans-serif"/>
          <w:b/>
          <w:color w:val="000000"/>
          <w:sz w:val="22"/>
        </w:rPr>
        <w:t xml:space="preserve">Sale of Shares. </w:t>
      </w:r>
      <w:r>
        <w:rPr>
          <w:rFonts w:ascii="Times New Roman;sans-serif" w:hAnsi="Times New Roman;sans-serif"/>
          <w:b w:val="false"/>
          <w:color w:val="000000"/>
          <w:sz w:val="22"/>
        </w:rPr>
        <w:t>Shares of Common Stock received under the Plan are accepted as a personal investment. In the event the Option vests within six months of the Grant Date, the Optionee agrees that he or she will not exercise the Option and sell the shares of Common Stock acquired prior to the six-month anniversary of the Grant Date.</w:t>
      </w:r>
    </w:p>
    <w:p>
      <w:pPr>
        <w:pStyle w:val="TextBody"/>
        <w:bidi w:val="0"/>
        <w:spacing w:lineRule="auto" w:line="271" w:before="246" w:after="283"/>
        <w:jc w:val="center"/>
        <w:rPr/>
      </w:pPr>
      <w:r>
        <w:rPr>
          <w:rFonts w:ascii="Times New Roman;sans-serif" w:hAnsi="Times New Roman;sans-serif"/>
          <w:b/>
          <w:color w:val="000000"/>
          <w:sz w:val="22"/>
          <w:u w:val="single"/>
        </w:rPr>
        <w:t>HUNGARY</w:t>
      </w:r>
      <w:r>
        <w:rPr>
          <w:color w:val="000000"/>
        </w:rPr>
        <w:t xml:space="preserve"> </w:t>
      </w:r>
    </w:p>
    <w:p>
      <w:pPr>
        <w:pStyle w:val="TextBody"/>
        <w:bidi w:val="0"/>
        <w:spacing w:lineRule="auto" w:line="276" w:before="24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6" w:after="283"/>
        <w:jc w:val="center"/>
        <w:rPr/>
      </w:pPr>
      <w:r>
        <w:rPr>
          <w:rFonts w:ascii="Times New Roman;sans-serif" w:hAnsi="Times New Roman;sans-serif"/>
          <w:b/>
          <w:color w:val="000000"/>
          <w:sz w:val="22"/>
          <w:u w:val="single"/>
        </w:rPr>
        <w:t>INDIA</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8" w:after="283"/>
        <w:jc w:val="left"/>
        <w:rPr/>
      </w:pPr>
      <w:r>
        <w:rPr>
          <w:rFonts w:ascii="Times New Roman;sans-serif" w:hAnsi="Times New Roman;sans-serif"/>
          <w:b/>
          <w:color w:val="000000"/>
          <w:sz w:val="22"/>
        </w:rPr>
        <w:t xml:space="preserve">Cashless Sell-All Exercise Restriction. </w:t>
      </w:r>
      <w:r>
        <w:rPr>
          <w:rFonts w:ascii="Times New Roman;sans-serif" w:hAnsi="Times New Roman;sans-serif"/>
          <w:b w:val="false"/>
          <w:color w:val="000000"/>
          <w:sz w:val="22"/>
        </w:rPr>
        <w:t>Notwithstanding anything to the contrary in the Agreement or the Plan, due to regulatory issues in India, the Optionee will be required to pay the Grant Price by a cashless exercise, such that the Optionee will deliver a properly executed notice together with irrevocable instructions to a broker in a form acceptable to the Company providing for the assignment to the Company of the proceeds of a sale with respect to all of the Option Shares acquired upon the exercise of the Option pursuant to a program or procedure approved by the Company. The cash proceeds of sale, less the Grant Price, any Tax-Related Items and broker’s fees or commissions, will be remitted to the Optionee. In the event of changes in regulatory requirements, the Company reserves the right to eliminate the cashless sell-all method of exercise requirement and, in its sole discretion, to permit cash exercise or cashless sell-to-cover exercises.</w:t>
      </w:r>
    </w:p>
    <w:p>
      <w:pPr>
        <w:pStyle w:val="TextBody"/>
        <w:bidi w:val="0"/>
        <w:spacing w:before="14" w:after="283"/>
        <w:jc w:val="left"/>
        <w:rPr/>
      </w:pPr>
      <w:r>
        <w:rPr/>
      </w:r>
    </w:p>
    <w:p>
      <w:pPr>
        <w:pStyle w:val="TextBody"/>
        <w:bidi w:val="0"/>
        <w:spacing w:lineRule="auto" w:line="271" w:before="14"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3"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Indian residents are required to repatriate the cash proceeds received upon the sale of shares of Common Stock and convert such proceeds into local currency within specified timeframes as required under applicable regulations. Indian residents also are required to retain the foreign inward remittance certificate as evidence of repatriation. The Optionee is personally responsible for complying with exchange control laws in India, and neither the Company nor the Employer will be liable for any fines or penalties resulting from the Optionee’s failure to comply with applicable laws. The Optionee may also be required to provide information regarding funds received from participation in the Plan to the Company and/or the Employer to enable them to comply with their filing requirements under exchange control laws in India.</w:t>
      </w:r>
    </w:p>
    <w:p>
      <w:pPr>
        <w:pStyle w:val="TextBody"/>
        <w:bidi w:val="0"/>
        <w:spacing w:lineRule="auto" w:line="276" w:before="236"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Optionee should consult his or her personal tax or legal advisor before selling shares of Common Stock to ensure compliance with current regulations.</w:t>
      </w:r>
    </w:p>
    <w:p>
      <w:pPr>
        <w:pStyle w:val="TextBody"/>
        <w:bidi w:val="0"/>
        <w:spacing w:lineRule="auto" w:line="276" w:before="241"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Optionee is required to declare foreign bank accounts and any foreign financial assets (including vested Options and shares of Common Stock held outside India) in his or her annual tax return. It is the Optionee’s responsibility to comply with this reporting obligation and the Optionee should consult with his or her personal tax advisor in this regard.</w:t>
      </w:r>
    </w:p>
    <w:p>
      <w:pPr>
        <w:pStyle w:val="TextBody"/>
        <w:bidi w:val="0"/>
        <w:spacing w:lineRule="auto" w:line="271" w:before="241" w:after="283"/>
        <w:jc w:val="center"/>
        <w:rPr/>
      </w:pPr>
      <w:r>
        <w:rPr>
          <w:rFonts w:ascii="Times New Roman;sans-serif" w:hAnsi="Times New Roman;sans-serif"/>
          <w:b/>
          <w:color w:val="000000"/>
          <w:sz w:val="22"/>
          <w:u w:val="single"/>
        </w:rPr>
        <w:t>INDONESIA</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2" w:after="283"/>
        <w:jc w:val="left"/>
        <w:rPr/>
      </w:pPr>
      <w:r>
        <w:rPr>
          <w:rFonts w:ascii="Times New Roman;sans-serif" w:hAnsi="Times New Roman;sans-serif"/>
          <w:b/>
          <w:color w:val="000000"/>
          <w:sz w:val="22"/>
        </w:rPr>
        <w:t>Language Consent and Notification</w:t>
      </w:r>
      <w:r>
        <w:rPr>
          <w:rFonts w:ascii="Times New Roman;sans-serif" w:hAnsi="Times New Roman;sans-serif"/>
          <w:b w:val="false"/>
          <w:color w:val="000000"/>
          <w:sz w:val="22"/>
        </w:rPr>
        <w:t xml:space="preserve">. A translation of the documents relating to this grant into Bahasa Indonesia can be provided to the Optionee upon request to Astrid Januarita, My Rewards Advisor ID, at </w:t>
      </w:r>
      <w:r>
        <w:rPr>
          <w:rFonts w:ascii="Times New Roman;sans-serif" w:hAnsi="Times New Roman;sans-serif"/>
          <w:b w:val="false"/>
          <w:color w:val="0000FF"/>
          <w:sz w:val="22"/>
          <w:u w:val="single"/>
        </w:rPr>
        <w:t>astrid.januarita@mdlz.com.</w:t>
      </w:r>
      <w:r>
        <w:rPr>
          <w:color w:val="000000"/>
        </w:rPr>
        <w:t xml:space="preserve"> </w:t>
      </w:r>
      <w:r>
        <w:rPr>
          <w:rFonts w:ascii="Times New Roman;sans-serif" w:hAnsi="Times New Roman;sans-serif"/>
          <w:b w:val="false"/>
          <w:color w:val="000000"/>
          <w:sz w:val="22"/>
        </w:rPr>
        <w:t>By accepting the grant, the Optionee (i) confirms having read and understood the documents relating to this grant (i.e.,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bidi w:val="0"/>
        <w:spacing w:lineRule="auto" w:line="276" w:before="229" w:after="283"/>
        <w:jc w:val="left"/>
        <w:rPr/>
      </w:pPr>
      <w:r>
        <w:rPr>
          <w:rFonts w:ascii="Times New Roman;sans-serif" w:hAnsi="Times New Roman;sans-serif"/>
          <w:b/>
          <w:color w:val="000000"/>
          <w:sz w:val="22"/>
        </w:rPr>
        <w:t xml:space="preserve">Language Consent and Notification. </w:t>
      </w:r>
      <w:r>
        <w:rPr>
          <w:rFonts w:ascii="Times New Roman;sans-serif" w:hAnsi="Times New Roman;sans-serif"/>
          <w:b w:val="false"/>
          <w:color w:val="000000"/>
          <w:sz w:val="22"/>
        </w:rPr>
        <w:t>Terjemahan dari dokumen-dokumen terkait dengan pemberian ini ke Bahasa Indonesia dapat disediakan untuk anda berdasarkan permintaan kepada Astrid Januarita, My Rewards Advisor ID, di</w:t>
      </w:r>
      <w:r>
        <w:rPr>
          <w:color w:val="0000FF"/>
          <w:u w:val="single"/>
        </w:rPr>
        <w:t xml:space="preserve"> </w:t>
      </w:r>
      <w:r>
        <w:rPr>
          <w:rFonts w:ascii="Times New Roman;sans-serif" w:hAnsi="Times New Roman;sans-serif"/>
          <w:b w:val="false"/>
          <w:color w:val="0000FF"/>
          <w:sz w:val="22"/>
          <w:u w:val="single"/>
        </w:rPr>
        <w:t>astrid.januarita@mdlz.com.</w:t>
      </w:r>
      <w:r>
        <w:rPr>
          <w:color w:val="000000"/>
        </w:rPr>
        <w:t xml:space="preserve"> </w:t>
      </w:r>
      <w:r>
        <w:rPr>
          <w:rFonts w:ascii="Times New Roman;sans-serif" w:hAnsi="Times New Roman;sans-serif"/>
          <w:b w:val="false"/>
          <w:color w:val="000000"/>
          <w:sz w:val="22"/>
        </w:rPr>
        <w:t>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pStyle w:val="TextBody"/>
        <w:bidi w:val="0"/>
        <w:spacing w:before="6" w:after="283"/>
        <w:jc w:val="left"/>
        <w:rPr/>
      </w:pPr>
      <w:r>
        <w:rPr/>
      </w:r>
    </w:p>
    <w:p>
      <w:pPr>
        <w:pStyle w:val="TextBody"/>
        <w:bidi w:val="0"/>
        <w:spacing w:lineRule="auto" w:line="276" w:before="6"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if the Optionee remits funds into or out of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Optionee must complete a “Transfer Report Form.” The Transfer Report Form will be provided to Optionee by the bank through which the transaction is made.</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6"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bidi w:val="0"/>
        <w:spacing w:lineRule="auto" w:line="271" w:before="246" w:after="283"/>
        <w:jc w:val="center"/>
        <w:rPr/>
      </w:pPr>
      <w:r>
        <w:rPr>
          <w:rFonts w:ascii="Times New Roman;sans-serif" w:hAnsi="Times New Roman;sans-serif"/>
          <w:b/>
          <w:color w:val="000000"/>
          <w:sz w:val="22"/>
          <w:u w:val="single"/>
        </w:rPr>
        <w:t>IRELAND</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76" w:before="235" w:after="283"/>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70" w:after="283"/>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If the Optionee is a director, shadow director</w:t>
      </w:r>
      <w:r>
        <w:rPr>
          <w:rFonts w:ascii="Arial;sans-serif" w:hAnsi="Arial;sans-serif"/>
          <w:b w:val="false"/>
          <w:color w:val="000000"/>
          <w:sz w:val="14"/>
        </w:rPr>
        <w:t>1</w:t>
      </w:r>
      <w:r>
        <w:rPr>
          <w:color w:val="000000"/>
        </w:rPr>
        <w:t xml:space="preserve"> </w:t>
      </w:r>
      <w:r>
        <w:rPr>
          <w:rFonts w:ascii="Times New Roman;sans-serif" w:hAnsi="Times New Roman;sans-serif"/>
          <w:b w:val="false"/>
          <w:color w:val="000000"/>
          <w:sz w:val="22"/>
        </w:rPr>
        <w:t>or secretary of an Irish subsidiary or affiliate, the Optionee must notify the Irish subsidiary or affiliate in writing if (1) the Optionee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Option, shares of Common Stock, etc.), (2) the Optionee becomes aware of an event giving rise to a notification requirement, or (3) the Optionee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pStyle w:val="TextBody"/>
        <w:bidi w:val="0"/>
        <w:spacing w:lineRule="auto" w:line="271" w:before="247" w:after="283"/>
        <w:jc w:val="center"/>
        <w:rPr/>
      </w:pPr>
      <w:r>
        <w:rPr>
          <w:rFonts w:ascii="Times New Roman;sans-serif" w:hAnsi="Times New Roman;sans-serif"/>
          <w:b/>
          <w:color w:val="000000"/>
          <w:sz w:val="22"/>
          <w:u w:val="single"/>
        </w:rPr>
        <w:t>ISRAEL</w:t>
      </w:r>
      <w:r>
        <w:rPr>
          <w:color w:val="000000"/>
        </w:rPr>
        <w:t xml:space="preserve"> </w:t>
      </w:r>
    </w:p>
    <w:p>
      <w:pPr>
        <w:pStyle w:val="TextBody"/>
        <w:bidi w:val="0"/>
        <w:spacing w:lineRule="auto" w:line="271" w:before="49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100" w:after="100"/>
        <w:jc w:val="left"/>
        <w:rPr/>
      </w:pPr>
      <w:r>
        <w:rPr/>
      </w:r>
    </w:p>
    <w:p>
      <w:pPr>
        <w:pStyle w:val="TextBody"/>
        <w:bidi w:val="0"/>
        <w:spacing w:lineRule="auto" w:line="240" w:before="0" w:after="0"/>
        <w:jc w:val="left"/>
        <w:rPr/>
      </w:pPr>
      <w:r>
        <w:rPr>
          <w:rFonts w:ascii="Times New Roman;sans-serif" w:hAnsi="Times New Roman;sans-serif"/>
          <w:b/>
          <w:color w:val="000000"/>
          <w:sz w:val="22"/>
        </w:rPr>
        <w:t>Method of Exercise</w:t>
      </w:r>
      <w:r>
        <w:rPr>
          <w:rFonts w:ascii="Times New Roman;sans-serif" w:hAnsi="Times New Roman;sans-serif"/>
          <w:b w:val="false"/>
          <w:color w:val="000000"/>
          <w:sz w:val="22"/>
        </w:rPr>
        <w:t>. Notwithstanding anything to the contrary in the Agreement,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 The Company reserves the right to provide the Optionee with additional methods of exercise depending on the development of local law.</w:t>
      </w:r>
    </w:p>
    <w:p>
      <w:pPr>
        <w:pStyle w:val="TextBody"/>
        <w:bidi w:val="0"/>
        <w:spacing w:before="120" w:after="283"/>
        <w:jc w:val="left"/>
        <w:rPr/>
      </w:pPr>
      <w:r>
        <w:rPr/>
      </w:r>
    </w:p>
    <w:p>
      <w:pPr>
        <w:pStyle w:val="TextBody"/>
        <w:bidi w:val="0"/>
        <w:spacing w:lineRule="auto" w:line="240"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offer of this option does not constitute a public offering under the Securities Law, 1968.</w:t>
      </w:r>
    </w:p>
    <w:p>
      <w:pPr>
        <w:pStyle w:val="TextBody"/>
        <w:bidi w:val="0"/>
        <w:spacing w:lineRule="auto" w:line="271" w:before="262" w:after="283"/>
        <w:jc w:val="center"/>
        <w:rPr/>
      </w:pPr>
      <w:r>
        <w:rPr>
          <w:rFonts w:ascii="Times New Roman;sans-serif" w:hAnsi="Times New Roman;sans-serif"/>
          <w:b/>
          <w:color w:val="000000"/>
          <w:sz w:val="22"/>
          <w:u w:val="single"/>
        </w:rPr>
        <w:t>ITALY</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8" w:after="283"/>
        <w:jc w:val="left"/>
        <w:rPr/>
      </w:pPr>
      <w:r>
        <w:rPr>
          <w:rFonts w:ascii="Times New Roman;sans-serif" w:hAnsi="Times New Roman;sans-serif"/>
          <w:b/>
          <w:color w:val="000000"/>
          <w:sz w:val="22"/>
        </w:rPr>
        <w:t xml:space="preserve">Cashless Exercise Restriction. </w:t>
      </w:r>
      <w:r>
        <w:rPr>
          <w:rFonts w:ascii="Times New Roman;sans-serif" w:hAnsi="Times New Roman;sans-serif"/>
          <w:b w:val="false"/>
          <w:color w:val="000000"/>
          <w:sz w:val="22"/>
        </w:rPr>
        <w:t>Notwithstanding anything to the contrary in the Agreement, due to regulatory requirements in Italy,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pStyle w:val="TextBody"/>
        <w:bidi w:val="0"/>
        <w:spacing w:before="131" w:after="283"/>
        <w:jc w:val="left"/>
        <w:rPr/>
      </w:pPr>
      <w:r>
        <w:rPr/>
      </w:r>
    </w:p>
    <w:p>
      <w:pPr>
        <w:pStyle w:val="TextBody"/>
        <w:bidi w:val="0"/>
        <w:spacing w:lineRule="auto" w:line="338" w:before="131" w:after="283"/>
        <w:jc w:val="left"/>
        <w:rPr/>
      </w:pPr>
      <w:r>
        <w:rPr>
          <w:rFonts w:ascii="Times New Roman;sans-serif" w:hAnsi="Times New Roman;sans-serif"/>
          <w:b w:val="false"/>
          <w:color w:val="000000"/>
          <w:sz w:val="8"/>
        </w:rPr>
        <w:t>1</w:t>
      </w:r>
      <w:r>
        <w:rPr>
          <w:color w:val="000000"/>
        </w:rPr>
        <w:t xml:space="preserve"> </w:t>
      </w:r>
      <w:r>
        <w:rPr>
          <w:rFonts w:ascii="Times New Roman;sans-serif" w:hAnsi="Times New Roman;sans-serif"/>
          <w:b w:val="false"/>
          <w:color w:val="000000"/>
          <w:sz w:val="20"/>
        </w:rPr>
        <w:t>A shadow director is an individual who is not on the board of the Irish Affiliate but who has sufficient control so that the board of directors acts in accordance with the “directions or instructions” of the individual.</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1" w:after="283"/>
        <w:jc w:val="left"/>
        <w:rPr/>
      </w:pPr>
      <w:r>
        <w:rPr>
          <w:rFonts w:ascii="Times New Roman;sans-serif" w:hAnsi="Times New Roman;sans-serif"/>
          <w:b/>
          <w:color w:val="000000"/>
          <w:sz w:val="22"/>
        </w:rPr>
        <w:t xml:space="preserve">Plan Document Acknowledgment. </w:t>
      </w:r>
      <w:r>
        <w:rPr>
          <w:rFonts w:ascii="Times New Roman;sans-serif" w:hAnsi="Times New Roman;sans-serif"/>
          <w:b w:val="false"/>
          <w:color w:val="000000"/>
          <w:sz w:val="22"/>
        </w:rPr>
        <w:t>In accepting the grant of the Option, the Optionee acknowledges that he or she has received a copy of the Plan and the Agreement and has reviewed the Plan and the Agreement, including this Appendix A, in their entirety and fully understands and accepts all provisions of the Plan and the Agreement, including this Appendix A.</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that he or she has read and specifically and expressly approves the following paragraphs of the Agreement: paragraph 1 on Vesting; paragraph 2 on Vesting Upon Termination of Employment; paragraph 3 on Exercisability Upon Termination of Employment from the Mondelēz Group; paragraph 4 on Exercise of Option and Withholding Taxes; paragraph 5 on Cash-Out of Option; paragraph 8 on Transfer Restrictions; paragraph 11 on Entire Agreement; Governing Law; paragraph 12 on Grant Confers No Rights to Continued Employment - Nature of the Grant; paragraph 15 on Miscellaneous Definitions; paragraph 16 on Language; paragraph 17 on Compliance with Law; paragraph 19 on Electronic Delivery and Acceptance; paragraph 22 on Imposition of Other Requirements; paragraph 23 on Insider Trading/Market Abuse Laws; paragraph 26 on Waiver; and the Data Privacy Notice in the European Union / European Economic Area section of this Appendix A.</w:t>
      </w:r>
    </w:p>
    <w:p>
      <w:pPr>
        <w:pStyle w:val="TextBody"/>
        <w:bidi w:val="0"/>
        <w:spacing w:lineRule="auto" w:line="271" w:before="243"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Options)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Options), are beneficial owners of the investment pursuant to Italian money laundering provisions.</w:t>
      </w:r>
    </w:p>
    <w:p>
      <w:pPr>
        <w:pStyle w:val="TextBody"/>
        <w:bidi w:val="0"/>
        <w:spacing w:lineRule="auto" w:line="276" w:before="239" w:after="283"/>
        <w:jc w:val="left"/>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held outside Italy is subject to a foreign assets tax. The fair market value is considered to be the value of the shares of Common Stock on the Nasdaq Global Select Market on December 31 of each year or on the last day the Optionee held the shares (in such case, or when the shares of Common Stock are acquired during the course of the year, the tax is levied in proportion to the actual days of holding over the calendar year). The Optionee should consult with his or her personal tax advisor about the foreign financial assets tax.</w:t>
      </w:r>
    </w:p>
    <w:p>
      <w:pPr>
        <w:pStyle w:val="TextBody"/>
        <w:bidi w:val="0"/>
        <w:spacing w:before="14" w:after="283"/>
        <w:jc w:val="center"/>
        <w:rPr/>
      </w:pPr>
      <w:r>
        <w:rPr/>
      </w:r>
    </w:p>
    <w:p>
      <w:pPr>
        <w:pStyle w:val="TextBody"/>
        <w:bidi w:val="0"/>
        <w:spacing w:lineRule="auto" w:line="271" w:before="14" w:after="283"/>
        <w:jc w:val="center"/>
        <w:rPr/>
      </w:pPr>
      <w:r>
        <w:rPr>
          <w:rFonts w:ascii="Times New Roman;sans-serif" w:hAnsi="Times New Roman;sans-serif"/>
          <w:b/>
          <w:color w:val="000000"/>
          <w:sz w:val="22"/>
          <w:u w:val="single"/>
        </w:rPr>
        <w:t>JAPAN</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Optionee acquires shares of Common Stock valued at more than ¥100,000,000 in a single transaction, the Optionee must file a Securities Acquisition Report with the Ministry of Finance through the Bank of Japan within 20 days of the purchase of the shares of Common Stock.</w:t>
      </w:r>
    </w:p>
    <w:p>
      <w:pPr>
        <w:pStyle w:val="TextBody"/>
        <w:bidi w:val="0"/>
        <w:spacing w:lineRule="auto" w:line="276" w:before="232" w:after="283"/>
        <w:jc w:val="left"/>
        <w:rPr/>
      </w:pPr>
      <w:r>
        <w:rPr>
          <w:rFonts w:ascii="Times New Roman;sans-serif" w:hAnsi="Times New Roman;sans-serif"/>
          <w:b w:val="false"/>
          <w:color w:val="000000"/>
          <w:sz w:val="22"/>
        </w:rPr>
        <w:t>In addition, if the Optionee pays more than ¥30,000,000 in a single transaction for the purchase of shares of Common Stock when the Optionee exercises the Option, the Optionee must file a Payment Report with the Ministry of Finance through the Bank of Japan by the 20</w:t>
      </w:r>
      <w:r>
        <w:rPr>
          <w:rFonts w:ascii="Times New Roman;sans-serif" w:hAnsi="Times New Roman;sans-serif"/>
          <w:b w:val="false"/>
          <w:color w:val="000000"/>
          <w:sz w:val="14"/>
        </w:rPr>
        <w:t>th</w:t>
      </w:r>
      <w:r>
        <w:rPr>
          <w:color w:val="000000"/>
        </w:rPr>
        <w:t xml:space="preserve"> </w:t>
      </w:r>
      <w:r>
        <w:rPr>
          <w:rFonts w:ascii="Times New Roman;sans-serif" w:hAnsi="Times New Roman;sans-serif"/>
          <w:b w:val="false"/>
          <w:color w:val="000000"/>
          <w:sz w:val="22"/>
        </w:rPr>
        <w:t>day of the month following the month in which the payment was made. The precise reporting requirements vary depending on whether or not the relevant payment is made through a bank in Japan.</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A Payment Report is required independently from a Securities Acquisition Report. Therefore, if the total amount that the Optionee pays upon a one-time transaction for exercising the Option and purchasing shares exceeds ¥100,000,000, then the Optionee must file both a Payment Report and a Securities Acquisition Report.</w:t>
      </w:r>
    </w:p>
    <w:p>
      <w:pPr>
        <w:pStyle w:val="TextBody"/>
        <w:bidi w:val="0"/>
        <w:spacing w:lineRule="auto" w:line="276" w:before="233"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The Optionee will be required to report details of any assets held outside Japan as of December 31st (including any shares of Common Stock acquired under the Plan) to the extent such assets have a total net fair market value exceeding ¥50,000,000. Such report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3"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will be due by March 15th each year. The Optionee should consult with his or her personal tax advisor as to whether the reporting obligation applies to the Optionee and whether the Optionee will be required to include details of any outstanding Option, shares of Common Stock or cash held by the Optionee in the report.</w:t>
      </w:r>
    </w:p>
    <w:p>
      <w:pPr>
        <w:pStyle w:val="TextBody"/>
        <w:bidi w:val="0"/>
        <w:spacing w:lineRule="auto" w:line="271" w:before="246" w:after="283"/>
        <w:jc w:val="center"/>
        <w:rPr/>
      </w:pPr>
      <w:r>
        <w:rPr>
          <w:rFonts w:ascii="Times New Roman;sans-serif" w:hAnsi="Times New Roman;sans-serif"/>
          <w:b/>
          <w:color w:val="000000"/>
          <w:sz w:val="22"/>
          <w:u w:val="single"/>
        </w:rPr>
        <w:t>KAZAKHSTAN</w:t>
      </w:r>
      <w:r>
        <w:rPr>
          <w:color w:val="000000"/>
        </w:rPr>
        <w:t xml:space="preserve"> </w:t>
      </w:r>
    </w:p>
    <w:p>
      <w:pPr>
        <w:pStyle w:val="TextBody"/>
        <w:bidi w:val="0"/>
        <w:spacing w:lineRule="auto" w:line="271" w:before="49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1" w:after="283"/>
        <w:jc w:val="left"/>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bidi w:val="0"/>
        <w:spacing w:lineRule="auto" w:line="276" w:before="251"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US$100,000.</w:t>
      </w:r>
    </w:p>
    <w:p>
      <w:pPr>
        <w:pStyle w:val="TextBody"/>
        <w:bidi w:val="0"/>
        <w:spacing w:lineRule="auto" w:line="276" w:before="247" w:after="283"/>
        <w:jc w:val="left"/>
        <w:rPr>
          <w:rFonts w:ascii="Times New Roman;sans-serif" w:hAnsi="Times New Roman;sans-serif"/>
          <w:b w:val="false"/>
          <w:color w:val="000000"/>
          <w:sz w:val="22"/>
        </w:rPr>
      </w:pPr>
      <w:r>
        <w:rPr>
          <w:rFonts w:ascii="Times New Roman;sans-serif" w:hAnsi="Times New Roman;sans-serif"/>
          <w:b w:val="false"/>
          <w:color w:val="000000"/>
          <w:sz w:val="22"/>
        </w:rPr>
        <w:t>Please note that the exchange control regulations in Kazakhstan are subject to change. The Optionee should consult with their personal legal advisor regarding any exchange control obligations that the Optionee may have prior to exercising the option or receiving proceeds from the sale of shares of Common Stock acquired under the Plan. The Optionee is responsible for ensuring compliance with all exchange control laws in Kazakhstan.</w:t>
      </w:r>
    </w:p>
    <w:p>
      <w:pPr>
        <w:pStyle w:val="TextBody"/>
        <w:bidi w:val="0"/>
        <w:spacing w:before="0" w:after="0"/>
        <w:jc w:val="left"/>
        <w:rPr/>
      </w:pPr>
      <w:r>
        <w:rPr/>
      </w:r>
    </w:p>
    <w:p>
      <w:pPr>
        <w:pStyle w:val="TextBody"/>
        <w:bidi w:val="0"/>
        <w:spacing w:lineRule="auto" w:line="271" w:before="14" w:after="283"/>
        <w:jc w:val="center"/>
        <w:rPr/>
      </w:pPr>
      <w:r>
        <w:rPr>
          <w:rFonts w:ascii="Times New Roman;sans-serif" w:hAnsi="Times New Roman;sans-serif"/>
          <w:b/>
          <w:color w:val="000000"/>
          <w:sz w:val="22"/>
          <w:u w:val="single"/>
        </w:rPr>
        <w:t>KENYA</w:t>
      </w:r>
      <w:r>
        <w:rPr>
          <w:color w:val="000000"/>
        </w:rPr>
        <w:t xml:space="preserve"> </w:t>
      </w:r>
    </w:p>
    <w:p>
      <w:pPr>
        <w:pStyle w:val="TextBody"/>
        <w:bidi w:val="0"/>
        <w:spacing w:lineRule="auto" w:line="276" w:before="239"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3" w:after="283"/>
        <w:jc w:val="left"/>
        <w:rPr/>
      </w:pPr>
      <w:r>
        <w:rPr>
          <w:rFonts w:ascii="Times New Roman;sans-serif" w:hAnsi="Times New Roman;sans-serif"/>
          <w:b/>
          <w:color w:val="000000"/>
          <w:sz w:val="22"/>
        </w:rPr>
        <w:t>Tax Registration Notification</w:t>
      </w:r>
      <w:r>
        <w:rPr>
          <w:rFonts w:ascii="Times New Roman;sans-serif" w:hAnsi="Times New Roman;sans-serif"/>
          <w:b w:val="false"/>
          <w:color w:val="000000"/>
          <w:sz w:val="22"/>
        </w:rPr>
        <w:t>. Under Tax Procedure Act, 2015, the Optionee is required to complete and submit a tax registration application to the Commissioner of Income Tax within 30 days of first exercise of the Option. The registration should be completed through the online portal “I TAX” and is a one-time only registration. The Optionee is solely responsible for ensuring compliance with all registration requirements in Kenya.</w:t>
      </w:r>
    </w:p>
    <w:p>
      <w:pPr>
        <w:pStyle w:val="TextBody"/>
        <w:bidi w:val="0"/>
        <w:spacing w:lineRule="auto" w:line="271" w:before="247" w:after="283"/>
        <w:jc w:val="center"/>
        <w:rPr/>
      </w:pPr>
      <w:r>
        <w:rPr>
          <w:rFonts w:ascii="Times New Roman;sans-serif" w:hAnsi="Times New Roman;sans-serif"/>
          <w:b/>
          <w:color w:val="000000"/>
          <w:sz w:val="22"/>
          <w:u w:val="single"/>
        </w:rPr>
        <w:t>LEBANON</w:t>
      </w:r>
      <w:r>
        <w:rPr>
          <w:color w:val="000000"/>
        </w:rPr>
        <w:t xml:space="preserve"> </w:t>
      </w:r>
    </w:p>
    <w:p>
      <w:pPr>
        <w:pStyle w:val="TextBody"/>
        <w:bidi w:val="0"/>
        <w:spacing w:lineRule="auto" w:line="276" w:before="238"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Plan does not constitute the marketing or offering of securities in Lebanon pursuant to Law No. 161 (2011), the Capital Markets Law. Offerings under the Plan are being made only to eligible employees of the Mondelēz Group.</w:t>
      </w:r>
    </w:p>
    <w:p>
      <w:pPr>
        <w:pStyle w:val="TextBody"/>
        <w:bidi w:val="0"/>
        <w:spacing w:lineRule="auto" w:line="271" w:before="246" w:after="283"/>
        <w:jc w:val="center"/>
        <w:rPr/>
      </w:pPr>
      <w:r>
        <w:rPr>
          <w:rFonts w:ascii="Times New Roman;sans-serif" w:hAnsi="Times New Roman;sans-serif"/>
          <w:b/>
          <w:color w:val="000000"/>
          <w:sz w:val="22"/>
          <w:u w:val="single"/>
        </w:rPr>
        <w:t>LITHUANIA</w:t>
      </w:r>
      <w:r>
        <w:rPr>
          <w:color w:val="000000"/>
        </w:rPr>
        <w:t xml:space="preserve"> </w:t>
      </w:r>
    </w:p>
    <w:p>
      <w:pPr>
        <w:pStyle w:val="TextBody"/>
        <w:bidi w:val="0"/>
        <w:spacing w:lineRule="auto" w:line="276" w:before="234"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7" w:after="283"/>
        <w:jc w:val="center"/>
        <w:rPr/>
      </w:pPr>
      <w:r>
        <w:rPr>
          <w:rFonts w:ascii="Times New Roman;sans-serif" w:hAnsi="Times New Roman;sans-serif"/>
          <w:b/>
          <w:color w:val="000000"/>
          <w:sz w:val="22"/>
          <w:u w:val="single"/>
        </w:rPr>
        <w:t>MALAYSIA</w:t>
      </w:r>
      <w:r>
        <w:rPr>
          <w:color w:val="000000"/>
        </w:rPr>
        <w:t xml:space="preserve"> </w:t>
      </w:r>
    </w:p>
    <w:p>
      <w:pPr>
        <w:pStyle w:val="TextBody"/>
        <w:bidi w:val="0"/>
        <w:spacing w:lineRule="auto" w:line="276" w:before="238"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3" w:after="225"/>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13 of the Agreement:</w:t>
      </w:r>
    </w:p>
    <w:p>
      <w:pPr>
        <w:pStyle w:val="TextBody"/>
        <w:bidi w:val="0"/>
        <w:spacing w:lineRule="auto" w:line="276"/>
        <w:jc w:val="left"/>
        <w:rPr>
          <w:rFonts w:ascii="Times New Roman;sans-serif" w:hAnsi="Times New Roman;sans-serif"/>
          <w:b/>
          <w:i/>
          <w:color w:val="000000"/>
          <w:sz w:val="22"/>
        </w:rPr>
      </w:pPr>
      <w:r>
        <w:rPr>
          <w:rFonts w:ascii="Times New Roman;sans-serif" w:hAnsi="Times New Roman;sans-serif"/>
          <w:b/>
          <w:i/>
          <w:color w:val="000000"/>
          <w:sz w:val="22"/>
        </w:rPr>
        <w:t xml:space="preserve">The Optionee explicitly and unambiguously consents to the collection, use and transfer, in electronic or other form, of the Optionee’s personal data as described in this Agreement and any other Option grant materials (“Data”) by and among, as applicable, the Employer and the Mondelēz Group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ans-serif" w:hAnsi="Times New Roman;sans-serif"/>
          <w:b/>
          <w:i/>
          <w:color w:val="000000"/>
          <w:sz w:val="22"/>
        </w:rPr>
      </w:pPr>
      <w:r>
        <w:rPr>
          <w:rFonts w:ascii="Times New Roman;sans-serif" w:hAnsi="Times New Roman;sans-serif"/>
          <w:b/>
          <w:i/>
          <w:color w:val="000000"/>
          <w:sz w:val="22"/>
        </w:rPr>
        <w:t>exclusive purpose of implementing, administering and managing the Optionee’s participation in the Plan. The Data is supplied by the Employer and also by the Optionee through information collected in connection with the Agreement and the Plan.</w:t>
      </w:r>
    </w:p>
    <w:p>
      <w:pPr>
        <w:pStyle w:val="TextBody"/>
        <w:bidi w:val="0"/>
        <w:spacing w:before="0" w:after="0"/>
        <w:jc w:val="left"/>
        <w:rPr/>
      </w:pPr>
      <w:r>
        <w:rPr/>
      </w:r>
    </w:p>
    <w:p>
      <w:pPr>
        <w:pStyle w:val="TextBody"/>
        <w:bidi w:val="0"/>
        <w:spacing w:lineRule="auto" w:line="249" w:before="0" w:after="0"/>
        <w:jc w:val="left"/>
        <w:rPr/>
      </w:pPr>
      <w:r>
        <w:rPr>
          <w:rFonts w:ascii="Times New Roman;sans-serif" w:hAnsi="Times New Roman;sans-serif"/>
          <w:b/>
          <w:i/>
          <w:color w:val="000000"/>
          <w:sz w:val="22"/>
        </w:rPr>
        <w:t xml:space="preserve">The Optionee understands that the Company and the Employer may hold certain personal information about the Optionee, including, but not limited to, the Optionee’s name, home address, email address and telephone number, date of birth, social insurance number, passport or other identification number, salary, nationality, job title, any shares of stock or directorships held in the Company, details of all Options or any other entitlement to shares of stock awarded, canceled, exercised, vested, </w:t>
      </w:r>
      <w:r>
        <w:rPr>
          <w:rFonts w:ascii="Times New Roman;sans-serif" w:hAnsi="Times New Roman;sans-serif"/>
          <w:b/>
          <w:i/>
          <w:color w:val="000000"/>
          <w:sz w:val="24"/>
        </w:rPr>
        <w:t xml:space="preserve">unvested or outstanding in the Optionee’s favor, </w:t>
      </w:r>
      <w:r>
        <w:rPr>
          <w:rFonts w:ascii="Times New Roman;sans-serif" w:hAnsi="Times New Roman;sans-serif"/>
          <w:b/>
          <w:i/>
          <w:color w:val="000000"/>
          <w:sz w:val="22"/>
        </w:rPr>
        <w:t>for the exclusive purpose of implementing, administering and managing the Plan.</w:t>
      </w:r>
    </w:p>
    <w:p>
      <w:pPr>
        <w:pStyle w:val="TextBody"/>
        <w:bidi w:val="0"/>
        <w:spacing w:before="0" w:after="0"/>
        <w:jc w:val="left"/>
        <w:rPr/>
      </w:pPr>
      <w:r>
        <w:rPr/>
      </w:r>
    </w:p>
    <w:p>
      <w:pPr>
        <w:pStyle w:val="TextBody"/>
        <w:bidi w:val="0"/>
        <w:spacing w:lineRule="auto" w:line="261" w:before="0" w:after="0"/>
        <w:jc w:val="left"/>
        <w:rPr/>
      </w:pPr>
      <w:r>
        <w:rPr>
          <w:rFonts w:ascii="Times New Roman;sans-serif" w:hAnsi="Times New Roman;sans-serif"/>
          <w:b/>
          <w:i/>
          <w:color w:val="000000"/>
          <w:sz w:val="22"/>
        </w:rPr>
        <w:t xml:space="preserve">The Optionee understands that Data will be transferred to Morgan Stanley Smith Barney, LLC </w:t>
      </w:r>
      <w:r>
        <w:rPr>
          <w:rFonts w:ascii="Times New Roman;sans-serif" w:hAnsi="Times New Roman;sans-serif"/>
          <w:b/>
          <w:i/>
          <w:color w:val="000000"/>
          <w:sz w:val="24"/>
        </w:rPr>
        <w:t>(“</w:t>
      </w:r>
      <w:r>
        <w:rPr>
          <w:rFonts w:ascii="Times New Roman;sans-serif" w:hAnsi="Times New Roman;sans-serif"/>
          <w:b/>
          <w:i/>
          <w:color w:val="000000"/>
          <w:sz w:val="22"/>
        </w:rPr>
        <w:t>Morgan Stanley</w:t>
      </w:r>
      <w:r>
        <w:rPr>
          <w:color w:val="000000"/>
        </w:rPr>
        <w:t>”</w:t>
      </w:r>
      <w:r>
        <w:rPr>
          <w:rFonts w:ascii="Times New Roman;sans-serif" w:hAnsi="Times New Roman;sans-serif"/>
          <w:b/>
          <w:i/>
          <w:color w:val="000000"/>
          <w:sz w:val="24"/>
        </w:rPr>
        <w:t>)</w:t>
      </w:r>
      <w:r>
        <w:rPr>
          <w:rFonts w:ascii="Times New Roman;sans-serif" w:hAnsi="Times New Roman;sans-serif"/>
          <w:b/>
          <w:i/>
          <w:color w:val="000000"/>
          <w:sz w:val="22"/>
        </w:rPr>
        <w:t>, or such other stock plan service provider as may be selected by the Company in the future, which is assisting the Company with the implementation, administration and management of the Plan. The Optionee understands that Data may also be transferre</w:t>
      </w:r>
      <w:r>
        <w:rPr>
          <w:rFonts w:ascii="Times New Roman;sans-serif" w:hAnsi="Times New Roman;sans-serif"/>
          <w:b/>
          <w:i/>
          <w:color w:val="000000"/>
          <w:sz w:val="24"/>
        </w:rPr>
        <w:t xml:space="preserve">d to the Company’s independent </w:t>
      </w:r>
      <w:r>
        <w:rPr>
          <w:rFonts w:ascii="Times New Roman;sans-serif" w:hAnsi="Times New Roman;sans-serif"/>
          <w:b/>
          <w:i/>
          <w:color w:val="000000"/>
          <w:sz w:val="22"/>
        </w:rPr>
        <w:t xml:space="preserve">registered public accounting firm, PricewaterhouseCoopers LLP, or such other public accounting firm that may be engaged by the Company in the future. The Optionee understands that the recipients of the Data may be located in the United States or elsewhere, and </w:t>
      </w:r>
      <w:r>
        <w:rPr>
          <w:rFonts w:ascii="Times New Roman;sans-serif" w:hAnsi="Times New Roman;sans-serif"/>
          <w:b/>
          <w:i/>
          <w:color w:val="000000"/>
          <w:sz w:val="24"/>
        </w:rPr>
        <w:t xml:space="preserve">that the recipients’ country (e.g., the United </w:t>
      </w:r>
      <w:r>
        <w:rPr>
          <w:rFonts w:ascii="Times New Roman;sans-serif" w:hAnsi="Times New Roman;sans-serif"/>
          <w:b/>
          <w:i/>
          <w:color w:val="000000"/>
          <w:sz w:val="22"/>
        </w:rPr>
        <w:t xml:space="preserve">States) may have different data privacy laws and </w:t>
      </w:r>
      <w:r>
        <w:rPr>
          <w:rFonts w:ascii="Times New Roman;sans-serif" w:hAnsi="Times New Roman;sans-serif"/>
          <w:b/>
          <w:i/>
          <w:color w:val="000000"/>
          <w:sz w:val="24"/>
        </w:rPr>
        <w:t xml:space="preserve">protections than the Optionee’s country. The </w:t>
      </w:r>
      <w:r>
        <w:rPr>
          <w:rFonts w:ascii="Times New Roman;sans-serif" w:hAnsi="Times New Roman;sans-serif"/>
          <w:b/>
          <w:i/>
          <w:color w:val="000000"/>
          <w:sz w:val="22"/>
        </w:rPr>
        <w:t xml:space="preserve">Optionee understands that the Optionee may request a list with the names and addresses of any potential recipients of the Data by contacting </w:t>
      </w:r>
      <w:r>
        <w:rPr>
          <w:rFonts w:ascii="Times New Roman;sans-serif" w:hAnsi="Times New Roman;sans-serif"/>
          <w:b/>
          <w:i/>
          <w:color w:val="000000"/>
          <w:sz w:val="24"/>
        </w:rPr>
        <w:t xml:space="preserve">the Optionee’s local human resources </w:t>
      </w:r>
      <w:r>
        <w:rPr>
          <w:rFonts w:ascii="Times New Roman;sans-serif" w:hAnsi="Times New Roman;sans-serif"/>
          <w:b/>
          <w:i/>
          <w:color w:val="000000"/>
          <w:sz w:val="22"/>
        </w:rPr>
        <w:t xml:space="preserve">representative at Mondelez Malaysia Sales Sdn Bhd., Lot 9.01 Level 9, 1 First Avenue, 2A, Dataran Bandar Utama, Bandar Utama Damasara, 47800 Petaling Jaya, Selangor, Malaysia. The Optionee authorizes the Company, Morgan Stanley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w:t>
      </w:r>
      <w:r>
        <w:rPr>
          <w:rFonts w:ascii="Times New Roman;sans-serif" w:hAnsi="Times New Roman;sans-serif"/>
          <w:b/>
          <w:i/>
          <w:color w:val="000000"/>
          <w:sz w:val="24"/>
        </w:rPr>
        <w:t xml:space="preserve">managing the Optionee’s participation in the </w:t>
      </w:r>
      <w:r>
        <w:rPr>
          <w:rFonts w:ascii="Times New Roman;sans-serif" w:hAnsi="Times New Roman;sans-serif"/>
          <w:b/>
          <w:i/>
          <w:color w:val="000000"/>
          <w:sz w:val="22"/>
        </w:rPr>
        <w:t xml:space="preserve">Plan. The Optionee understands that Data will be held only as long as is necessary to implement, administer and manage the </w:t>
      </w:r>
      <w:r>
        <w:rPr>
          <w:rFonts w:ascii="Times New Roman;sans-serif" w:hAnsi="Times New Roman;sans-serif"/>
          <w:b/>
          <w:i/>
          <w:color w:val="000000"/>
          <w:sz w:val="24"/>
        </w:rPr>
        <w:t xml:space="preserve">Optionee’s participation in the Plan. The </w:t>
      </w:r>
      <w:r>
        <w:rPr>
          <w:rFonts w:ascii="Times New Roman;sans-serif" w:hAnsi="Times New Roman;sans-serif"/>
          <w:b/>
          <w:i/>
          <w:color w:val="000000"/>
          <w:sz w:val="22"/>
        </w:rPr>
        <w:t xml:space="preserve">Optionee understands that the Optionee may, at any time, view Data, request additional information about the storage and processing of Data, require any necessary amendments to Data or refuse or withdraw the consents herein, in any case without cost, by contacting in writing the </w:t>
      </w:r>
      <w:r>
        <w:rPr>
          <w:rFonts w:ascii="Times New Roman;sans-serif" w:hAnsi="Times New Roman;sans-serif"/>
          <w:b/>
          <w:i/>
          <w:color w:val="000000"/>
          <w:sz w:val="24"/>
        </w:rPr>
        <w:t>Optionee’s local human resources representative.</w:t>
      </w:r>
    </w:p>
    <w:p>
      <w:pPr>
        <w:pStyle w:val="TextBody"/>
        <w:bidi w:val="0"/>
        <w:spacing w:before="2" w:after="283"/>
        <w:jc w:val="left"/>
        <w:rPr/>
      </w:pPr>
      <w:r>
        <w:rPr/>
      </w:r>
    </w:p>
    <w:p>
      <w:pPr>
        <w:pStyle w:val="TextBody"/>
        <w:bidi w:val="0"/>
        <w:spacing w:lineRule="auto" w:line="264" w:before="2" w:after="283"/>
        <w:jc w:val="left"/>
        <w:rPr/>
      </w:pPr>
      <w:r>
        <w:rPr>
          <w:rFonts w:ascii="Times New Roman;sans-serif" w:hAnsi="Times New Roman;sans-serif"/>
          <w:b/>
          <w:i/>
          <w:color w:val="000000"/>
          <w:sz w:val="22"/>
        </w:rPr>
        <w:t xml:space="preserve">Further, the Optionee understands that he or she is providing the consents herein on a purely voluntary basis. If the Optionee does not consent, or if the Optionee later seeks to revoke his or her consent, his or her employment status or service and career with the Employer will not be adversely affected; the only consequence of </w:t>
      </w:r>
      <w:r>
        <w:rPr>
          <w:rFonts w:ascii="Times New Roman;sans-serif" w:hAnsi="Times New Roman;sans-serif"/>
          <w:b/>
          <w:i/>
          <w:color w:val="000000"/>
          <w:sz w:val="24"/>
        </w:rPr>
        <w:t>refusing or withdrawing the Optionee’s conse</w:t>
      </w:r>
      <w:r>
        <w:rPr>
          <w:rFonts w:ascii="Times New Roman;sans-serif" w:hAnsi="Times New Roman;sans-serif"/>
          <w:b/>
          <w:i/>
          <w:color w:val="000000"/>
          <w:sz w:val="22"/>
        </w:rPr>
        <w:t xml:space="preserve">nt is that the Company would not be able to grant the Optionee an option or other equity awards or administer or maintain such awards. The Optionee also understands that the Company has no obligation to substitute other forms of awards or compensation in lieu of the option as a </w:t>
      </w:r>
      <w:r>
        <w:rPr>
          <w:rFonts w:ascii="Times New Roman;sans-serif" w:hAnsi="Times New Roman;sans-serif"/>
          <w:b/>
          <w:i/>
          <w:color w:val="000000"/>
          <w:sz w:val="24"/>
        </w:rPr>
        <w:t xml:space="preserve">consequence of the Optionee’s refusal or </w:t>
      </w:r>
      <w:r>
        <w:rPr>
          <w:rFonts w:ascii="Times New Roman;sans-serif" w:hAnsi="Times New Roman;sans-serif"/>
          <w:b/>
          <w:i/>
          <w:color w:val="000000"/>
          <w:sz w:val="22"/>
        </w:rPr>
        <w:t>withdrawal of his or her consent. Therefore, the Optionee understands that refusing or withdrawing his or her consent may affect the O</w:t>
      </w:r>
      <w:r>
        <w:rPr>
          <w:rFonts w:ascii="Times New Roman;sans-serif" w:hAnsi="Times New Roman;sans-serif"/>
          <w:b/>
          <w:i/>
          <w:color w:val="000000"/>
          <w:sz w:val="24"/>
        </w:rPr>
        <w:t xml:space="preserve">ptionee’s ability to participate in the Plan. For </w:t>
      </w:r>
      <w:r>
        <w:rPr>
          <w:rFonts w:ascii="Times New Roman;sans-serif" w:hAnsi="Times New Roman;sans-serif"/>
          <w:b/>
          <w:i/>
          <w:color w:val="000000"/>
          <w:sz w:val="22"/>
        </w:rPr>
        <w:t xml:space="preserve">more information on the consequences of the </w:t>
      </w:r>
      <w:r>
        <w:rPr>
          <w:rFonts w:ascii="Times New Roman;sans-serif" w:hAnsi="Times New Roman;sans-serif"/>
          <w:b/>
          <w:i/>
          <w:color w:val="000000"/>
          <w:sz w:val="24"/>
        </w:rPr>
        <w:t xml:space="preserve">Optionee’s refusal to consent or withdrawal of </w:t>
      </w:r>
      <w:r>
        <w:rPr>
          <w:rFonts w:ascii="Times New Roman;sans-serif" w:hAnsi="Times New Roman;sans-serif"/>
          <w:b/>
          <w:i/>
          <w:color w:val="000000"/>
          <w:sz w:val="22"/>
        </w:rPr>
        <w:t>consent, the Optionee understands that he or she may contact his or her local human resources representative.</w:t>
      </w:r>
    </w:p>
    <w:p>
      <w:pPr>
        <w:pStyle w:val="TextBody"/>
        <w:bidi w:val="0"/>
        <w:spacing w:before="2" w:after="283"/>
        <w:jc w:val="left"/>
        <w:rPr/>
      </w:pPr>
      <w:r>
        <w:rPr/>
      </w:r>
    </w:p>
    <w:p>
      <w:pPr>
        <w:pStyle w:val="TextBody"/>
        <w:bidi w:val="0"/>
        <w:spacing w:lineRule="auto" w:line="276" w:before="0" w:after="0"/>
        <w:jc w:val="both"/>
        <w:rPr>
          <w:rFonts w:ascii="Times New Roman;sans-serif" w:hAnsi="Times New Roman;sans-serif"/>
          <w:b/>
          <w:i/>
          <w:color w:val="000000"/>
          <w:sz w:val="22"/>
        </w:rPr>
      </w:pPr>
      <w:r>
        <w:rPr>
          <w:rFonts w:ascii="Times New Roman;sans-serif" w:hAnsi="Times New Roman;sans-serif"/>
          <w:b/>
          <w:i/>
          <w:color w:val="000000"/>
          <w:sz w:val="22"/>
        </w:rPr>
        <w:t>Penerima Opsyen dengan ini secara eksplisit dan tanpa sebarang keraguan mengizinkan pengumpulan, penggunaan dan pemindahan, dalam bentuk elektronik atau lain-lain, data peribadi Penerima Opsyen seperti yang diterangkan dalam Perjanjian ini serta mana-mana bahan-bahan geran Opsyen lain(“Data”) oleh dan di antara, seperti mana yang terpakai, Majikan serta Kumpulan Mondelez untuk tujuan ekslusif bagi melaksanakan, mentadbir dan menguruskan penyertaan Penerima Opsyen dalam Pelan. Data telah dibekalkan oleh pihak Majikan dan juga Penerima Opsyen melalui informasi yang telah dikumpul berkaitan dengan Perjanjian dan Pelan.</w:t>
      </w:r>
    </w:p>
    <w:p>
      <w:pPr>
        <w:pStyle w:val="TextBody"/>
        <w:bidi w:val="0"/>
        <w:spacing w:before="243" w:after="225"/>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6" w:before="0" w:after="0"/>
        <w:jc w:val="both"/>
        <w:rPr>
          <w:rFonts w:ascii="Times New Roman;sans-serif" w:hAnsi="Times New Roman;sans-serif"/>
          <w:b/>
          <w:i/>
          <w:color w:val="000000"/>
          <w:sz w:val="22"/>
        </w:rPr>
      </w:pPr>
      <w:r>
        <w:rPr>
          <w:rFonts w:ascii="Times New Roman;sans-serif" w:hAnsi="Times New Roman;sans-serif"/>
          <w:b/>
          <w:i/>
          <w:color w:val="000000"/>
          <w:sz w:val="22"/>
        </w:rPr>
        <w:t>Penerima Opsyen memahami bahawa Syarikat dan Majikan mungkin memegang maklumat peribadi tertentu Penerima Opsyen, termasuk, tetapi tidak terhad kepada, nama Penerima Opsyen, alamat rumah dan nombor telefon, almat emel, tarikh lahir, insurans sosial, nombor pasport atau pengenalan lain, gaji, kewarganegaraan, jawatan, apa-apa syer dalam Saham atau jawatan pengarah yang dipegang dalam Syarikat, maklumat berkaitan semua Opsyen-Opsyen atau apa-apa kelayakan lain untuk syer dalam saham yang dianugerahkan, dibatalkan, dilaksanakan, terletak hak, tidak diletak hak ataupun yang belum dijelaskan bagi faedah Penerima Opsyen, untuk tujuan eksklusif bagi melaksanakan, mentadbir dan menguruskan Pelan tersebut.</w:t>
      </w:r>
    </w:p>
    <w:p>
      <w:pPr>
        <w:pStyle w:val="TextBody"/>
        <w:bidi w:val="0"/>
        <w:spacing w:before="0" w:after="0"/>
        <w:jc w:val="both"/>
        <w:rPr/>
      </w:pPr>
      <w:r>
        <w:rPr/>
      </w:r>
    </w:p>
    <w:p>
      <w:pPr>
        <w:pStyle w:val="TextBody"/>
        <w:bidi w:val="0"/>
        <w:spacing w:lineRule="auto" w:line="261" w:before="0" w:after="0"/>
        <w:jc w:val="both"/>
        <w:rPr/>
      </w:pPr>
      <w:r>
        <w:rPr>
          <w:rFonts w:ascii="Times New Roman;sans-serif" w:hAnsi="Times New Roman;sans-serif"/>
          <w:b/>
          <w:i/>
          <w:color w:val="000000"/>
          <w:sz w:val="22"/>
        </w:rPr>
        <w:t xml:space="preserve">Penerima Opsyen memahami bahawa Data tersebut akan dipindahkan ke Morgan Stanley Smith Barney, LLC </w:t>
      </w:r>
      <w:r>
        <w:rPr>
          <w:rFonts w:ascii="Times New Roman;sans-serif" w:hAnsi="Times New Roman;sans-serif"/>
          <w:b w:val="false"/>
          <w:i/>
          <w:color w:val="000000"/>
          <w:sz w:val="24"/>
        </w:rPr>
        <w:t>(“</w:t>
      </w:r>
      <w:r>
        <w:rPr>
          <w:rFonts w:ascii="Times New Roman;sans-serif" w:hAnsi="Times New Roman;sans-serif"/>
          <w:b/>
          <w:i/>
          <w:color w:val="000000"/>
          <w:sz w:val="22"/>
        </w:rPr>
        <w:t>Morgan Stanley</w:t>
      </w:r>
      <w:r>
        <w:rPr>
          <w:color w:val="000000"/>
        </w:rPr>
        <w:t>”</w:t>
      </w:r>
      <w:r>
        <w:rPr>
          <w:rFonts w:ascii="Times New Roman;sans-serif" w:hAnsi="Times New Roman;sans-serif"/>
          <w:b w:val="false"/>
          <w:i/>
          <w:color w:val="000000"/>
          <w:sz w:val="24"/>
        </w:rPr>
        <w:t xml:space="preserve">) </w:t>
      </w:r>
      <w:r>
        <w:rPr>
          <w:rFonts w:ascii="Times New Roman;sans-serif" w:hAnsi="Times New Roman;sans-serif"/>
          <w:b/>
          <w:i/>
          <w:color w:val="000000"/>
          <w:sz w:val="22"/>
        </w:rPr>
        <w:t xml:space="preserve">atau pembekal perkhidmatan pelan saham lain yang mungkin dipilih oleh Syarikat pada masa hadapan, yang membantu Syarikat melaksanakan, mentadbir dan menguruskan Pelan tersebut. Penerima Opsyen memahami bahawa Data juga mungkin dipindahkan kepada firma akauntansi awam berdaftar bebas Syarikat, PricewaterhouseCoopers LLP, atau firma akauntansi berdaftar lain yang mungkin digunakan oleh Syarikat pada masa hadapan. Penerima Opsyen turut memahami bahawa penerima Data mungkin berada di Amerika Syarikat atau negara lain dan negara asal penerima Data (contohnya, Amerika Syarikat) mungkin mempunyai undang-undang data peribadi serta perlindungan yang berbeza daripada negara asal Penerima Opsyen. Penerima Opsyen memahami bahawa Penerima Opsyen boleh meminta satu senarai yang mengandungi nama dan alamat penerima-penerima Data yang berpotensi dengan menghubungi wakil sumber manusia tempatan Penerima Opsyen di Mondelez Malaysia Sales Sdn Bhd, Lot 9.01 Level 9, 1 First Avenue, 2A, Dataran Bandar Utama, Bandar Utama Damasara, 47800 Petaling Jaya, Selangor, Malaysia. Penerima Opsyen dengan ini membenarkan Syarikat, Morgan Stanley serta mana-mana penerima data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w:t>
      </w:r>
    </w:p>
    <w:p>
      <w:pPr>
        <w:pStyle w:val="TextBody"/>
        <w:bidi w:val="0"/>
        <w:spacing w:before="100" w:after="100"/>
        <w:jc w:val="left"/>
        <w:rPr/>
      </w:pPr>
      <w:r>
        <w:rPr/>
      </w:r>
    </w:p>
    <w:p>
      <w:pPr>
        <w:pStyle w:val="TextBody"/>
        <w:bidi w:val="0"/>
        <w:spacing w:lineRule="auto" w:line="276" w:before="0" w:after="0"/>
        <w:jc w:val="both"/>
        <w:rPr>
          <w:rFonts w:ascii="Times New Roman;sans-serif" w:hAnsi="Times New Roman;sans-serif"/>
          <w:b/>
          <w:i/>
          <w:color w:val="000000"/>
          <w:sz w:val="22"/>
        </w:rPr>
      </w:pPr>
      <w:r>
        <w:rPr>
          <w:rFonts w:ascii="Times New Roman;sans-serif" w:hAnsi="Times New Roman;sans-serif"/>
          <w:b/>
          <w:i/>
          <w:color w:val="000000"/>
          <w:sz w:val="22"/>
        </w:rPr>
        <w:t>Penerima Opsyen dalam Pelan. Penerima Opsyen memahami bahawa Data hanya akan disimpan untuk tempoh yang perlu bagi melaksanakan, mentadbir, dan menguruskan penyertaan Penerima Opsyen dalam Pelan. Penerima Opsyen memahami bahawa Penerima Opsyen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Penerima Opsyen memahami bahawa Penerima Opsyen memberikan persetujuan di sini secara sukarela. Jikalau, Penerima Opsyen tidak bersetuju, atau sekiranaya Penerima Opsyen kemudiannya membatalkan persetujuannya, status pekerjaan atau perkhidmatan dan kerjaya Penerima Opsyen dengan Majikan tidak akan terjejas; satu-satunya akibat jika Penerima Opsyen tidak bersetuju atau menarik balik persetujuan Penerima Opsyen adalah bahawa Syarikat tidak akan dapat memberikan opsyen atau anugerah-anugerah ekuiti yang lain kepada Penerima Opsyen atau mentadbir atau mengekalkan anugerah tersebut. Penerima Opsyen turut memahami bahawa pihak Syarikat tidak mempunyai sebarang kewajiban untuk menggantikan bentuk anugerah yang lain atau memberikan sebarang bentuk kompensasi sebagai pengganti opsyen disebabkan keengganan atau penarikan balik persetujuan Penerima Opsyen. Oleh kerana itu, Penerima Opsyen memahami bahawa keengganan atau penarikan balik persetujuan Penerima Opsyen boleh menjejaskan keupayaan Penerima Opsyen untuk mengambil bahagian dalam Pelan. Untuk maklumat lanjut mengenai akibat keengganan Penerima Opsyen untuk memberikan keizinan atau penarikan balik keizinan, Penerima Opsyen memahami bahawa Penerima Opsyen boleh menghubungi wakil sumber manusia tempatannya.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 xml:space="preserve">Director Notification Obligation. </w:t>
      </w:r>
      <w:r>
        <w:rPr>
          <w:rFonts w:ascii="Times New Roman;sans-serif" w:hAnsi="Times New Roman;sans-serif"/>
          <w:b w:val="false"/>
          <w:color w:val="000000"/>
          <w:sz w:val="22"/>
        </w:rPr>
        <w:t>If the Optionee is a director of the Company’s Malaysian subsidiary or affiliate, the Optionee is subject to certain notification requirements under the Malaysian Companies Act. Among these requirements is an obligation to notify the Malaysian subsidiary or affiliate in writing when the Optionee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an Option or shares of Common Stock)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Company or any related company. Such notifications must be made within 14 days of receiving or disposing of any interest in the Company or any related company.</w:t>
      </w:r>
    </w:p>
    <w:p>
      <w:pPr>
        <w:pStyle w:val="TextBody"/>
        <w:bidi w:val="0"/>
        <w:spacing w:lineRule="auto" w:line="271" w:before="247" w:after="283"/>
        <w:jc w:val="center"/>
        <w:rPr/>
      </w:pPr>
      <w:r>
        <w:rPr>
          <w:rFonts w:ascii="Times New Roman;sans-serif" w:hAnsi="Times New Roman;sans-serif"/>
          <w:b/>
          <w:color w:val="000000"/>
          <w:sz w:val="22"/>
          <w:u w:val="single"/>
        </w:rPr>
        <w:t>MEXICO</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44" w:before="225" w:after="283"/>
        <w:jc w:val="left"/>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In accepting the grant of the Option, the Optionee expressly recognizes that Mondelēz International, Inc., with registered offices at 905 West Fulton Market, Suite 200, Chicago, Illinois 60607, U.S.A., is solely responsible for the administration of the Plan and that the Optionee’s participation in the Plan and acquisition of shares of Common Stock do not constitute an employment relationship between the Optionee and Mondelēz International, Inc. since the Optionee is participating in the Plan on a wholly commercial basis and his or her sole Employer is Mondelēz M</w:t>
      </w:r>
      <w:r>
        <w:rPr>
          <w:rFonts w:ascii="Times New Roman;sans-serif" w:hAnsi="Times New Roman;sans-serif"/>
          <w:b w:val="false"/>
          <w:color w:val="000000"/>
          <w:sz w:val="28"/>
        </w:rPr>
        <w:t>e</w:t>
      </w:r>
      <w:r>
        <w:rPr>
          <w:rFonts w:ascii="Times New Roman;sans-serif" w:hAnsi="Times New Roman;sans-serif"/>
          <w:b w:val="false"/>
          <w:color w:val="000000"/>
          <w:sz w:val="22"/>
        </w:rPr>
        <w:t>xico, S. de R.L. de C.V., located at Av. 18 de Noviembre 1028, Camino a Manzanilla, Heroica Puebla de Zaragoza, Puebla, C.P. 72304. Based on the foregoing, the Optionee expressly recognizes that the Plan and the benefits that he or she may derive from participating in the Plan do not establish any rights between the Optionee and the Employer, Mondelēz México, S. de R.L. de C.V., and do not form part of the employment conditions and/or benefits provided by Mondelēz México, S. de R.L. de C.V., and any modification of the Plan or its termination shall not constitute a change or impairment of the terms and conditions of the Optionee’s employment.</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further understands that his or her participation in the Plan is as a result of a unilateral and discretionary decision of Mondelēz International, Inc.; therefore, Mondelēz International, Inc. reserves the absolute right to amend and/or discontinue the Optionee’s participation at any time without any liability to the Optionee.</w:t>
      </w:r>
    </w:p>
    <w:p>
      <w:pPr>
        <w:pStyle w:val="TextBody"/>
        <w:bidi w:val="0"/>
        <w:spacing w:lineRule="auto" w:line="276" w:before="236" w:after="283"/>
        <w:jc w:val="left"/>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By accepting the Option, the Optionee acknowledges that Optionee has received copies of the Plan, has reviewed the Plan and the Agreement in their entirety and fully understands and accepts all provisions of the Plan and the Agreement.</w:t>
      </w:r>
    </w:p>
    <w:p>
      <w:pPr>
        <w:pStyle w:val="TextBody"/>
        <w:bidi w:val="0"/>
        <w:spacing w:lineRule="auto" w:line="276" w:before="234"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by accepting the Agreement, the Optionee further acknowledges that Optionee has read and specifically and expressly approves the terms and conditions in paragraph 12 of the Agreement (“Grant Confers No Rights to Continued Employment -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Option.</w: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Finally, the Optionee hereby declares that he or she does not reserve to him- or herself any action or right to bring any claim against Mondelēz International, Inc. for any compensation or damages regarding any provision of the Plan or the benefits derived under the Plan, and the Optionee therefore grants a full and broad release to Mondelēz International, Inc., its affiliates, branches, representation offices, its shareholders, officers, agents or legal representatives with respect to any claim that may arise.</w:t>
      </w:r>
    </w:p>
    <w:p>
      <w:pPr>
        <w:pStyle w:val="TextBody"/>
        <w:bidi w:val="0"/>
        <w:spacing w:before="10" w:after="283"/>
        <w:jc w:val="left"/>
        <w:rPr/>
      </w:pPr>
      <w:r>
        <w:rPr/>
      </w:r>
    </w:p>
    <w:p>
      <w:pPr>
        <w:pStyle w:val="TextBody"/>
        <w:bidi w:val="0"/>
        <w:spacing w:lineRule="auto" w:line="276" w:before="10" w:after="283"/>
        <w:jc w:val="left"/>
        <w:rPr>
          <w:rFonts w:ascii="Times New Roman;sans-serif" w:hAnsi="Times New Roman;sans-serif"/>
          <w:b/>
          <w:i/>
          <w:color w:val="000000"/>
          <w:sz w:val="22"/>
        </w:rPr>
      </w:pPr>
      <w:r>
        <w:rPr>
          <w:rFonts w:ascii="Times New Roman;sans-serif" w:hAnsi="Times New Roman;sans-serif"/>
          <w:b/>
          <w:i/>
          <w:color w:val="000000"/>
          <w:sz w:val="22"/>
        </w:rPr>
        <w:t>TÉRMINOS Y CONDICIONES</w:t>
      </w:r>
    </w:p>
    <w:p>
      <w:pPr>
        <w:pStyle w:val="TextBody"/>
        <w:bidi w:val="0"/>
        <w:spacing w:lineRule="auto" w:line="276" w:before="224" w:after="283"/>
        <w:jc w:val="left"/>
        <w:rPr/>
      </w:pPr>
      <w:r>
        <w:rPr>
          <w:rFonts w:ascii="Times New Roman;sans-serif" w:hAnsi="Times New Roman;sans-serif"/>
          <w:b/>
          <w:color w:val="000000"/>
          <w:sz w:val="22"/>
        </w:rPr>
        <w:t xml:space="preserve">Política Laboral. </w:t>
      </w:r>
      <w:r>
        <w:rPr>
          <w:rFonts w:ascii="Times New Roman;sans-serif" w:hAnsi="Times New Roman;sans-serif"/>
          <w:b w:val="false"/>
          <w:color w:val="000000"/>
          <w:sz w:val="22"/>
        </w:rPr>
        <w:t xml:space="preserve">Al aceptar el otorgamiento de la Opción de Compra de Acciones, el Optionee expresamente reconoce que Mondelēz International, Inc., con domicilio registrado ubicado en 905 West Fulton Market, Suite 200, Chicago, Illinois 60607, U.S.A., es la única responsable por la administración del Plan y que la participación del Optionee en el Plan y en su caso la adquisición de Acciones no constituyen ni podrán interpretarse como una relación de trabajo entre el Optionee y Mondelēz International, Inc., ya que el Optionee participa en el Plan en un marco totalmente comercial y su único Patrón lo es Mondelēz México, S. de R.L. de C.V. con domicilio en Avenida Santa Fe 485, Piso 7, Colonia Cruz Manca, Mexico City, C.P. 05349 Mexico. Derivado de lo anterior, el Optionee expresamente reconoce que el Plan y los beneficios que pudieran derivar de la participación en el Plan no establecen derecho alguno entre el Optionee y el Patrón, Mondelēz México, S. de R.L. de C.V. y no forma parte de las condiciones de trabajo y/o las prestaciones otorgadas por Mondelēz México, S. de R.L. de C.V. y que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24" w:after="283"/>
        <w:jc w:val="left"/>
        <w:rPr>
          <w:rFonts w:ascii="Times New Roman;sans-serif" w:hAnsi="Times New Roman;sans-serif"/>
          <w:b w:val="false"/>
          <w:color w:val="000000"/>
          <w:sz w:val="22"/>
        </w:rPr>
      </w:pPr>
      <w:r>
        <w:rPr>
          <w:rFonts w:ascii="Times New Roman;sans-serif" w:hAnsi="Times New Roman;sans-serif"/>
          <w:b w:val="false"/>
          <w:color w:val="000000"/>
          <w:sz w:val="22"/>
        </w:rPr>
        <w:t>cualquier modificación al Plan o su terminación no constituye un cambio o impedimento de los términos y condiciones de la relación de trabajo del Optionee.</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Asimismo, el Optionee reconoce que su participación en el Plan es resultado de una decisión unilateral y discrecional de Mondelēz International, Inc.; por lo tanto, Mondelēz International, Inc. se reserva el absoluto derecho de modificar y/o terminar la participación del Optionee en cualquier momento y sin responsabilidad alguna frente el Optionee.</w:t>
      </w:r>
    </w:p>
    <w:p>
      <w:pPr>
        <w:pStyle w:val="TextBody"/>
        <w:bidi w:val="0"/>
        <w:spacing w:lineRule="auto" w:line="276" w:before="237" w:after="283"/>
        <w:jc w:val="left"/>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 aceptar el Otorgamiento de la Opción de Compra de Acciones, el Optionee reconoce que ha recibido copias del Plan, que ha revisado el Plan y el Acuerdo en su totalidad y que entiende y acepta completamente todas las disposiciones contenidas en el Plan y en el Acuerdo.</w:t>
      </w:r>
    </w:p>
    <w:p>
      <w:pPr>
        <w:pStyle w:val="TextBody"/>
        <w:bidi w:val="0"/>
        <w:spacing w:lineRule="auto" w:line="283" w:before="227" w:after="283"/>
        <w:jc w:val="left"/>
        <w:rPr/>
      </w:pPr>
      <w:r>
        <w:rPr>
          <w:rFonts w:ascii="Times New Roman;sans-serif" w:hAnsi="Times New Roman;sans-serif"/>
          <w:b w:val="false"/>
          <w:color w:val="000000"/>
          <w:sz w:val="22"/>
        </w:rPr>
        <w:t xml:space="preserve">Adicionalmente, al firmar el Acuerdo, el Optionee reconoce que ha leído y que aprueba específica y expresamente los términos y condiciones contenidos en el párrafo 12 del Acuerdo ( “El Otorgamiento No le Confiere Ningún Derecho a Empleo Continuo -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w:t>
      </w:r>
      <w:r>
        <w:rPr>
          <w:rFonts w:ascii="Times New Roman;sans-serif" w:hAnsi="Times New Roman;sans-serif"/>
          <w:b w:val="false"/>
          <w:color w:val="000000"/>
          <w:sz w:val="23"/>
        </w:rPr>
        <w:t>Mondel</w:t>
      </w:r>
      <w:r>
        <w:rPr>
          <w:rFonts w:ascii="Calibri;sans-serif" w:hAnsi="Calibri;sans-serif"/>
          <w:b w:val="false"/>
          <w:color w:val="000000"/>
          <w:sz w:val="23"/>
        </w:rPr>
        <w:t>ē</w:t>
      </w:r>
      <w:r>
        <w:rPr>
          <w:rFonts w:ascii="Times New Roman;sans-serif" w:hAnsi="Times New Roman;sans-serif"/>
          <w:b w:val="false"/>
          <w:color w:val="000000"/>
          <w:sz w:val="23"/>
        </w:rPr>
        <w:t xml:space="preserve">z International, Inc. </w:t>
      </w:r>
      <w:r>
        <w:rPr>
          <w:rFonts w:ascii="Times New Roman;sans-serif" w:hAnsi="Times New Roman;sans-serif"/>
          <w:b w:val="false"/>
          <w:color w:val="000000"/>
          <w:sz w:val="22"/>
        </w:rPr>
        <w:t>ni de cualqiuer Sociedad controlante, Subsidiaria o Filial son responsables por ninguna disminución en el valor de las Acciones subyacentes de la Opción de Compra de Acciones.</w:t>
      </w:r>
    </w:p>
    <w:p>
      <w:pPr>
        <w:pStyle w:val="TextBody"/>
        <w:bidi w:val="0"/>
        <w:spacing w:lineRule="auto" w:line="276" w:before="233"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Finalmente, el Optionee por este medio declara que no se reserve derecho o acción alguna que ejercitar en contra de Mondelēz International, Inc. por cualquier compensación o daño en relación con las disposiciones del Plan o de los beneficios derivados del Plan y por lo tanto, el Optionee otorga el más amplio finiquito que en derecho proceda a Mondelēz International, Inc., sus afiliadas, subsidiarias, oficinas de representación, sus accionistas, funcionarios, agentes o representantes legales en relación con cualquier demanda que pudiera surgir.</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27"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Option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Option may not be publicly distributed in Mexico. These materials are addressed to the Optionee only because of the Optionee’s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pStyle w:val="TextBody"/>
        <w:bidi w:val="0"/>
        <w:spacing w:lineRule="auto" w:line="271" w:before="242" w:after="283"/>
        <w:jc w:val="center"/>
        <w:rPr/>
      </w:pPr>
      <w:r>
        <w:rPr>
          <w:rFonts w:ascii="Times New Roman;sans-serif" w:hAnsi="Times New Roman;sans-serif"/>
          <w:b/>
          <w:color w:val="000000"/>
          <w:sz w:val="22"/>
          <w:u w:val="single"/>
        </w:rPr>
        <w:t>MOROCCO</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2" w:after="283"/>
        <w:jc w:val="left"/>
        <w:rPr/>
      </w:pPr>
      <w:r>
        <w:rPr>
          <w:rFonts w:ascii="Times New Roman;sans-serif" w:hAnsi="Times New Roman;sans-serif"/>
          <w:b/>
          <w:color w:val="000000"/>
          <w:sz w:val="22"/>
        </w:rPr>
        <w:t xml:space="preserve">Cashless Exercise Restriction. </w:t>
      </w:r>
      <w:r>
        <w:rPr>
          <w:rFonts w:ascii="Times New Roman;sans-serif" w:hAnsi="Times New Roman;sans-serif"/>
          <w:b w:val="false"/>
          <w:color w:val="000000"/>
          <w:sz w:val="22"/>
        </w:rPr>
        <w:t>Notwithstanding anything to the contrary in the Agreement, due to exchange control requirements in Morocco,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pStyle w:val="TextBody"/>
        <w:bidi w:val="0"/>
        <w:spacing w:lineRule="auto" w:line="276" w:before="236" w:after="283"/>
        <w:jc w:val="left"/>
        <w:rPr/>
      </w:pPr>
      <w:r>
        <w:rPr>
          <w:rFonts w:ascii="Times New Roman;sans-serif" w:hAnsi="Times New Roman;sans-serif"/>
          <w:b/>
          <w:color w:val="000000"/>
          <w:sz w:val="22"/>
        </w:rPr>
        <w:t>Exercisability Upon Termination of Employment</w:t>
      </w:r>
      <w:r>
        <w:rPr>
          <w:rFonts w:ascii="Times New Roman;sans-serif" w:hAnsi="Times New Roman;sans-serif"/>
          <w:b w:val="false"/>
          <w:color w:val="000000"/>
          <w:sz w:val="22"/>
        </w:rPr>
        <w:t>. The following provision replaces in its entirety paragraph 3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in paragraph 3 of the Agreement, due to exchange control requirements in Morocco, the Optionee will have no right to exercise the Option after the Optionee’s termination date. Solely for purposes of the foregoing provision and notwithstanding anything in the Agreement to the contrary, the Optionee’s employment shall be deemed to be terminated when he or she is no longer on the payroll of the Mondelēz Group.</w:t>
      </w:r>
    </w:p>
    <w:p>
      <w:pPr>
        <w:pStyle w:val="TextBody"/>
        <w:bidi w:val="0"/>
        <w:spacing w:lineRule="auto" w:line="276" w:before="234" w:after="283"/>
        <w:jc w:val="left"/>
        <w:rPr/>
      </w:pPr>
      <w:r>
        <w:rPr>
          <w:rFonts w:ascii="Times New Roman;sans-serif" w:hAnsi="Times New Roman;sans-serif"/>
          <w:b/>
          <w:color w:val="000000"/>
          <w:sz w:val="22"/>
        </w:rPr>
        <w:t xml:space="preserve">Exchange Control Requirements. </w:t>
      </w:r>
      <w:r>
        <w:rPr>
          <w:rFonts w:ascii="Times New Roman;sans-serif" w:hAnsi="Times New Roman;sans-serif"/>
          <w:b w:val="false"/>
          <w:color w:val="000000"/>
          <w:sz w:val="22"/>
        </w:rPr>
        <w:t xml:space="preserve">The Optionee is required to immediately repatriate to Morocco the proceeds from the cashless exercise of the Option. Such repatriation may need to be effectuated through a special account established by the Mondelēz Group, including the Employer. By accepting the Option, the Optionee consents and agrees that the cash proceeds may be transferred to such special account prior to being delivered to the Optionee. If repatriation of proceeds is not effectuated through a special account, the Optionee agrees to maintain his or her own records of repatriation and to provide copies of these records upon request to the Company, the Employer and/or the </w:t>
      </w:r>
      <w:r>
        <w:rPr>
          <w:rFonts w:ascii="Times New Roman;sans-serif" w:hAnsi="Times New Roman;sans-serif"/>
          <w:b w:val="false"/>
          <w:i/>
          <w:color w:val="000000"/>
          <w:sz w:val="22"/>
        </w:rPr>
        <w:t>Office des Changes</w:t>
      </w:r>
      <w:r>
        <w:rPr>
          <w:rFonts w:ascii="Times New Roman;sans-serif" w:hAnsi="Times New Roman;sans-serif"/>
          <w:b w:val="false"/>
          <w:color w:val="000000"/>
          <w:sz w:val="22"/>
        </w:rPr>
        <w:t>. The Optionee is responsible for ensuring compliance with all exchange control laws in Morocco.</w:t>
      </w:r>
    </w:p>
    <w:p>
      <w:pPr>
        <w:pStyle w:val="TextBody"/>
        <w:bidi w:val="0"/>
        <w:spacing w:lineRule="auto" w:line="271" w:before="242" w:after="283"/>
        <w:jc w:val="center"/>
        <w:rPr/>
      </w:pPr>
      <w:r>
        <w:rPr>
          <w:rFonts w:ascii="Times New Roman;sans-serif" w:hAnsi="Times New Roman;sans-serif"/>
          <w:b/>
          <w:color w:val="000000"/>
          <w:sz w:val="22"/>
          <w:u w:val="single"/>
        </w:rPr>
        <w:t>NETHERLANDS</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1" w:after="283"/>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76" w:before="235" w:after="283"/>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271" w:before="246"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NEW ZEALAND</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4"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WARNING: </w:t>
      </w:r>
      <w:r>
        <w:rPr>
          <w:rFonts w:ascii="Times New Roman;sans-serif" w:hAnsi="Times New Roman;sans-serif"/>
          <w:b w:val="false"/>
          <w:i/>
          <w:color w:val="000000"/>
          <w:sz w:val="22"/>
        </w:rPr>
        <w:t>The Optionee is being offered an Option which allows the Optionee to purchase shares of Common Stock in accordance with the terms of the Plan and the Agreement. The shares of Common Stock, if purchased, give the Optionee a stake in the ownership of the Company. The Optionee may receive a return if dividends are paid.</w:t>
      </w:r>
    </w:p>
    <w:p>
      <w:pPr>
        <w:pStyle w:val="TextBody"/>
        <w:bidi w:val="0"/>
        <w:spacing w:lineRule="auto" w:line="276" w:before="244"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If the Company runs into financial difficulties and is wound up, the Optionee will be paid only after all creditors and holders of preferred shares have been paid. The Optionee may lose some or all of his or her investment.</w:t>
      </w:r>
    </w:p>
    <w:p>
      <w:pPr>
        <w:pStyle w:val="TextBody"/>
        <w:bidi w:val="0"/>
        <w:spacing w:lineRule="auto" w:line="276" w:before="236"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New Zealand law normally requires people who offer financial products to give information to investors before they invest. This information is designed to help investors to make an informed decision.</w:t>
      </w:r>
    </w:p>
    <w:p>
      <w:pPr>
        <w:pStyle w:val="TextBody"/>
        <w:bidi w:val="0"/>
        <w:spacing w:lineRule="auto" w:line="276" w:before="237"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The usual rules do not apply to this offer because it is made under an employee share purchase scheme. As a result, the Optionee may not be given all the information usually required. The Optionee will also have fewer other legal protections for this investment.</w:t>
      </w:r>
    </w:p>
    <w:p>
      <w:pPr>
        <w:pStyle w:val="TextBody"/>
        <w:bidi w:val="0"/>
        <w:spacing w:lineRule="auto" w:line="283" w:before="23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The Optionee understands that he or she should ask questions, read all documents carefully, and seek independent financial advice before exercising any Options under the Plan.</w:t>
      </w:r>
    </w:p>
    <w:p>
      <w:pPr>
        <w:pStyle w:val="TextBody"/>
        <w:bidi w:val="0"/>
        <w:spacing w:lineRule="auto" w:line="276" w:before="238"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The shares of Common Stock are quoted and approved for trading on the Nasdaq Global Select Market in the United States of America. This means that, if the Optionee purchases shares of Common Stock under the Plan, the Optionee may be able to sell his or her investment on the Nasdaq if there are interested buyers. The Optionee understands that the Optionee may get less than his or her investment. The price will depend on the demand for the shares of Common Stock.</w:t>
      </w:r>
    </w:p>
    <w:p>
      <w:pPr>
        <w:pStyle w:val="TextBody"/>
        <w:bidi w:val="0"/>
        <w:spacing w:lineRule="auto" w:line="276" w:before="241"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For information on risk factors impacting the Company’s business that may affect the value of the shares of Common Stock, the Optionee should refer to the risk factors discussion in the Company’s Annual Report on Form 10-K and Quarterly Reports on Form 10-Q, which are filed with the U.S. Securities and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1" w:after="283"/>
        <w:jc w:val="left"/>
        <w:rPr/>
      </w:pPr>
      <w:r>
        <w:rPr>
          <w:rFonts w:ascii="Times New Roman;sans-serif" w:hAnsi="Times New Roman;sans-serif"/>
          <w:b w:val="false"/>
          <w:i/>
          <w:color w:val="000000"/>
          <w:sz w:val="22"/>
        </w:rPr>
        <w:t>Exchange Commission and are available online at</w:t>
      </w:r>
      <w:r>
        <w:rPr>
          <w:color w:val="0000FF"/>
          <w:u w:val="single"/>
        </w:rPr>
        <w:t xml:space="preserve"> </w:t>
      </w:r>
      <w:r>
        <w:rPr>
          <w:rFonts w:ascii="Times New Roman;sans-serif" w:hAnsi="Times New Roman;sans-serif"/>
          <w:b w:val="false"/>
          <w:i/>
          <w:color w:val="0000FF"/>
          <w:sz w:val="22"/>
          <w:u w:val="single"/>
        </w:rPr>
        <w:t>www.sec.gov,</w:t>
      </w:r>
      <w:r>
        <w:rPr>
          <w:color w:val="000000"/>
        </w:rPr>
        <w:t xml:space="preserve"> </w:t>
      </w:r>
      <w:r>
        <w:rPr>
          <w:rFonts w:ascii="Times New Roman;sans-serif" w:hAnsi="Times New Roman;sans-serif"/>
          <w:b w:val="false"/>
          <w:i/>
          <w:color w:val="000000"/>
          <w:sz w:val="22"/>
        </w:rPr>
        <w:t xml:space="preserve">as well as on the Company’s website at </w:t>
      </w:r>
      <w:r>
        <w:rPr>
          <w:rFonts w:ascii="Times New Roman;sans-serif" w:hAnsi="Times New Roman;sans-serif"/>
          <w:b w:val="false"/>
          <w:color w:val="0000FF"/>
          <w:sz w:val="22"/>
          <w:u w:val="single"/>
        </w:rPr>
        <w:t xml:space="preserve">http://ir.mondelezinternational.com/sec.cfm. </w:t>
      </w:r>
    </w:p>
    <w:p>
      <w:pPr>
        <w:pStyle w:val="TextBody"/>
        <w:bidi w:val="0"/>
        <w:spacing w:lineRule="auto" w:line="271" w:before="243" w:after="283"/>
        <w:jc w:val="center"/>
        <w:rPr/>
      </w:pPr>
      <w:r>
        <w:rPr>
          <w:rFonts w:ascii="Times New Roman;sans-serif" w:hAnsi="Times New Roman;sans-serif"/>
          <w:b/>
          <w:color w:val="000000"/>
          <w:sz w:val="22"/>
          <w:u w:val="single"/>
        </w:rPr>
        <w:t>NIGERIA</w:t>
      </w:r>
      <w:r>
        <w:rPr>
          <w:color w:val="000000"/>
        </w:rPr>
        <w:t xml:space="preserve"> </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7" w:after="283"/>
        <w:jc w:val="center"/>
        <w:rPr/>
      </w:pPr>
      <w:r>
        <w:rPr>
          <w:rFonts w:ascii="Times New Roman;sans-serif" w:hAnsi="Times New Roman;sans-serif"/>
          <w:b/>
          <w:color w:val="000000"/>
          <w:sz w:val="22"/>
          <w:u w:val="single"/>
        </w:rPr>
        <w:t>NORWAY</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9"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bidi w:val="0"/>
        <w:spacing w:lineRule="auto" w:line="271" w:before="247" w:after="283"/>
        <w:jc w:val="center"/>
        <w:rPr/>
      </w:pPr>
      <w:r>
        <w:rPr>
          <w:rFonts w:ascii="Times New Roman;sans-serif" w:hAnsi="Times New Roman;sans-serif"/>
          <w:b/>
          <w:color w:val="000000"/>
          <w:sz w:val="22"/>
          <w:u w:val="single"/>
        </w:rPr>
        <w:t>PAKISTAN</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8" w:after="283"/>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regulatory requirements in Pakistan,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pStyle w:val="TextBody"/>
        <w:bidi w:val="0"/>
        <w:spacing w:before="14" w:after="283"/>
        <w:jc w:val="left"/>
        <w:rPr/>
      </w:pPr>
      <w:r>
        <w:rPr/>
      </w:r>
    </w:p>
    <w:p>
      <w:pPr>
        <w:pStyle w:val="TextBody"/>
        <w:bidi w:val="0"/>
        <w:spacing w:lineRule="auto" w:line="271" w:before="14"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3"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Optionee is required immediately to repatriate to Pakistan the proceeds from the sale of any Common Stock acquired from participation in Plan, including the proceeds from the cashless exercise of the Option.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by filing a “Proceeds Realization Certificate” issued by the bank converting the proceeds with the SBP. The repatriated amounts cannot be credited to a foreign currency account. The Optionee should consult his or her personal advisor prior to repatriation of the sale proceeds to ensure compliance with applicable exchange control regulations in Pakistan, as such regulations are subject to frequent change. The Optionee is responsible for ensuring compliance with all exchange control laws in Pakistan.</w:t>
      </w:r>
    </w:p>
    <w:p>
      <w:pPr>
        <w:pStyle w:val="TextBody"/>
        <w:bidi w:val="0"/>
        <w:spacing w:lineRule="auto" w:line="271" w:before="242" w:after="283"/>
        <w:jc w:val="center"/>
        <w:rPr/>
      </w:pPr>
      <w:r>
        <w:rPr>
          <w:rFonts w:ascii="Times New Roman;sans-serif" w:hAnsi="Times New Roman;sans-serif"/>
          <w:b/>
          <w:color w:val="000000"/>
          <w:sz w:val="22"/>
          <w:u w:val="single"/>
        </w:rPr>
        <w:t>PANAMA</w:t>
      </w:r>
      <w:r>
        <w:rPr>
          <w:color w:val="000000"/>
        </w:rPr>
        <w:t xml:space="preserve"> </w:t>
      </w:r>
    </w:p>
    <w:p>
      <w:pPr>
        <w:pStyle w:val="TextBody"/>
        <w:bidi w:val="0"/>
        <w:spacing w:lineRule="auto" w:line="271" w:before="50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Neither the Options nor any shares of Common Stock that the Employee may acquire upon exercise of the Options constitute a public offering of securities, as they are available only to eligible employees of the Mondelēz Group.</w:t>
      </w:r>
    </w:p>
    <w:p>
      <w:pPr>
        <w:pStyle w:val="TextBody"/>
        <w:bidi w:val="0"/>
        <w:spacing w:lineRule="auto" w:line="271" w:before="247" w:after="283"/>
        <w:jc w:val="center"/>
        <w:rPr/>
      </w:pPr>
      <w:r>
        <w:rPr>
          <w:rFonts w:ascii="Times New Roman;sans-serif" w:hAnsi="Times New Roman;sans-serif"/>
          <w:b/>
          <w:color w:val="000000"/>
          <w:sz w:val="22"/>
          <w:u w:val="single"/>
        </w:rPr>
        <w:t>PERU</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12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7" w:after="283"/>
        <w:jc w:val="left"/>
        <w:rPr/>
      </w:pPr>
      <w:r>
        <w:rPr>
          <w:rFonts w:ascii="Times New Roman;sans-serif" w:hAnsi="Times New Roman;sans-serif"/>
          <w:b w:val="false"/>
          <w:color w:val="000000"/>
          <w:sz w:val="22"/>
        </w:rPr>
        <w:t xml:space="preserve">By accepting the Option, the Optionee acknowledges, understands and agrees that the Option is being granted </w:t>
      </w:r>
      <w:r>
        <w:rPr>
          <w:rFonts w:ascii="Times New Roman;sans-serif" w:hAnsi="Times New Roman;sans-serif"/>
          <w:b w:val="false"/>
          <w:i/>
          <w:color w:val="000000"/>
          <w:sz w:val="22"/>
        </w:rPr>
        <w:t xml:space="preserve">ex gratia </w:t>
      </w:r>
      <w:r>
        <w:rPr>
          <w:rFonts w:ascii="Times New Roman;sans-serif" w:hAnsi="Times New Roman;sans-serif"/>
          <w:b w:val="false"/>
          <w:color w:val="000000"/>
          <w:sz w:val="22"/>
        </w:rPr>
        <w:t>to the Optionee.</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3"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grant of Options is considered a private offering in Peru; therefore, it is not subject to registration. For more information concerning this offer, the Optionee should refer to the Plan, the Agreement and any other grant documents made available by the Company. For more information regarding the Company, the Optionee may refer to the Company’s most recent annual report on Form 10-K and quarterly report on Form 10-Q available at</w:t>
      </w:r>
      <w:r>
        <w:rPr>
          <w:color w:val="0000FF"/>
          <w:u w:val="single"/>
        </w:rPr>
        <w:t xml:space="preserve"> </w:t>
      </w:r>
      <w:r>
        <w:rPr>
          <w:rFonts w:ascii="Times New Roman;sans-serif" w:hAnsi="Times New Roman;sans-serif"/>
          <w:b w:val="false"/>
          <w:color w:val="0000FF"/>
          <w:sz w:val="22"/>
          <w:u w:val="single"/>
        </w:rPr>
        <w:t xml:space="preserve">www.sec.gov. </w:t>
      </w:r>
    </w:p>
    <w:p>
      <w:pPr>
        <w:pStyle w:val="TextBody"/>
        <w:bidi w:val="0"/>
        <w:spacing w:lineRule="auto" w:line="271" w:before="245" w:after="283"/>
        <w:jc w:val="center"/>
        <w:rPr/>
      </w:pPr>
      <w:r>
        <w:rPr>
          <w:rFonts w:ascii="Times New Roman;sans-serif" w:hAnsi="Times New Roman;sans-serif"/>
          <w:b/>
          <w:color w:val="000000"/>
          <w:sz w:val="22"/>
          <w:u w:val="single"/>
        </w:rPr>
        <w:t>PHILIPPINES</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2" w:after="283"/>
        <w:jc w:val="left"/>
        <w:rPr/>
      </w:pPr>
      <w:r>
        <w:rPr>
          <w:rFonts w:ascii="Times New Roman;sans-serif" w:hAnsi="Times New Roman;sans-serif"/>
          <w:b/>
          <w:color w:val="000000"/>
          <w:sz w:val="22"/>
        </w:rPr>
        <w:t xml:space="preserve">Cashless Exercise Restriction. </w:t>
      </w:r>
      <w:r>
        <w:rPr>
          <w:rFonts w:ascii="Times New Roman;sans-serif" w:hAnsi="Times New Roman;sans-serif"/>
          <w:b w:val="false"/>
          <w:color w:val="000000"/>
          <w:sz w:val="22"/>
        </w:rPr>
        <w:t>Notwithstanding anything to the contrary in the Agreement, due to regulatory requirements in the Philippines,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pStyle w:val="TextBody"/>
        <w:bidi w:val="0"/>
        <w:spacing w:lineRule="auto" w:line="271" w:before="14" w:after="283"/>
        <w:jc w:val="center"/>
        <w:rPr/>
      </w:pPr>
      <w:r>
        <w:rPr>
          <w:rFonts w:ascii="Times New Roman;sans-serif" w:hAnsi="Times New Roman;sans-serif"/>
          <w:b/>
          <w:color w:val="000000"/>
          <w:sz w:val="22"/>
          <w:u w:val="single"/>
        </w:rPr>
        <w:t>POLAND</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bidi w:val="0"/>
        <w:spacing w:lineRule="auto" w:line="271" w:before="247" w:after="283"/>
        <w:jc w:val="center"/>
        <w:rPr/>
      </w:pPr>
      <w:r>
        <w:rPr>
          <w:rFonts w:ascii="Times New Roman;sans-serif" w:hAnsi="Times New Roman;sans-serif"/>
          <w:b/>
          <w:color w:val="000000"/>
          <w:sz w:val="22"/>
          <w:u w:val="single"/>
        </w:rPr>
        <w:t>PORTUGAL</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9" w:after="283"/>
        <w:jc w:val="left"/>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Optionee hereby expressly declares that he or she has full knowledge of the English language and has read, understood and fully accepted and agreed with the terms and conditions established in the Plan and the Agreement.</w:t>
      </w:r>
    </w:p>
    <w:p>
      <w:pPr>
        <w:pStyle w:val="TextBody"/>
        <w:bidi w:val="0"/>
        <w:spacing w:lineRule="auto" w:line="276" w:before="239" w:after="283"/>
        <w:jc w:val="left"/>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0"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If the Optionee acquires shares of Common Stock under the Plan and does not hold the shares of Common Stock with a Portuguese financial intermediary, he or she may need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 file a report with the Portuguese Central Bank. If the shares of Common Stock are held by a Portuguese financial intermediary, it will file the report for the Optionee.</w:t>
      </w:r>
    </w:p>
    <w:p>
      <w:pPr>
        <w:pStyle w:val="TextBody"/>
        <w:bidi w:val="0"/>
        <w:spacing w:lineRule="auto" w:line="271" w:before="242"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PUERTO RICO</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7" w:after="283"/>
        <w:jc w:val="center"/>
        <w:rPr/>
      </w:pPr>
      <w:r>
        <w:rPr>
          <w:rFonts w:ascii="Times New Roman;sans-serif" w:hAnsi="Times New Roman;sans-serif"/>
          <w:b/>
          <w:color w:val="000000"/>
          <w:sz w:val="22"/>
          <w:u w:val="single"/>
        </w:rPr>
        <w:t>ROMANIA</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1"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Optionee deposits proceeds from the sale of Common Stock in a bank account in Romania, the Optionee may be required to provide the Romanian bank assisting with the transaction with appropriate documentation explaining the source of the income. The Optionee should consult with a personal legal advisor to determine whether the Optionee will be required to submit such documentation to the Romanian bank.</w:t>
      </w:r>
    </w:p>
    <w:p>
      <w:pPr>
        <w:pStyle w:val="TextBody"/>
        <w:bidi w:val="0"/>
        <w:spacing w:lineRule="auto" w:line="271" w:before="247" w:after="283"/>
        <w:jc w:val="center"/>
        <w:rPr/>
      </w:pPr>
      <w:r>
        <w:rPr>
          <w:rFonts w:ascii="Times New Roman;sans-serif" w:hAnsi="Times New Roman;sans-serif"/>
          <w:b/>
          <w:color w:val="000000"/>
          <w:sz w:val="22"/>
          <w:u w:val="single"/>
        </w:rPr>
        <w:t>RUSSIA</w:t>
      </w:r>
      <w:r>
        <w:rPr>
          <w:color w:val="000000"/>
        </w:rPr>
        <w:t xml:space="preserve"> </w:t>
      </w:r>
    </w:p>
    <w:p>
      <w:pPr>
        <w:pStyle w:val="TextBody"/>
        <w:bidi w:val="0"/>
        <w:spacing w:before="14" w:after="283"/>
        <w:jc w:val="left"/>
        <w:rPr/>
      </w:pPr>
      <w:r>
        <w:rPr/>
      </w:r>
    </w:p>
    <w:p>
      <w:pPr>
        <w:pStyle w:val="TextBody"/>
        <w:bidi w:val="0"/>
        <w:spacing w:lineRule="auto" w:line="271" w:before="14"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283"/>
        <w:jc w:val="left"/>
        <w:rPr/>
      </w:pPr>
      <w:r>
        <w:rPr>
          <w:rFonts w:ascii="Times New Roman;sans-serif" w:hAnsi="Times New Roman;sans-serif"/>
          <w:b/>
          <w:color w:val="000000"/>
          <w:sz w:val="22"/>
        </w:rPr>
        <w:t xml:space="preserve">Exercise of Options. </w:t>
      </w:r>
      <w:r>
        <w:rPr>
          <w:rFonts w:ascii="Times New Roman;sans-serif" w:hAnsi="Times New Roman;sans-serif"/>
          <w:b w:val="false"/>
          <w:color w:val="000000"/>
          <w:sz w:val="22"/>
        </w:rPr>
        <w:t>This provision supplements Section 4 of the Agreement:</w:t>
      </w:r>
    </w:p>
    <w:p>
      <w:pPr>
        <w:pStyle w:val="TextBody"/>
        <w:bidi w:val="0"/>
        <w:spacing w:lineRule="auto" w:line="276" w:before="251"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Depending on applicable restrictions then in effect, the Company has the sole discretion to postpone the vesting and/or the ability to exercise the Option, or to cancel such Option for no consideration. The Optionee understands that no shares of Common Stock will be issued upon exercise of the Option if the Company, in its sole discretion, determines that such issuance would not comply with applicable laws and regulations in Russia.</w:t>
      </w:r>
    </w:p>
    <w:p>
      <w:pPr>
        <w:pStyle w:val="TextBody"/>
        <w:bidi w:val="0"/>
        <w:spacing w:lineRule="auto" w:line="276" w:before="233"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This Agreement, the Plan and all other materials that the Optionee may receive concerning the grant of the Option and the Optionee’s participation in the Plan do not constitute advertising or an offering of securities in Russia. The Common Stock to be issued upon exercise of the Option have not and will not be registered in Russia and, therefore, the Common Stock described in any Plan documents may not be offered or placed in public circulation in Russia. In no event will Common Stock to be issued upon exercise of the Option be delivered to the Optionee in Russia. All Common Stock acquired under the Plan will be maintained on the Optionee’s behalf outside of Russia. The Optionee will not be permitted to sell Common Stock directly to a Russian legal entity or resident.</w:t>
      </w:r>
    </w:p>
    <w:p>
      <w:pPr>
        <w:pStyle w:val="TextBody"/>
        <w:bidi w:val="0"/>
        <w:spacing w:lineRule="auto" w:line="276" w:before="233" w:after="283"/>
        <w:jc w:val="left"/>
        <w:rPr/>
      </w:pPr>
      <w:r>
        <w:rPr>
          <w:rFonts w:ascii="Times New Roman;sans-serif" w:hAnsi="Times New Roman;sans-serif"/>
          <w:b/>
          <w:color w:val="000000"/>
          <w:sz w:val="22"/>
        </w:rPr>
        <w:t>Cashless Exercise Provision</w:t>
      </w:r>
      <w:r>
        <w:rPr>
          <w:rFonts w:ascii="Times New Roman;sans-serif" w:hAnsi="Times New Roman;sans-serif"/>
          <w:b w:val="false"/>
          <w:color w:val="000000"/>
          <w:sz w:val="22"/>
        </w:rPr>
        <w:t>. Notwithstanding anything to the contrary in the Agreement, depending on the development of local regulatory requirements, the Company reserves the right to restrict the Optionee to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exchange control laws and regulations.</w:t>
      </w:r>
    </w:p>
    <w:p>
      <w:pPr>
        <w:pStyle w:val="TextBody"/>
        <w:bidi w:val="0"/>
        <w:spacing w:lineRule="auto" w:line="276" w:before="241" w:after="283"/>
        <w:jc w:val="left"/>
        <w:rPr/>
      </w:pPr>
      <w:r>
        <w:rPr>
          <w:rFonts w:ascii="Times New Roman;sans-serif" w:hAnsi="Times New Roman;sans-serif"/>
          <w:b/>
          <w:color w:val="000000"/>
          <w:sz w:val="22"/>
        </w:rPr>
        <w:t xml:space="preserve">Data Privacy. </w:t>
      </w:r>
      <w:r>
        <w:rPr>
          <w:rFonts w:ascii="Times New Roman;sans-serif" w:hAnsi="Times New Roman;sans-serif"/>
          <w:b w:val="false"/>
          <w:color w:val="000000"/>
          <w:sz w:val="22"/>
        </w:rPr>
        <w:t>The following provision supplements paragraph 13 of the Agreement:</w:t>
      </w:r>
    </w:p>
    <w:p>
      <w:pPr>
        <w:pStyle w:val="TextBody"/>
        <w:bidi w:val="0"/>
        <w:spacing w:lineRule="auto" w:line="276" w:before="228" w:after="283"/>
        <w:jc w:val="left"/>
        <w:rPr/>
      </w:pPr>
      <w:r>
        <w:rPr>
          <w:rFonts w:ascii="Times New Roman;sans-serif" w:hAnsi="Times New Roman;sans-serif"/>
          <w:b w:val="false"/>
          <w:color w:val="000000"/>
          <w:sz w:val="22"/>
        </w:rPr>
        <w:t>The Optionee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form to the Company. Further, the Optionee understands and agrees that if the Optionee does not complete and return a Consent form to the Company, the Company will not be able to grant Options to the Optionee or other Grants or administer or maintain such Grants. Finally, the Optionee understands that the Company has no obligation to substitute other forms of Grants or compensation in lieu of the Options if the Optionee fails to complete and return the Consent. Therefore, the Optionee understands that refusing to complete a Consent form or withdrawing his or her consent may affect the Optionee’s ability to participate in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92" w:before="255"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3"/>
        </w:rPr>
        <w:t xml:space="preserve">The Optionee </w:t>
      </w:r>
      <w:r>
        <w:rPr>
          <w:rFonts w:ascii="Times New Roman;sans-serif" w:hAnsi="Times New Roman;sans-serif"/>
          <w:b w:val="false"/>
          <w:color w:val="000000"/>
          <w:sz w:val="22"/>
        </w:rPr>
        <w:t xml:space="preserve">is responsible for complying with any and all Russian foreign exchange control requirements in connection with the </w:t>
      </w:r>
      <w:r>
        <w:rPr>
          <w:rFonts w:ascii="Times New Roman;sans-serif" w:hAnsi="Times New Roman;sans-serif"/>
          <w:b w:val="false"/>
          <w:color w:val="000000"/>
          <w:sz w:val="23"/>
        </w:rPr>
        <w:t>Option, any s</w:t>
      </w:r>
      <w:r>
        <w:rPr>
          <w:rFonts w:ascii="Times New Roman;sans-serif" w:hAnsi="Times New Roman;sans-serif"/>
          <w:b w:val="false"/>
          <w:color w:val="000000"/>
          <w:sz w:val="22"/>
        </w:rPr>
        <w:t xml:space="preserve">hares </w:t>
      </w:r>
      <w:r>
        <w:rPr>
          <w:rFonts w:ascii="Times New Roman;sans-serif" w:hAnsi="Times New Roman;sans-serif"/>
          <w:b w:val="false"/>
          <w:color w:val="000000"/>
          <w:sz w:val="23"/>
        </w:rPr>
        <w:t xml:space="preserve">of Common Stock </w:t>
      </w:r>
      <w:r>
        <w:rPr>
          <w:rFonts w:ascii="Times New Roman;sans-serif" w:hAnsi="Times New Roman;sans-serif"/>
          <w:b w:val="false"/>
          <w:color w:val="000000"/>
          <w:sz w:val="22"/>
        </w:rPr>
        <w:t xml:space="preserve">acquired and funds remitted into Russia in connection with the Plan. This may include, in certain circumstances, reporting and repatriation requirements. The foreign exchange control rules and regulations in Russia are subject to frequent change. </w:t>
      </w:r>
      <w:r>
        <w:rPr>
          <w:rFonts w:ascii="Times New Roman;sans-serif" w:hAnsi="Times New Roman;sans-serif"/>
          <w:b w:val="false"/>
          <w:color w:val="000000"/>
          <w:sz w:val="23"/>
        </w:rPr>
        <w:t xml:space="preserve">The Optionee </w:t>
      </w:r>
      <w:r>
        <w:rPr>
          <w:rFonts w:ascii="Times New Roman;sans-serif" w:hAnsi="Times New Roman;sans-serif"/>
          <w:b w:val="false"/>
          <w:color w:val="000000"/>
          <w:sz w:val="22"/>
        </w:rPr>
        <w:t xml:space="preserve">should contact their personal advisor to determine applicability of all repatriation, remittance or other exchange control requirements to ensure compliance with all applicable exchange control requirements prior to exercise of the </w:t>
      </w:r>
      <w:r>
        <w:rPr>
          <w:rFonts w:ascii="Times New Roman;sans-serif" w:hAnsi="Times New Roman;sans-serif"/>
          <w:b w:val="false"/>
          <w:color w:val="000000"/>
          <w:sz w:val="23"/>
        </w:rPr>
        <w:t>Option and/or selling s</w:t>
      </w:r>
      <w:r>
        <w:rPr>
          <w:rFonts w:ascii="Times New Roman;sans-serif" w:hAnsi="Times New Roman;sans-serif"/>
          <w:b w:val="false"/>
          <w:color w:val="000000"/>
          <w:sz w:val="22"/>
        </w:rPr>
        <w:t xml:space="preserve">hares </w:t>
      </w:r>
      <w:r>
        <w:rPr>
          <w:rFonts w:ascii="Times New Roman;sans-serif" w:hAnsi="Times New Roman;sans-serif"/>
          <w:b w:val="false"/>
          <w:color w:val="000000"/>
          <w:sz w:val="23"/>
        </w:rPr>
        <w:t>of Common Stock</w:t>
      </w:r>
      <w:r>
        <w:rPr>
          <w:rFonts w:ascii="Times New Roman;sans-serif" w:hAnsi="Times New Roman;sans-serif"/>
          <w:b w:val="false"/>
          <w:color w:val="000000"/>
          <w:sz w:val="22"/>
        </w:rPr>
        <w:t>.</w:t>
      </w:r>
    </w:p>
    <w:p>
      <w:pPr>
        <w:pStyle w:val="TextBody"/>
        <w:bidi w:val="0"/>
        <w:spacing w:before="12" w:after="283"/>
        <w:jc w:val="left"/>
        <w:rPr/>
      </w:pPr>
      <w:r>
        <w:rPr/>
      </w:r>
    </w:p>
    <w:p>
      <w:pPr>
        <w:pStyle w:val="TextBody"/>
        <w:bidi w:val="0"/>
        <w:spacing w:lineRule="auto" w:line="276" w:before="12" w:after="283"/>
        <w:jc w:val="left"/>
        <w:rPr/>
      </w:pPr>
      <w:r>
        <w:rPr>
          <w:rFonts w:ascii="Times New Roman;sans-serif" w:hAnsi="Times New Roman;sans-serif"/>
          <w:b/>
          <w:color w:val="000000"/>
          <w:sz w:val="22"/>
        </w:rPr>
        <w:t xml:space="preserve">Labor Law Information. </w:t>
      </w:r>
      <w:r>
        <w:rPr>
          <w:rFonts w:ascii="Times New Roman;sans-serif" w:hAnsi="Times New Roman;sans-serif"/>
          <w:b w:val="false"/>
          <w:color w:val="000000"/>
          <w:sz w:val="22"/>
        </w:rPr>
        <w:t>If the Optionee continues to hold shares of Common Stock acquired at exercise of the Option after an involuntary termination of the Optionee’s employment, the Optionee will not be eligible to receive unemployment benefits in Russia.</w:t>
      </w:r>
    </w:p>
    <w:p>
      <w:pPr>
        <w:pStyle w:val="TextBody"/>
        <w:bidi w:val="0"/>
        <w:spacing w:lineRule="auto" w:line="276" w:before="236" w:after="283"/>
        <w:jc w:val="both"/>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assets (including Common Stock) transactions in offshore accounts. Non-compliance with the reporting obligations could impact the Employee’s ability to vest, receive shares of Common Stock pursuant to the Option, maintain the account outside of Russia and participate in the Plan. The Optionee should consult with their personal legal advisor to determine the applicability of these reporting requirements to any brokerage account opened in connection with participation in the Plan.</w:t>
      </w:r>
    </w:p>
    <w:p>
      <w:pPr>
        <w:pStyle w:val="TextBody"/>
        <w:bidi w:val="0"/>
        <w:spacing w:lineRule="auto" w:line="276" w:before="243" w:after="283"/>
        <w:jc w:val="left"/>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Optionee should inform the Company if the Optionee is covered by these laws because the Optionee should not hold shares of Common Stock acquired under the Plan.</w:t>
      </w:r>
    </w:p>
    <w:p>
      <w:pPr>
        <w:pStyle w:val="TextBody"/>
        <w:bidi w:val="0"/>
        <w:spacing w:lineRule="auto" w:line="271" w:before="246" w:after="283"/>
        <w:jc w:val="center"/>
        <w:rPr/>
      </w:pPr>
      <w:r>
        <w:rPr>
          <w:rFonts w:ascii="Times New Roman;sans-serif" w:hAnsi="Times New Roman;sans-serif"/>
          <w:b/>
          <w:color w:val="000000"/>
          <w:sz w:val="22"/>
          <w:u w:val="single"/>
        </w:rPr>
        <w:t>SERBIA</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9"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Pursuant to the Law on Foreign Exchange Transactions, the Optionee is permitted to acquire shares of Common Stock under the Plan and hold the shares and any proceeds from the sale of shares of Common Stock in a U.S. brokerage account or other foreign brokerage account. However, the Optionee needs permission from the National Bank of Serbia to hold any proceeds from the sale of shares of Common Stock in an offshore bank account. Because the exchange control regulations in Serbia may change without notice, the Optionee should consult with his or her personal advisor to ensure compliance with applicable exchange control laws.</w:t>
      </w:r>
    </w:p>
    <w:p>
      <w:pPr>
        <w:pStyle w:val="TextBody"/>
        <w:bidi w:val="0"/>
        <w:spacing w:lineRule="auto" w:line="271" w:before="246" w:after="283"/>
        <w:jc w:val="center"/>
        <w:rPr/>
      </w:pPr>
      <w:r>
        <w:rPr>
          <w:rFonts w:ascii="Times New Roman;sans-serif" w:hAnsi="Times New Roman;sans-serif"/>
          <w:b/>
          <w:color w:val="000000"/>
          <w:sz w:val="22"/>
          <w:u w:val="single"/>
        </w:rPr>
        <w:t>SINGAPORE</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283"/>
        <w:jc w:val="left"/>
        <w:rPr/>
      </w:pPr>
      <w:r>
        <w:rPr>
          <w:rFonts w:ascii="Times New Roman;sans-serif" w:hAnsi="Times New Roman;sans-serif"/>
          <w:b/>
          <w:color w:val="000000"/>
          <w:sz w:val="22"/>
        </w:rPr>
        <w:t xml:space="preserve">Sale Restriction. </w:t>
      </w:r>
      <w:r>
        <w:rPr>
          <w:rFonts w:ascii="Times New Roman;sans-serif" w:hAnsi="Times New Roman;sans-serif"/>
          <w:b w:val="false"/>
          <w:color w:val="000000"/>
          <w:sz w:val="22"/>
        </w:rPr>
        <w:t>The Optionee agrees that any shares of Common Stock acquired pursuant to the Option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0"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grant of the Option is being made pursuant to the “Qualifying Person” exemption under section 273(1)(f) of the SFA and is not made to the Optionee with a view to the Option being subsequently offered for sale to any other party. The Plan has not been lodged or registered as a prospectus with the Monetary Authority of Singapore.</w:t>
      </w:r>
    </w:p>
    <w:p>
      <w:pPr>
        <w:pStyle w:val="TextBody"/>
        <w:bidi w:val="0"/>
        <w:spacing w:lineRule="auto" w:line="276" w:before="240" w:after="283"/>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Options,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 xml:space="preserve">e.g., </w:t>
      </w:r>
      <w:r>
        <w:rPr>
          <w:rFonts w:ascii="Times New Roman;sans-serif" w:hAnsi="Times New Roman;sans-serif"/>
          <w:b w:val="false"/>
          <w:color w:val="000000"/>
          <w:sz w:val="22"/>
        </w:rPr>
        <w:t>when the shares of Common Stock are sold), or (iii) becoming a director, associate director or shadow director.</w:t>
      </w:r>
    </w:p>
    <w:p>
      <w:pPr>
        <w:pStyle w:val="TextBody"/>
        <w:bidi w:val="0"/>
        <w:spacing w:lineRule="auto" w:line="271" w:before="247"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6" w:after="283"/>
        <w:jc w:val="center"/>
        <w:rPr/>
      </w:pPr>
      <w:r>
        <w:rPr>
          <w:rFonts w:ascii="Times New Roman;sans-serif" w:hAnsi="Times New Roman;sans-serif"/>
          <w:b/>
          <w:color w:val="000000"/>
          <w:sz w:val="22"/>
          <w:u w:val="single"/>
        </w:rPr>
        <w:t>SLOVENIA</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1"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Optionee should consult with his or her personal tax advisor to determine whether this requirement will be applicable to any accounts opened in connection with the Optionee’s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Optionee’s brokerage account with the Company’s designated broker).</w:t>
      </w:r>
    </w:p>
    <w:p>
      <w:pPr>
        <w:pStyle w:val="TextBody"/>
        <w:bidi w:val="0"/>
        <w:spacing w:lineRule="auto" w:line="271" w:before="242"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283"/>
        <w:jc w:val="left"/>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In compliance with South African Securities Law, the documents listed below are available for the Optionee’s review on the Company's public site or intranet site, as applicable, as listed below:</w:t>
      </w:r>
    </w:p>
    <w:p>
      <w:pPr>
        <w:pStyle w:val="TextBody"/>
        <w:bidi w:val="0"/>
        <w:spacing w:lineRule="auto" w:line="276" w:before="270" w:after="283"/>
        <w:ind w:left="0" w:right="0" w:hanging="288"/>
        <w:jc w:val="left"/>
        <w:rPr/>
      </w:pPr>
      <w:r>
        <w:rPr>
          <w:rFonts w:ascii="Times New Roman;sans-serif" w:hAnsi="Times New Roman;sans-serif"/>
          <w:b w:val="false"/>
          <w:color w:val="000000"/>
          <w:sz w:val="22"/>
        </w:rPr>
        <w:t>1.The Company’s most recent Annual Report (Form 10-K): from the investor relations section of the Company's website at</w:t>
      </w:r>
      <w:r>
        <w:rPr>
          <w:color w:val="0000FF"/>
          <w:u w:val="single"/>
        </w:rPr>
        <w:t xml:space="preserve"> </w:t>
      </w:r>
      <w:r>
        <w:rPr>
          <w:rFonts w:ascii="Times New Roman;sans-serif" w:hAnsi="Times New Roman;sans-serif"/>
          <w:b w:val="false"/>
          <w:color w:val="0000FF"/>
          <w:sz w:val="22"/>
          <w:u w:val="single"/>
        </w:rPr>
        <w:t>http://www.mondelezinternational.com/investors.</w:t>
      </w:r>
      <w:r>
        <w:rPr>
          <w:color w:val="0000FF"/>
        </w:rPr>
        <w:t xml:space="preserve"> </w:t>
      </w:r>
    </w:p>
    <w:p>
      <w:pPr>
        <w:pStyle w:val="TextBody"/>
        <w:bidi w:val="0"/>
        <w:spacing w:lineRule="auto" w:line="276" w:before="269" w:after="283"/>
        <w:ind w:left="0" w:right="0" w:hanging="288"/>
        <w:jc w:val="left"/>
        <w:rPr/>
      </w:pPr>
      <w:r>
        <w:rPr>
          <w:rFonts w:ascii="Times New Roman;sans-serif" w:hAnsi="Times New Roman;sans-serif"/>
          <w:b w:val="false"/>
          <w:color w:val="000000"/>
          <w:sz w:val="22"/>
        </w:rPr>
        <w:t xml:space="preserve">2.The Company’s most recent Plan prospectus: a copy of which can be found on the Company’s Intranet site located at: </w:t>
      </w:r>
      <w:r>
        <w:rPr>
          <w:rFonts w:ascii="Times New Roman;sans-serif" w:hAnsi="Times New Roman;sans-serif"/>
          <w:b w:val="false"/>
          <w:color w:val="0000FF"/>
          <w:sz w:val="22"/>
          <w:u w:val="single"/>
        </w:rPr>
        <w:t>https://intranet.mdlz.com/sites/globalhr/comp/Pages/Legal-Documents.aspx.</w:t>
      </w:r>
      <w:r>
        <w:rPr>
          <w:color w:val="000000"/>
        </w:rPr>
        <w:t xml:space="preserve"> </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pStyle w:val="TextBody"/>
        <w:bidi w:val="0"/>
        <w:spacing w:lineRule="auto" w:line="276" w:before="241" w:after="283"/>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The following provision supplements paragraph 4 of the Agreement:</w:t>
      </w:r>
    </w:p>
    <w:p>
      <w:pPr>
        <w:pStyle w:val="TextBody"/>
        <w:bidi w:val="0"/>
        <w:spacing w:lineRule="auto" w:line="276" w:before="235"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accepting the Option, the Optionee understands and acknowledges that he or she is required to notify the Employer of the amount of any gain realized upon exercise of the Option.</w:t>
      </w:r>
    </w:p>
    <w:p>
      <w:pPr>
        <w:pStyle w:val="TextBody"/>
        <w:bidi w:val="0"/>
        <w:spacing w:lineRule="auto" w:line="276" w:before="232" w:after="283"/>
        <w:jc w:val="left"/>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 xml:space="preserve">The Optionee is solely responsible for complying with applicable South African exchange control regulations. In particular, the Optionee may be required to obtain approval from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South African Reserve Bank for payments (including shares of Common Stock received pursuant to the Plan) that the Optionee receives into accounts based outside of South Africa (e.g., a U.S. brokerage account). Since the exchange control regulations change frequently and without notice, the Optionee should consult his or her legal advisor prior to the acquisition or sale of the shares of Common Stock under the Plan to ensure compliance with current regulations. As noted, it is the Optionee’s responsibility to comply with South African exchange control laws, and neither the Company nor the Employer will be liable for any fines or penalties resulting from failure to comply with applicable laws.</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7" w:after="283"/>
        <w:jc w:val="left"/>
        <w:rPr/>
      </w:pPr>
      <w:r>
        <w:rPr>
          <w:rFonts w:ascii="Times New Roman;sans-serif" w:hAnsi="Times New Roman;sans-serif"/>
          <w:b/>
          <w:color w:val="000000"/>
          <w:sz w:val="22"/>
        </w:rPr>
        <w:t xml:space="preserve">Tax Clearance Certificate for Cash Exercises. </w:t>
      </w:r>
      <w:r>
        <w:rPr>
          <w:rFonts w:ascii="Times New Roman;sans-serif" w:hAnsi="Times New Roman;sans-serif"/>
          <w:b w:val="false"/>
          <w:color w:val="000000"/>
          <w:sz w:val="22"/>
        </w:rPr>
        <w:t>If the Optionee exercises the Option by a cash purchase exercise, the Optionee is required to obtain and provide to the Employer, or any third party designated by the Employer or the Company, a Tax Clearance Certificate (with respect to Foreign Investments) bearing the official stamp and signature of the Exchange Control Department of the South African Revenue Service (“</w:t>
      </w:r>
      <w:r>
        <w:rPr>
          <w:rFonts w:ascii="Times New Roman;sans-serif" w:hAnsi="Times New Roman;sans-serif"/>
          <w:b w:val="false"/>
          <w:color w:val="000000"/>
          <w:sz w:val="22"/>
          <w:u w:val="single"/>
        </w:rPr>
        <w:t>SARS</w:t>
      </w:r>
      <w:r>
        <w:rPr>
          <w:color w:val="000000"/>
        </w:rPr>
        <w:t>”</w:t>
      </w:r>
      <w:r>
        <w:rPr>
          <w:rFonts w:ascii="Times New Roman;sans-serif" w:hAnsi="Times New Roman;sans-serif"/>
          <w:b w:val="false"/>
          <w:color w:val="000000"/>
          <w:sz w:val="22"/>
        </w:rPr>
        <w:t>). The Optionee must renew this Tax Clearance Certificate each twelve (12) months or in such other period as may be required by the SARS.</w:t>
      </w:r>
    </w:p>
    <w:p>
      <w:pPr>
        <w:pStyle w:val="TextBody"/>
        <w:bidi w:val="0"/>
        <w:spacing w:lineRule="auto" w:line="276" w:before="238"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the Optionee exercises the Option by a cashless exercise whereby no funds are remitted offshore for the purchase of shares, he or she is not required to obtain a Tax Clearance Certificate.</w:t>
      </w:r>
    </w:p>
    <w:p>
      <w:pPr>
        <w:pStyle w:val="TextBody"/>
        <w:bidi w:val="0"/>
        <w:spacing w:lineRule="auto" w:line="276" w:before="244"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Under current South African exchange control policy, if the Optionee is a South African resident, he or she may invest a maximum of ZAR11,000,000 per annum in offshore investments, including in shares of Common Stock. The first ZAR1,000,000 annual discretionary allowance requires no prior authorization. The next ZAR10,000,000 requires tax clearance. This limit does not apply to non-resident employees. It is the Optionee’s responsibility to ensure that he or she does not exceed this limit and obtains the necessary tax clearance for remittances exceeding ZAR1,000,000. This limit is a cumulative allowance; therefore, the Optionee’s ability to remit funds for the exercise of an Option will be reduced if the Optionee’s foreign investment limit is utilized to make a transfer of funds offshore that is unrelated to the Option. If the ZAR11,000,000 limit will be exceeded as a result of an Option exercise, the Optionee may still exercise the Option and participate in the Plan, however the Optionee will be required to immediately sell the shares of Common Stock underlying the exercised Option and repatriate the proceeds to South Africa. If the ZAR11,000,000 limit is not exceeded, the Optionee will not be required to immediately repatriate the sale proceeds to South Africa.</w:t>
      </w:r>
    </w:p>
    <w:p>
      <w:pPr>
        <w:pStyle w:val="TextBody"/>
        <w:bidi w:val="0"/>
        <w:spacing w:lineRule="auto" w:line="271" w:before="242"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 xml:space="preserve">Domestic Broker Requirement for Selling Shares. </w:t>
      </w:r>
      <w:r>
        <w:rPr>
          <w:rFonts w:ascii="Times New Roman;sans-serif" w:hAnsi="Times New Roman;sans-serif"/>
          <w:b w:val="false"/>
          <w:color w:val="000000"/>
          <w:sz w:val="22"/>
        </w:rPr>
        <w:t>Residents of South Korea are not permitted to sell foreign securities (such as shares of Common Stock acquired under the Plan) through non-Korean brokers (such as Morgan Stanley Smith Barney, LLC) or deposit funds resulting from the sale of shares of Common Stock in an account with an overseas financial institution. If the Optionee wishes to sell shares of Common Stock acquired under the Plan, the Optionee is required to personally transfer the shares of Common Stock receive pursuant to the Plan to a domestic investment broker in South Korea and to effect the sale through such broker. The Optionee is solely responsible for (a) establishing and maintaining the Optionee’s local brokerage account with a domestic broker in South Korea, and (b) all costs, fees and expenses associated with the establishment and maintenance of the Optionee’s local brokerage account with the domestic broker in South Korea. The Optionee’s non-compliance with the requirement to sell Shares through a domestic broker in South Korea can result in significant penalties.</w:t>
      </w:r>
    </w:p>
    <w:p>
      <w:pPr>
        <w:pStyle w:val="TextBody"/>
        <w:bidi w:val="0"/>
        <w:spacing w:lineRule="auto" w:line="271" w:before="242" w:after="946"/>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0"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Optionee remits funds out of South Korea to pay the Grant Price for Options, the remittance of funds must be confirmed by a foreign exchange bank in South Korea. This confirmation is not necessary if the Optionee pays the Grant Price through an arrangement with a broker approved by the Company whereby payment of the Grant Price is accomplished with the proceeds of the sale of shares of Common Stock, because in this case there is no remittance of funds out of South Korea.</w:t>
      </w:r>
    </w:p>
    <w:p>
      <w:pPr>
        <w:pStyle w:val="TextBody"/>
        <w:bidi w:val="0"/>
        <w:spacing w:lineRule="auto" w:line="276" w:before="238"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KRW 500 million (or an equivalent amount in foreign currency) on any month-end date during a calendar year. The Optionee should consult with his or her personal tax advisor to determine how to value the</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Optionee’s foreign accounts for purposes of this reporting requirement and whether the Optionee is required to file a report with respect to such accounts.</w:t>
      </w:r>
    </w:p>
    <w:p>
      <w:pPr>
        <w:pStyle w:val="TextBody"/>
        <w:bidi w:val="0"/>
        <w:spacing w:lineRule="auto" w:line="271" w:before="247" w:after="283"/>
        <w:jc w:val="center"/>
        <w:rPr/>
      </w:pPr>
      <w:r>
        <w:rPr>
          <w:rFonts w:ascii="Times New Roman;sans-serif" w:hAnsi="Times New Roman;sans-serif"/>
          <w:b/>
          <w:color w:val="000000"/>
          <w:sz w:val="22"/>
          <w:u w:val="single"/>
        </w:rPr>
        <w:t>SPAIN</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2" w:after="283"/>
        <w:jc w:val="left"/>
        <w:rPr/>
      </w:pPr>
      <w:r>
        <w:rPr>
          <w:rFonts w:ascii="Times New Roman;sans-serif" w:hAnsi="Times New Roman;sans-serif"/>
          <w:b/>
          <w:color w:val="000000"/>
          <w:sz w:val="22"/>
        </w:rPr>
        <w:t xml:space="preserve">Nature of Grant. </w:t>
      </w:r>
      <w:r>
        <w:rPr>
          <w:rFonts w:ascii="Times New Roman;sans-serif" w:hAnsi="Times New Roman;sans-serif"/>
          <w:b w:val="false"/>
          <w:color w:val="000000"/>
          <w:sz w:val="22"/>
        </w:rPr>
        <w:t>The following provision supplements paragraph 12 of the Agreement:</w:t>
      </w:r>
    </w:p>
    <w:p>
      <w:pPr>
        <w:pStyle w:val="TextBody"/>
        <w:bidi w:val="0"/>
        <w:spacing w:lineRule="auto" w:line="283" w:before="228"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accepting the Option, the Optionee consents to participation in the Plan and acknowledges that he or she has received a copy of the Plan.</w: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understands and agrees that, as a condition of the grant of the Option, except as provided for in paragraph 2 of the Agreement, the termination of the Optionee’s employment for any reason (including for the reasons listed below) will automatically result in the loss of the Option that may have been granted to the Optionee and that have not vested on the date of termination.</w:t>
      </w:r>
    </w:p>
    <w:p>
      <w:pPr>
        <w:pStyle w:val="TextBody"/>
        <w:bidi w:val="0"/>
        <w:spacing w:lineRule="auto" w:line="276" w:before="239" w:after="283"/>
        <w:jc w:val="left"/>
        <w:rPr/>
      </w:pPr>
      <w:r>
        <w:rPr>
          <w:rFonts w:ascii="Times New Roman;sans-serif" w:hAnsi="Times New Roman;sans-serif"/>
          <w:b w:val="false"/>
          <w:color w:val="000000"/>
          <w:sz w:val="22"/>
        </w:rPr>
        <w:t>In particular, the Optionee understands and agrees that any unvested Option as of Optionee’s termination date and any vested Option not exercised within the period set forth in the Agreement following Optionee’s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subject to a “</w:t>
      </w:r>
      <w:r>
        <w:rPr>
          <w:rFonts w:ascii="Times New Roman;sans-serif" w:hAnsi="Times New Roman;sans-serif"/>
          <w:b w:val="false"/>
          <w:i/>
          <w:color w:val="000000"/>
          <w:sz w:val="22"/>
        </w:rPr>
        <w:t>despido improcedente</w:t>
      </w:r>
      <w:r>
        <w:rPr>
          <w:color w:val="000000"/>
        </w:rPr>
        <w:t>”</w:t>
      </w:r>
      <w:r>
        <w:rPr>
          <w:rFonts w:ascii="Times New Roman;sans-serif" w:hAnsi="Times New Roman;sans-serif"/>
          <w:b w:val="false"/>
          <w:color w:val="000000"/>
          <w:sz w:val="22"/>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pStyle w:val="TextBody"/>
        <w:bidi w:val="0"/>
        <w:spacing w:lineRule="auto" w:line="276" w:before="238"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Furthermore, the Optionee understands that the Company has unilaterally, gratuitously and discretionally decided to grant the Option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Optionee understands that the Option is granted on the assumption and condition that the Option and the shares of Common Stock issued upon exercise shall not become a part of any employment or contract (with the Mondelēz Group, including the Employer) and shall not be considered a mandatory benefit, salary for any purposes (including severance compensation) or any other right whatsoever. Furthermore, the Optionee understands and freely accepts that there is no guarantee that any benefit whatsoever will arise from the Option, which is gratuitous and discretionary, since the future value of the Option and the underlying shares of Common Stock is unknown and unpredictable. In addition, the Optionee understands that the grant of the Option would not be made to the Optionee but for the assumptions and conditions referred to above; thus, the Optionee acknowledges and freely accepts that should any or all of the assumptions be mistaken or should any of the conditions not be met for any reason, then any grant to the Optionee of the Option shall be null and void.</w:t>
      </w:r>
    </w:p>
    <w:p>
      <w:pPr>
        <w:pStyle w:val="TextBody"/>
        <w:bidi w:val="0"/>
        <w:spacing w:lineRule="auto" w:line="271" w:before="242"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bidi w:val="0"/>
        <w:spacing w:lineRule="auto" w:line="276" w:before="241"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If the Optionee holds 10% or more of the Company’s share capital, the Optionee must declare the acquisition, ownership and disposition of shares of Common Stock to the Spanish </w:t>
      </w:r>
      <w:r>
        <w:rPr>
          <w:rFonts w:ascii="Times New Roman;sans-serif" w:hAnsi="Times New Roman;sans-serif"/>
          <w:b w:val="false"/>
          <w:i/>
          <w:color w:val="000000"/>
          <w:sz w:val="22"/>
        </w:rPr>
        <w:t xml:space="preserve">Dirección General de Comercio e Inversiones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DGCI</w:t>
      </w:r>
      <w:r>
        <w:rPr>
          <w:color w:val="000000"/>
        </w:rPr>
        <w:t>”</w:t>
      </w:r>
      <w:r>
        <w:rPr>
          <w:rFonts w:ascii="Times New Roman;sans-serif" w:hAnsi="Times New Roman;sans-serif"/>
          <w:b w:val="false"/>
          <w:color w:val="000000"/>
          <w:sz w:val="22"/>
        </w:rPr>
        <w:t>) of the Ministry of Economy and Competitiveness. The declaration (via Form 6) must be made in January for shares of Common Stock acquired or disposed of during the prior calendar year and/or for shares of Common Stock owned as of December 31 of the prior calendar year; provided, if the value of the shares of Common Stock acquired or sold exceeds €1,502,530, the declaration must be filed within one month of the acquisition or disposition of the shares of Common Stock, as applicable.</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Optionee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Optionee by the Company) depending on the value of such accounts and instruments and the amount of the transactions during the relevant year as of December 31 of the relevant year.</w:t>
      </w:r>
    </w:p>
    <w:p>
      <w:pPr>
        <w:pStyle w:val="TextBody"/>
        <w:bidi w:val="0"/>
        <w:spacing w:lineRule="auto" w:line="276" w:before="240" w:after="283"/>
        <w:jc w:val="left"/>
        <w:rPr/>
      </w:pPr>
      <w:r>
        <w:rPr>
          <w:rFonts w:ascii="Times New Roman;sans-serif" w:hAnsi="Times New Roman;sans-serif"/>
          <w:b/>
          <w:color w:val="000000"/>
          <w:sz w:val="22"/>
        </w:rPr>
        <w:t xml:space="preserve">Foreign Asset/Accounting Reporting Information. </w:t>
      </w:r>
      <w:r>
        <w:rPr>
          <w:rFonts w:ascii="Times New Roman;sans-serif" w:hAnsi="Times New Roman;sans-serif"/>
          <w:b w:val="false"/>
          <w:color w:val="000000"/>
          <w:sz w:val="22"/>
        </w:rPr>
        <w:t>If the Optionee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cash, etc.) as of December 31 each year, the Optionee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Optionee should consult his or her personal tax advisor for details regarding this requirement.</w:t>
      </w:r>
    </w:p>
    <w:p>
      <w:pPr>
        <w:pStyle w:val="TextBody"/>
        <w:bidi w:val="0"/>
        <w:spacing w:lineRule="auto" w:line="271" w:before="246" w:after="283"/>
        <w:jc w:val="center"/>
        <w:rPr/>
      </w:pPr>
      <w:r>
        <w:rPr>
          <w:rFonts w:ascii="Times New Roman;sans-serif" w:hAnsi="Times New Roman;sans-serif"/>
          <w:b/>
          <w:color w:val="000000"/>
          <w:sz w:val="22"/>
          <w:u w:val="single"/>
        </w:rPr>
        <w:t>SWAZILAND</w:t>
      </w:r>
      <w:r>
        <w:rPr>
          <w:color w:val="000000"/>
        </w:rPr>
        <w:t xml:space="preserve"> </w: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6" w:after="283"/>
        <w:jc w:val="center"/>
        <w:rPr/>
      </w:pPr>
      <w:r>
        <w:rPr>
          <w:rFonts w:ascii="Times New Roman;sans-serif" w:hAnsi="Times New Roman;sans-serif"/>
          <w:b/>
          <w:color w:val="000000"/>
          <w:sz w:val="22"/>
          <w:u w:val="single"/>
        </w:rPr>
        <w:t>SWEDEN</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2" w:after="283"/>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The following provision supplements paragraph 4 of the Agreement:</w:t>
      </w:r>
    </w:p>
    <w:p>
      <w:pPr>
        <w:pStyle w:val="TextBody"/>
        <w:bidi w:val="0"/>
        <w:spacing w:lineRule="auto" w:line="276" w:before="233"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4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pStyle w:val="TextBody"/>
        <w:bidi w:val="0"/>
        <w:spacing w:lineRule="auto" w:line="271" w:before="246" w:after="283"/>
        <w:jc w:val="center"/>
        <w:rPr/>
      </w:pPr>
      <w:r>
        <w:rPr>
          <w:rFonts w:ascii="Times New Roman;sans-serif" w:hAnsi="Times New Roman;sans-serif"/>
          <w:b/>
          <w:color w:val="000000"/>
          <w:sz w:val="22"/>
          <w:u w:val="single"/>
        </w:rPr>
        <w:t>SWITZERLAND</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2"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Neither this document nor any other materials relating to the Option (i) constitutes a prospectus according to articles 35 et seq. of the Swiss Federal Act on Financial Services (“FinSA”), (ii) may be publicly distributed or otherwise made publicly available in Switzerland to any person other than an employee of the Mondelēz Group, or (iii) has been or will be filed with, approved or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supervised by any Swiss reviewing body according to article 51 FinSA or any Swiss regulatory authority, including the Swiss Financial Market Supervisory Authority.</w:t>
      </w:r>
    </w:p>
    <w:p>
      <w:pPr>
        <w:pStyle w:val="TextBody"/>
        <w:bidi w:val="0"/>
        <w:spacing w:lineRule="auto" w:line="271" w:before="242" w:after="283"/>
        <w:jc w:val="center"/>
        <w:rPr/>
      </w:pPr>
      <w:r>
        <w:rPr>
          <w:rFonts w:ascii="Times New Roman;sans-serif" w:hAnsi="Times New Roman;sans-serif"/>
          <w:b/>
          <w:color w:val="000000"/>
          <w:sz w:val="22"/>
          <w:u w:val="single"/>
        </w:rPr>
        <w:t>TAIWAN</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1" w:after="283"/>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Optionee hereby acknowledges that he or she has read and understood the terms regarding collection, processing and transfer of Data contained in paragraph 13 of the Agreement and by participating in the Plan, the Optionee agrees to such terms. In this regard, upon request of the Company or the Employer, the Optionee agrees to provide an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pStyle w:val="TextBody"/>
        <w:bidi w:val="0"/>
        <w:spacing w:lineRule="auto" w:line="271" w:before="242"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Option and the shares of Common Stock to be issued pursuant to the Plan are available only to employees of the Mondelēz Group. The grant of the Option does not constitute a public offer of securities.</w:t>
      </w:r>
    </w:p>
    <w:p>
      <w:pPr>
        <w:pStyle w:val="TextBody"/>
        <w:bidi w:val="0"/>
        <w:spacing w:lineRule="auto" w:line="276" w:before="244"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Optionee may acquire and remit foreign currency (including the Grant Price, proceeds from the sale of shares of Common Stock) into and out of Taiwan up to US$5,000,000 per year. If the transaction amount is TWD$500,000 or more in a single transaction, the Optionee must submit a foreign exchange transaction form and also provide supporting documentation to the satisfaction of the remitting bank. The Optionee should consult his or her personal advisor to ensure compliance with applicable exchange control laws in Taiwan.</w:t>
      </w:r>
    </w:p>
    <w:p>
      <w:pPr>
        <w:pStyle w:val="TextBody"/>
        <w:bidi w:val="0"/>
        <w:spacing w:lineRule="auto" w:line="271" w:before="241" w:after="283"/>
        <w:jc w:val="center"/>
        <w:rPr/>
      </w:pPr>
      <w:r>
        <w:rPr>
          <w:rFonts w:ascii="Times New Roman;sans-serif" w:hAnsi="Times New Roman;sans-serif"/>
          <w:b/>
          <w:color w:val="000000"/>
          <w:sz w:val="22"/>
          <w:u w:val="single"/>
        </w:rPr>
        <w:t>THAILAND</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9" w:after="283"/>
        <w:jc w:val="left"/>
        <w:rPr/>
      </w:pPr>
      <w:r>
        <w:rPr>
          <w:rFonts w:ascii="Times New Roman;sans-serif" w:hAnsi="Times New Roman;sans-serif"/>
          <w:b/>
          <w:color w:val="000000"/>
          <w:sz w:val="22"/>
        </w:rPr>
        <w:t>Cashless Exercise Restriction</w:t>
      </w:r>
      <w:r>
        <w:rPr>
          <w:rFonts w:ascii="Times New Roman;sans-serif" w:hAnsi="Times New Roman;sans-serif"/>
          <w:b w:val="false"/>
          <w:color w:val="000000"/>
          <w:sz w:val="22"/>
        </w:rPr>
        <w:t>. Notwithstanding anything to the contrary in the Agreement, due to regulatory requirements in Thailand,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in accordance with any applicable laws and regulations. The Company reserves the right to provide the Optionee with additional methods of exercise depending on the development of local law.</w:t>
      </w:r>
    </w:p>
    <w:p>
      <w:pPr>
        <w:pStyle w:val="TextBody"/>
        <w:bidi w:val="0"/>
        <w:spacing w:before="14" w:after="283"/>
        <w:jc w:val="left"/>
        <w:rPr/>
      </w:pPr>
      <w:r>
        <w:rPr/>
      </w:r>
    </w:p>
    <w:p>
      <w:pPr>
        <w:pStyle w:val="TextBody"/>
        <w:bidi w:val="0"/>
        <w:spacing w:lineRule="auto" w:line="271" w:before="14"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3"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proceeds from the sale of shares of Common Stock are equal to or greater than US$1,000,000 in a single transaction, the Optionee must repatriate all cash proceeds to Thailand immediately following the receipt of the cash proceeds and then either convert such proceeds to Thai Baht or deposit the proceeds into a foreign currency account opened with a commercial bank in Thailand within 360 days of repatriation. In addition, the Optionee must provide details of the transaction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identification information and purposes of the transaction) to the receiving bank. If the Optionee fails to comply with these obligations, the Optionee may be subject to penalties assessed by the Bank of Thailand.</w: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Optionee should consult his or her personal advisor prior to taking any action with respect to remittance of proceeds from the sale of shares of Common Stock into Thailand. The Optionee is responsible for ensuring compliance with all exchange control laws in Thailand.</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247" w:after="283"/>
        <w:jc w:val="center"/>
        <w:rPr/>
      </w:pPr>
      <w:r>
        <w:rPr>
          <w:rFonts w:ascii="Times New Roman;sans-serif" w:hAnsi="Times New Roman;sans-serif"/>
          <w:b/>
          <w:color w:val="000000"/>
          <w:sz w:val="22"/>
          <w:u w:val="single"/>
        </w:rPr>
        <w:t>TÜRKIYE</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Optionee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bidi w:val="0"/>
        <w:spacing w:lineRule="auto" w:line="276" w:before="233"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Optionee may be required to engage a Turkish financial intermediary to assist with the cash exercise of an Option or the sale of shares of Common Stock acquired under the Plan. To the extent a Turkish financial intermediary is required in connection with the Option exercise or the sale of any shares of Common Stock acquired upon exercise of the Option, the Optionee is solely responsible for engaging such Turkish financial intermediary. The Optionee should consult his or her personal legal advisor prior to the exercise of Options or any sale of shares of Common Stock to ensure compliance with the current requirements.</w:t>
      </w:r>
    </w:p>
    <w:p>
      <w:pPr>
        <w:pStyle w:val="TextBody"/>
        <w:bidi w:val="0"/>
        <w:spacing w:lineRule="auto" w:line="271" w:before="247"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Participation in the Plan is being offered only to selected Optionees and is in the nature of providing equity incentives to Optionees in the United Arab Emirates. The Plan and the Agreement are intended for distribution only to such Optionees and must not be delivered to, or relied on by, any other person. Prospective purchasers of the securities offered should conduct their own due diligence on the securities.</w: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the Optionee does not understand the contents of the Plan and the Agreement, the Optionee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pStyle w:val="TextBody"/>
        <w:bidi w:val="0"/>
        <w:spacing w:before="14" w:after="283"/>
        <w:jc w:val="center"/>
        <w:rPr/>
      </w:pPr>
      <w:r>
        <w:rPr/>
      </w:r>
    </w:p>
    <w:p>
      <w:pPr>
        <w:pStyle w:val="TextBody"/>
        <w:bidi w:val="0"/>
        <w:spacing w:lineRule="auto" w:line="271" w:before="14"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 xml:space="preserve">Miscellaneous Definitions. </w:t>
      </w:r>
      <w:r>
        <w:rPr>
          <w:rFonts w:ascii="Times New Roman;sans-serif" w:hAnsi="Times New Roman;sans-serif"/>
          <w:b w:val="false"/>
          <w:color w:val="000000"/>
          <w:sz w:val="22"/>
        </w:rPr>
        <w:t>The following provision replaces paragraph 15 of the Agreement:</w:t>
      </w:r>
    </w:p>
    <w:p>
      <w:pPr>
        <w:pStyle w:val="TextBody"/>
        <w:bidi w:val="0"/>
        <w:spacing w:lineRule="auto" w:line="276" w:before="235" w:after="283"/>
        <w:jc w:val="left"/>
        <w:rPr/>
      </w:pPr>
      <w:r>
        <w:rPr>
          <w:rFonts w:ascii="Times New Roman;sans-serif" w:hAnsi="Times New Roman;sans-serif"/>
          <w:b w:val="false"/>
          <w:color w:val="000000"/>
          <w:sz w:val="22"/>
        </w:rPr>
        <w:t>For the purposes of this Agreement,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w:t>
      </w:r>
    </w:p>
    <w:p>
      <w:pPr>
        <w:pStyle w:val="TextBody"/>
        <w:bidi w:val="0"/>
        <w:spacing w:lineRule="auto" w:line="276" w:before="242" w:after="283"/>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The following provision supplements paragraph 4 of the Agreement:</w:t>
      </w:r>
    </w:p>
    <w:p>
      <w:pPr>
        <w:pStyle w:val="TextBody"/>
        <w:bidi w:val="0"/>
        <w:spacing w:lineRule="auto" w:line="276" w:before="233" w:after="283"/>
        <w:jc w:val="left"/>
        <w:rPr/>
      </w:pPr>
      <w:r>
        <w:rPr>
          <w:rFonts w:ascii="Times New Roman;sans-serif" w:hAnsi="Times New Roman;sans-serif"/>
          <w:b w:val="false"/>
          <w:color w:val="000000"/>
          <w:sz w:val="22"/>
        </w:rPr>
        <w:t>Without limitation to paragraph 4 of the Agreement, the Optionee hereby agrees that he or she is liable for all Tax-Related Items and hereby covenants to pay all such Tax-Related Items, as and when requested by the Company or the Employer, as applicable, or by HM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Optionee also hereby agrees to indemnify and keep indemnified the Company and the Employer, as applicable, against any Tax-Related Items that they are required to pay or withhold or have paid or will pay to HMRC (or any other tax authority or any other relevant authority) on the Optionee’s behalf.</w:t>
      </w:r>
    </w:p>
    <w:p>
      <w:pPr>
        <w:pStyle w:val="TextBody"/>
        <w:bidi w:val="0"/>
        <w:spacing w:lineRule="auto" w:line="276" w:before="228"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foregoing, if the Optionee is a director or executive officer of the Company (within the meaning of Section 13(k) of the Exchange Act), the Optionee understands that he or she may not be able to indemnify the Company for the amount of any Tax-Related Items not collected from or paid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2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28" w:after="283"/>
        <w:jc w:val="left"/>
        <w:rPr>
          <w:rFonts w:ascii="Times New Roman;sans-serif" w:hAnsi="Times New Roman;sans-serif"/>
          <w:b w:val="false"/>
          <w:color w:val="000000"/>
          <w:sz w:val="22"/>
        </w:rPr>
      </w:pPr>
      <w:r>
        <w:rPr>
          <w:rFonts w:ascii="Times New Roman;sans-serif" w:hAnsi="Times New Roman;sans-serif"/>
          <w:b w:val="false"/>
          <w:color w:val="000000"/>
          <w:sz w:val="22"/>
        </w:rPr>
        <w:t>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Optionee by any of the means referred to in paragraph 4 of the Agreement.</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Optionee agrees that the Company and/or the Employer may calculate the Tax-Related Items to be withheld and accounted for by reference to the maximum applicable rates, without prejudice to any right the Optionee may have to recover any overpayment from the relevant tax authorities.</w:t>
      </w:r>
    </w:p>
    <w:p>
      <w:pPr>
        <w:pStyle w:val="TextBody"/>
        <w:bidi w:val="0"/>
        <w:spacing w:lineRule="auto" w:line="271" w:before="246"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STATES</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26" w:after="283"/>
        <w:jc w:val="left"/>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13 of the Agreement:</w:t>
      </w:r>
    </w:p>
    <w:p>
      <w:pPr>
        <w:pStyle w:val="TextBody"/>
        <w:bidi w:val="0"/>
        <w:spacing w:lineRule="auto" w:line="276" w:before="254"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does not sell the Optionee's Personal Data or share it for cross-context behavioral advertising. If the Optionee would like a copy of the Company’s privacy policy, please contact a local human resources representative.</w:t>
      </w:r>
    </w:p>
    <w:p>
      <w:pPr>
        <w:pStyle w:val="TextBody"/>
        <w:bidi w:val="0"/>
        <w:spacing w:lineRule="auto" w:line="271" w:before="242"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0" w:after="283"/>
        <w:jc w:val="left"/>
        <w:rPr/>
      </w:pPr>
      <w:r>
        <w:rPr>
          <w:rFonts w:ascii="Times New Roman;sans-serif" w:hAnsi="Times New Roman;sans-serif"/>
          <w:b/>
          <w:color w:val="000000"/>
          <w:sz w:val="22"/>
        </w:rPr>
        <w:t xml:space="preserve">Tax Information. </w:t>
      </w:r>
      <w:r>
        <w:rPr>
          <w:rFonts w:ascii="Times New Roman;sans-serif" w:hAnsi="Times New Roman;sans-serif"/>
          <w:b w:val="false"/>
          <w:color w:val="000000"/>
          <w:sz w:val="22"/>
        </w:rPr>
        <w:t xml:space="preserve">The Option is </w:t>
      </w:r>
      <w:r>
        <w:rPr>
          <w:rFonts w:ascii="Times New Roman;sans-serif" w:hAnsi="Times New Roman;sans-serif"/>
          <w:b w:val="false"/>
          <w:color w:val="000000"/>
          <w:sz w:val="22"/>
          <w:u w:val="single"/>
        </w:rPr>
        <w:t>not</w:t>
      </w:r>
      <w:r>
        <w:rPr>
          <w:color w:val="000000"/>
        </w:rPr>
        <w:t xml:space="preserve"> </w:t>
      </w:r>
      <w:r>
        <w:rPr>
          <w:rFonts w:ascii="Times New Roman;sans-serif" w:hAnsi="Times New Roman;sans-serif"/>
          <w:b w:val="false"/>
          <w:color w:val="000000"/>
          <w:sz w:val="22"/>
        </w:rPr>
        <w:t>an incentive stock option within the meaning of the Code.</w:t>
      </w:r>
    </w:p>
    <w:p>
      <w:pPr>
        <w:pStyle w:val="TextBody"/>
        <w:bidi w:val="0"/>
        <w:spacing w:lineRule="auto" w:line="276" w:before="236" w:after="283"/>
        <w:jc w:val="left"/>
        <w:rPr/>
      </w:pPr>
      <w:r>
        <w:rPr>
          <w:rFonts w:ascii="Times New Roman;sans-serif" w:hAnsi="Times New Roman;sans-serif"/>
          <w:b/>
          <w:color w:val="000000"/>
          <w:sz w:val="22"/>
        </w:rPr>
        <w:t xml:space="preserve">Foreign Asset/Accounting Reporting Information. </w:t>
      </w:r>
      <w:r>
        <w:rPr>
          <w:rFonts w:ascii="Times New Roman;sans-serif" w:hAnsi="Times New Roman;sans-serif"/>
          <w:b w:val="false"/>
          <w:color w:val="000000"/>
          <w:sz w:val="22"/>
        </w:rPr>
        <w:t>If the Optionee holds assets (</w:t>
      </w:r>
      <w:r>
        <w:rPr>
          <w:rFonts w:ascii="Times New Roman;sans-serif" w:hAnsi="Times New Roman;sans-serif"/>
          <w:b w:val="false"/>
          <w:i/>
          <w:color w:val="000000"/>
          <w:sz w:val="22"/>
        </w:rPr>
        <w:t>i.e</w:t>
      </w:r>
      <w:r>
        <w:rPr>
          <w:rFonts w:ascii="Times New Roman;sans-serif" w:hAnsi="Times New Roman;sans-serif"/>
          <w:b w:val="false"/>
          <w:color w:val="000000"/>
          <w:sz w:val="22"/>
        </w:rPr>
        <w:t>., Option or Common Stock) or other financial assets in an account outside the United States and the aggregate amount of said assets is US$10,000 or more, the Optionee is required to submit a report of Foreign Bank and Financial Account with the United States Internal Revenue Service by June 30 of the year following the year in which the assets in the Optionee’s account meet the US$10,000 threshold.</w:t>
      </w:r>
    </w:p>
    <w:p>
      <w:pPr>
        <w:pStyle w:val="TextBody"/>
        <w:bidi w:val="0"/>
        <w:spacing w:lineRule="auto" w:line="271" w:before="245" w:after="283"/>
        <w:jc w:val="center"/>
        <w:rPr/>
      </w:pPr>
      <w:r>
        <w:rPr>
          <w:rFonts w:ascii="Times New Roman;sans-serif" w:hAnsi="Times New Roman;sans-serif"/>
          <w:b/>
          <w:color w:val="000000"/>
          <w:sz w:val="22"/>
          <w:u w:val="single"/>
        </w:rPr>
        <w:t>URUGUAY</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283"/>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Optionee understands that the Data will be collected by the Company and will be transferred to the Company at 905 West Fulton Market, Suite 200, Chicago, Illinois 60607, U.S.A. and/or any financial institutions or brokers involved in the management and administration of the Plan. The Optionee further understands that any of these entities may store the Data for purposes of administering the Optionee's participation in the Plan.</w:t>
      </w:r>
    </w:p>
    <w:p>
      <w:pPr>
        <w:pStyle w:val="TextBody"/>
        <w:bidi w:val="0"/>
        <w:spacing w:lineRule="auto" w:line="271" w:before="246" w:after="283"/>
        <w:jc w:val="center"/>
        <w:rPr/>
      </w:pPr>
      <w:r>
        <w:rPr>
          <w:rFonts w:ascii="Times New Roman;sans-serif" w:hAnsi="Times New Roman;sans-serif"/>
          <w:b/>
          <w:color w:val="000000"/>
          <w:sz w:val="22"/>
          <w:u w:val="single"/>
        </w:rPr>
        <w:t>VENEZUELA</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283"/>
        <w:jc w:val="left"/>
        <w:rPr/>
      </w:pPr>
      <w:r>
        <w:rPr>
          <w:rFonts w:ascii="Times New Roman;sans-serif" w:hAnsi="Times New Roman;sans-serif"/>
          <w:b/>
          <w:color w:val="000000"/>
          <w:sz w:val="22"/>
        </w:rPr>
        <w:t>Investment Representation</w:t>
      </w:r>
      <w:r>
        <w:rPr>
          <w:rFonts w:ascii="Times New Roman;sans-serif" w:hAnsi="Times New Roman;sans-serif"/>
          <w:b w:val="false"/>
          <w:color w:val="000000"/>
          <w:sz w:val="22"/>
        </w:rPr>
        <w:t>. As a condition of the grant of the Option, the Optionee acknowledges and agrees that any shares of Common Stock the Optionee may acquire upon exercise of the Option are acquired as and intended to be an investment rather than for the resale of the shares of Common Stock and conversion of such shares into foreign currency.</w:t>
      </w:r>
    </w:p>
    <w:p>
      <w:pPr>
        <w:pStyle w:val="TextBody"/>
        <w:bidi w:val="0"/>
        <w:spacing w:lineRule="auto" w:line="276" w:before="229"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Exchange control restrictions may limit the ability to exercise the Option or remit funds into Venezuela following the receipt of the cash payment upon the cashless exercise of the Option or cash proceeds from the sale of shares of Common Stock acquired under the Plan. The Company reserves the right to further restrict the exercise of the Option or to amend or cancel the Option at any time in order to comply with the applicable exchange control laws in Venezuela. The Optionee is responsible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2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29"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complying with exchange control laws in Venezuela and neither the Company nor the Employer will be liable for any fines or penalties resulting from the Optionee’s failure to comply with applicable laws. Because exchange control laws and regulations change frequently and without notice, the Optionee should consult with his or her personal legal advisor before accepting the Option to ensure compliance with current regulations.</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1"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Option granted under the Plan and the shares of Common Stock issued under the Plan are offered as a personal, private, exclusive transaction and are not subject to Venezuelan government securities regulations. The Option granted under the Plan does not qualify as a public offering under the laws of the Bolivarian Republic of Venezuela and, therefore, it is not required to request the previous authorization of the National Superintendent of Securities.</w:t>
      </w:r>
    </w:p>
    <w:p>
      <w:pPr>
        <w:pStyle w:val="TextBody"/>
        <w:bidi w:val="0"/>
        <w:spacing w:lineRule="auto" w:line="271" w:before="247" w:after="283"/>
        <w:jc w:val="center"/>
        <w:rPr/>
      </w:pPr>
      <w:r>
        <w:rPr>
          <w:rFonts w:ascii="Times New Roman;sans-serif" w:hAnsi="Times New Roman;sans-serif"/>
          <w:b/>
          <w:color w:val="000000"/>
          <w:sz w:val="22"/>
          <w:u w:val="single"/>
        </w:rPr>
        <w:t>VIETNAM</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2" w:after="283"/>
        <w:jc w:val="left"/>
        <w:rPr/>
      </w:pPr>
      <w:r>
        <w:rPr>
          <w:rFonts w:ascii="Times New Roman;sans-serif" w:hAnsi="Times New Roman;sans-serif"/>
          <w:b/>
          <w:color w:val="000000"/>
          <w:sz w:val="22"/>
        </w:rPr>
        <w:t xml:space="preserve">Cashless Exercise Restriction. </w:t>
      </w:r>
      <w:r>
        <w:rPr>
          <w:rFonts w:ascii="Times New Roman;sans-serif" w:hAnsi="Times New Roman;sans-serif"/>
          <w:b w:val="false"/>
          <w:color w:val="000000"/>
          <w:sz w:val="22"/>
        </w:rPr>
        <w:t>Notwithstanding anything to the contrary in the Agreement, due to regulatory requirements in Vietnam, the Optionee will be required to pay the Grant Price by a cashless exercise through a licensed securities broker acceptable to the Company, such that all shares of Common Stock subject to the exercised Option will be sold immediately upon exercise and the proceeds of sale, less the Grant Price, any Tax-Related Items, and broker’s fees or commissions, will be remitted to the Optionee. The Company reserves the right to provide the Optionee with additional methods of exercise depending on local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2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4"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10.3</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2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6" w:before="23" w:after="283"/>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r>
    </w:p>
    <w:p>
      <w:pPr>
        <w:pStyle w:val="TextBody"/>
        <w:bidi w:val="0"/>
        <w:spacing w:lineRule="auto" w:line="271" w:before="11" w:after="283"/>
        <w:jc w:val="center"/>
        <w:rPr>
          <w:rFonts w:ascii="Times New Roman;sans-serif" w:hAnsi="Times New Roman;sans-serif"/>
          <w:b/>
          <w:color w:val="000000"/>
          <w:sz w:val="22"/>
        </w:rPr>
      </w:pPr>
      <w:r>
        <w:rPr>
          <w:rFonts w:ascii="Times New Roman;sans-serif" w:hAnsi="Times New Roman;sans-serif"/>
          <w:b/>
          <w:color w:val="000000"/>
          <w:sz w:val="22"/>
        </w:rPr>
        <w:t>AMENDED AND RESTATED 2005 PERFORMANCE INCENTIVE PLAN</w:t>
      </w:r>
    </w:p>
    <w:p>
      <w:pPr>
        <w:pStyle w:val="TextBody"/>
        <w:bidi w:val="0"/>
        <w:spacing w:lineRule="auto" w:line="271" w:before="1" w:after="283"/>
        <w:jc w:val="center"/>
        <w:rPr>
          <w:rFonts w:ascii="Times New Roman;sans-serif" w:hAnsi="Times New Roman;sans-serif"/>
          <w:b/>
          <w:color w:val="000000"/>
          <w:sz w:val="22"/>
        </w:rPr>
      </w:pPr>
      <w:r>
        <w:rPr>
          <w:rFonts w:ascii="Times New Roman;sans-serif" w:hAnsi="Times New Roman;sans-serif"/>
          <w:b/>
          <w:color w:val="000000"/>
          <w:sz w:val="22"/>
        </w:rPr>
        <w:t>(Amended and Restated as of February 3, 2017)</w:t>
      </w:r>
    </w:p>
    <w:p>
      <w:pPr>
        <w:pStyle w:val="TextBody"/>
        <w:bidi w:val="0"/>
        <w:spacing w:lineRule="auto" w:line="540" w:before="255" w:after="283"/>
        <w:jc w:val="center"/>
        <w:rPr>
          <w:rFonts w:ascii="Times New Roman;sans-serif" w:hAnsi="Times New Roman;sans-serif"/>
          <w:b/>
          <w:color w:val="000000"/>
          <w:sz w:val="22"/>
        </w:rPr>
      </w:pPr>
      <w:r>
        <w:rPr>
          <w:rFonts w:ascii="Times New Roman;sans-serif" w:hAnsi="Times New Roman;sans-serif"/>
          <w:b/>
          <w:color w:val="000000"/>
          <w:sz w:val="22"/>
        </w:rPr>
        <w:t xml:space="preserve">GLOBAL LONG-TERM INCENTIVE GRANT AGREEMENT </w:t>
        <w:br/>
        <w:t>(2024-2026 Performance Cycle)</w:t>
      </w:r>
    </w:p>
    <w:p>
      <w:pPr>
        <w:pStyle w:val="TextBody"/>
        <w:bidi w:val="0"/>
        <w:spacing w:lineRule="auto" w:line="276" w:before="238" w:after="283"/>
        <w:ind w:left="0" w:right="0" w:firstLine="720"/>
        <w:jc w:val="left"/>
        <w:rPr/>
      </w:pP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individual (the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named in the Long-Term Incentive Grant Notice (the “</w:t>
      </w:r>
      <w:r>
        <w:rPr>
          <w:rFonts w:ascii="Times New Roman;sans-serif" w:hAnsi="Times New Roman;sans-serif"/>
          <w:b w:val="false"/>
          <w:color w:val="000000"/>
          <w:sz w:val="22"/>
          <w:u w:val="single"/>
        </w:rPr>
        <w:t>Notice</w:t>
      </w:r>
      <w:r>
        <w:rPr>
          <w:color w:val="000000"/>
        </w:rPr>
        <w:t>”</w:t>
      </w:r>
      <w:r>
        <w:rPr>
          <w:rFonts w:ascii="Times New Roman;sans-serif" w:hAnsi="Times New Roman;sans-serif"/>
          <w:b w:val="false"/>
          <w:color w:val="000000"/>
          <w:sz w:val="22"/>
        </w:rPr>
        <w:t>) a Long-Term Incentive Grant (the “</w:t>
      </w:r>
      <w:r>
        <w:rPr>
          <w:rFonts w:ascii="Times New Roman;sans-serif" w:hAnsi="Times New Roman;sans-serif"/>
          <w:b w:val="false"/>
          <w:color w:val="000000"/>
          <w:sz w:val="22"/>
          <w:u w:val="single"/>
        </w:rPr>
        <w:t>LTI Grant</w:t>
      </w:r>
      <w:r>
        <w:rPr>
          <w:color w:val="000000"/>
        </w:rPr>
        <w:t>”</w:t>
      </w:r>
      <w:r>
        <w:rPr>
          <w:rFonts w:ascii="Times New Roman;sans-serif" w:hAnsi="Times New Roman;sans-serif"/>
          <w:b w:val="false"/>
          <w:color w:val="000000"/>
          <w:sz w:val="22"/>
        </w:rPr>
        <w:t>) with respect to the Performance Cycle and Performance Goals set forth in the Notice, subject to the terms and provisions of the Notice, this Global Long-Term Incentive Grant Agreement, including any country-specific appendix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and the Mondelēz International, Inc. Amended and Restated 2005 Performance Incentive Plan, as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Unless and until the Committee determines that an Award is payable with respect to the LTI Grant, in the manner set forth in paragraphs 4 or 5 hereof, the Participant shall have no right to payment based on the LTI Grant. Prior to payment of an Award based on the LTI Grant, the LTI Grant represents an unsecured obligation of the Company payable, if at all, from the general assets of the Company. All references to action of or approval by the Committee shall be deemed to include action of or approval by any other person(s) to whom the Committee has delegated authority to act.</w:t>
      </w:r>
    </w:p>
    <w:p>
      <w:pPr>
        <w:pStyle w:val="TextBody"/>
        <w:bidi w:val="0"/>
        <w:spacing w:lineRule="auto" w:line="278" w:before="239"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LTI Grant is subject to the following terms and conditions (including the country-specific terms set forth in Appendix A to this Agreement):</w:t>
      </w:r>
    </w:p>
    <w:p>
      <w:pPr>
        <w:pStyle w:val="TextBody"/>
        <w:bidi w:val="0"/>
        <w:spacing w:lineRule="auto" w:line="276" w:before="237" w:after="283"/>
        <w:jc w:val="left"/>
        <w:rPr>
          <w:rFonts w:ascii="Times New Roman;sans-serif" w:hAnsi="Times New Roman;sans-serif"/>
          <w:b/>
          <w:color w:val="000000"/>
          <w:sz w:val="22"/>
        </w:rPr>
      </w:pPr>
      <w:r>
        <w:rPr>
          <w:rFonts w:ascii="Times New Roman;sans-serif" w:hAnsi="Times New Roman;sans-serif"/>
          <w:b/>
          <w:color w:val="000000"/>
          <w:sz w:val="22"/>
        </w:rPr>
        <w:t>The Participant must either execute and deliver an acceptance of the terms set forth in this Agreement or electronically accept the terms set forth in this Agreement, in the manner and within a period specified by the Committee. The Committee may, in its sole discretion, cancel the LTI Grant if the Participant fails to accept this Agreement and related documents within the specified period or using the procedures for acceptance established by the Committee.</w:t>
      </w:r>
    </w:p>
    <w:p>
      <w:pPr>
        <w:pStyle w:val="TextBody"/>
        <w:bidi w:val="0"/>
        <w:spacing w:lineRule="auto" w:line="276" w:before="245" w:after="283"/>
        <w:jc w:val="left"/>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Definitions</w:t>
      </w:r>
      <w:r>
        <w:rPr>
          <w:rFonts w:ascii="Times New Roman;sans-serif" w:hAnsi="Times New Roman;sans-serif"/>
          <w:b w:val="false"/>
          <w:color w:val="000000"/>
          <w:sz w:val="22"/>
        </w:rPr>
        <w:t>. For purposes of the Plan, the following terms shall have the meanings specified below, unless the context clearly indicates otherwise. The singular pronoun shall include the plural where the context so indicates. All capitalized terms used in this Agreement without definition shall have the same meaning as defined under the Plan and the Notice.</w:t>
      </w:r>
    </w:p>
    <w:p>
      <w:pPr>
        <w:pStyle w:val="TextBody"/>
        <w:bidi w:val="0"/>
        <w:spacing w:lineRule="auto" w:line="283" w:before="231" w:after="283"/>
        <w:ind w:left="0" w:right="0" w:firstLine="720"/>
        <w:jc w:val="left"/>
        <w:rPr/>
      </w:pPr>
      <w:r>
        <w:rPr>
          <w:rFonts w:ascii="Times New Roman;sans-serif" w:hAnsi="Times New Roman;sans-serif"/>
          <w:b w:val="false"/>
          <w:color w:val="000000"/>
          <w:sz w:val="22"/>
          <w:u w:val="single"/>
        </w:rPr>
        <w:t>(a)Affiliate</w:t>
      </w:r>
      <w:r>
        <w:rPr>
          <w:rFonts w:ascii="Times New Roman;sans-serif" w:hAnsi="Times New Roman;sans-serif"/>
          <w:b w:val="false"/>
          <w:color w:val="000000"/>
          <w:sz w:val="22"/>
        </w:rPr>
        <w:t>. “Affiliate” means any entity that directly or indirectly through one or more intermediaries controls or is controlled by the Company, in each case, as determined by the Committee.</w:t>
      </w:r>
    </w:p>
    <w:p>
      <w:pPr>
        <w:pStyle w:val="TextBody"/>
        <w:bidi w:val="0"/>
        <w:spacing w:lineRule="auto" w:line="278" w:before="234" w:after="283"/>
        <w:ind w:left="0" w:right="0" w:firstLine="720"/>
        <w:jc w:val="left"/>
        <w:rPr/>
      </w:pPr>
      <w:r>
        <w:rPr>
          <w:rFonts w:ascii="Times New Roman;sans-serif" w:hAnsi="Times New Roman;sans-serif"/>
          <w:b w:val="false"/>
          <w:color w:val="000000"/>
          <w:sz w:val="22"/>
          <w:u w:val="single"/>
        </w:rPr>
        <w:t>(b)Disability</w:t>
      </w:r>
      <w:r>
        <w:rPr>
          <w:rFonts w:ascii="Times New Roman;sans-serif" w:hAnsi="Times New Roman;sans-serif"/>
          <w:b w:val="false"/>
          <w:color w:val="000000"/>
          <w:sz w:val="22"/>
        </w:rPr>
        <w:t>. “Disability” means permanent and total disability as determined under procedures established by the Company for purposes of the Plan.</w:t>
      </w:r>
    </w:p>
    <w:p>
      <w:pPr>
        <w:pStyle w:val="TextBody"/>
        <w:bidi w:val="0"/>
        <w:spacing w:lineRule="auto" w:line="276" w:before="240" w:after="283"/>
        <w:ind w:left="0" w:right="0" w:firstLine="720"/>
        <w:jc w:val="left"/>
        <w:rPr/>
      </w:pPr>
      <w:r>
        <w:rPr>
          <w:rFonts w:ascii="Times New Roman;sans-serif" w:hAnsi="Times New Roman;sans-serif"/>
          <w:b w:val="false"/>
          <w:color w:val="000000"/>
          <w:sz w:val="22"/>
          <w:u w:val="single"/>
        </w:rPr>
        <w:t>(c)LTI Award Payout</w:t>
      </w:r>
      <w:r>
        <w:rPr>
          <w:rFonts w:ascii="Times New Roman;sans-serif" w:hAnsi="Times New Roman;sans-serif"/>
          <w:b w:val="false"/>
          <w:color w:val="000000"/>
          <w:sz w:val="22"/>
        </w:rPr>
        <w:t>. “LTI Award Payout” means the number of shares of Common Stock (if the Award is settled in shares) or the amount (if the Award is settled in cash) in either case with the value determined as the product of (a) the LTI Grant Target multiplied by (b) the Performance Goal Attainment Factor (subject to the Committee’s discretion specified in paragraph 4(c)), and, in the case of a Participant who terminates employment before the last day of the Performance Cycle and is otherwise eligible for a pro rata payout in accordance with the terms of this Agreement, further multiplied by (c) the Participation Period Factor.</w:t>
      </w:r>
    </w:p>
    <w:p>
      <w:pPr>
        <w:pStyle w:val="TextBody"/>
        <w:bidi w:val="0"/>
        <w:spacing w:lineRule="auto" w:line="271" w:before="926"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lineRule="auto" w:line="266"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2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8" w:before="16" w:after="283"/>
        <w:ind w:left="0" w:right="0" w:firstLine="648"/>
        <w:jc w:val="left"/>
        <w:rPr/>
      </w:pPr>
      <w:r>
        <w:rPr>
          <w:rFonts w:ascii="Times New Roman;sans-serif" w:hAnsi="Times New Roman;sans-serif"/>
          <w:b w:val="false"/>
          <w:color w:val="000000"/>
          <w:sz w:val="22"/>
          <w:u w:val="single"/>
        </w:rPr>
        <w:t>(d)LTI Grant Target</w:t>
      </w:r>
      <w:r>
        <w:rPr>
          <w:rFonts w:ascii="Times New Roman;sans-serif" w:hAnsi="Times New Roman;sans-serif"/>
          <w:b w:val="false"/>
          <w:color w:val="000000"/>
          <w:sz w:val="22"/>
        </w:rPr>
        <w:t>. “LTI Grant Target” means the target number of shares of Common Stock or amount set forth in the Notice.</w:t>
      </w:r>
    </w:p>
    <w:p>
      <w:pPr>
        <w:pStyle w:val="TextBody"/>
        <w:bidi w:val="0"/>
        <w:spacing w:lineRule="auto" w:line="283" w:before="230" w:after="283"/>
        <w:ind w:left="0" w:right="0" w:firstLine="648"/>
        <w:jc w:val="left"/>
        <w:rPr/>
      </w:pPr>
      <w:r>
        <w:rPr>
          <w:rFonts w:ascii="Times New Roman;sans-serif" w:hAnsi="Times New Roman;sans-serif"/>
          <w:b w:val="false"/>
          <w:color w:val="000000"/>
          <w:sz w:val="22"/>
          <w:u w:val="single"/>
        </w:rPr>
        <w:t>(e)Maximum Goal Factor</w:t>
      </w:r>
      <w:r>
        <w:rPr>
          <w:rFonts w:ascii="Times New Roman;sans-serif" w:hAnsi="Times New Roman;sans-serif"/>
          <w:b w:val="false"/>
          <w:color w:val="000000"/>
          <w:sz w:val="22"/>
        </w:rPr>
        <w:t>. “Maximum Goal Factor” means the maximum percentage set forth in the Notice.</w:t>
      </w:r>
    </w:p>
    <w:p>
      <w:pPr>
        <w:pStyle w:val="TextBody"/>
        <w:bidi w:val="0"/>
        <w:spacing w:lineRule="auto" w:line="276" w:before="238" w:after="283"/>
        <w:ind w:left="0" w:right="0" w:firstLine="648"/>
        <w:jc w:val="left"/>
        <w:rPr/>
      </w:pPr>
      <w:r>
        <w:rPr>
          <w:rFonts w:ascii="Times New Roman;sans-serif" w:hAnsi="Times New Roman;sans-serif"/>
          <w:b w:val="false"/>
          <w:color w:val="000000"/>
          <w:sz w:val="22"/>
          <w:u w:val="single"/>
        </w:rPr>
        <w:t>(f)Participation Period Factor</w:t>
      </w:r>
      <w:r>
        <w:rPr>
          <w:rFonts w:ascii="Times New Roman;sans-serif" w:hAnsi="Times New Roman;sans-serif"/>
          <w:b w:val="false"/>
          <w:color w:val="000000"/>
          <w:sz w:val="22"/>
        </w:rPr>
        <w:t>. “Participation Period Factor” means a fraction, the numerator of which is the number of months (including partial months, rounded up to the next whole month) the Participant participates during the Performance Cycle and the denominator of which is the number of months in the Performance Cycle. The Committee, in its sole discretion, may adjust the Participation Period Factor.</w:t>
      </w:r>
    </w:p>
    <w:p>
      <w:pPr>
        <w:pStyle w:val="TextBody"/>
        <w:bidi w:val="0"/>
        <w:spacing w:lineRule="auto" w:line="276" w:before="236" w:after="283"/>
        <w:ind w:left="0" w:right="0" w:firstLine="648"/>
        <w:jc w:val="left"/>
        <w:rPr/>
      </w:pPr>
      <w:r>
        <w:rPr>
          <w:rFonts w:ascii="Times New Roman;sans-serif" w:hAnsi="Times New Roman;sans-serif"/>
          <w:b w:val="false"/>
          <w:color w:val="000000"/>
          <w:sz w:val="22"/>
          <w:u w:val="single"/>
        </w:rPr>
        <w:t>(g)Performance Cycle</w:t>
      </w:r>
      <w:r>
        <w:rPr>
          <w:rFonts w:ascii="Times New Roman;sans-serif" w:hAnsi="Times New Roman;sans-serif"/>
          <w:b w:val="false"/>
          <w:color w:val="000000"/>
          <w:sz w:val="22"/>
        </w:rPr>
        <w:t>. “Performance Cycle” means the performance period set forth in the Notice over which the attainment of the Performance Goals will be measured for the purpose of determining the LTI Award Payout.</w:t>
      </w:r>
    </w:p>
    <w:p>
      <w:pPr>
        <w:pStyle w:val="TextBody"/>
        <w:bidi w:val="0"/>
        <w:spacing w:lineRule="auto" w:line="276" w:before="237" w:after="283"/>
        <w:ind w:left="0" w:right="0" w:firstLine="648"/>
        <w:jc w:val="left"/>
        <w:rPr/>
      </w:pPr>
      <w:r>
        <w:rPr>
          <w:rFonts w:ascii="Times New Roman;sans-serif" w:hAnsi="Times New Roman;sans-serif"/>
          <w:b w:val="false"/>
          <w:color w:val="000000"/>
          <w:sz w:val="22"/>
          <w:u w:val="single"/>
        </w:rPr>
        <w:t>(h)</w:t>
      </w:r>
      <w:r>
        <w:rPr>
          <w:rFonts w:ascii="Times New Roman;sans-serif" w:hAnsi="Times New Roman;sans-serif"/>
          <w:b w:val="false"/>
          <w:color w:val="000000"/>
          <w:sz w:val="22"/>
          <w:u w:val="single"/>
        </w:rPr>
        <w:t>Performance Goal Attainment Factor</w:t>
      </w:r>
      <w:r>
        <w:rPr>
          <w:rFonts w:ascii="Times New Roman;sans-serif" w:hAnsi="Times New Roman;sans-serif"/>
          <w:b w:val="false"/>
          <w:color w:val="000000"/>
          <w:sz w:val="22"/>
        </w:rPr>
        <w:t>. “Performance Goal Attainment Factor” means a percentage ranging from 0% to the Maximum Goal Factor representing the level at which the Performance Goals have been attained as determined by the Committee.</w:t>
      </w:r>
    </w:p>
    <w:p>
      <w:pPr>
        <w:pStyle w:val="TextBody"/>
        <w:bidi w:val="0"/>
        <w:spacing w:lineRule="auto" w:line="276" w:before="243" w:after="283"/>
        <w:ind w:left="0" w:right="0" w:firstLine="648"/>
        <w:jc w:val="left"/>
        <w:rPr/>
      </w:pPr>
      <w:r>
        <w:rPr>
          <w:rFonts w:ascii="Times New Roman;sans-serif" w:hAnsi="Times New Roman;sans-serif"/>
          <w:b w:val="false"/>
          <w:color w:val="000000"/>
          <w:sz w:val="22"/>
          <w:u w:val="single"/>
        </w:rPr>
        <w:t>(i)Retirement</w:t>
      </w:r>
      <w:r>
        <w:rPr>
          <w:rFonts w:ascii="Times New Roman;sans-serif" w:hAnsi="Times New Roman;sans-serif"/>
          <w:b w:val="false"/>
          <w:color w:val="000000"/>
          <w:sz w:val="22"/>
        </w:rPr>
        <w:t>. “Retirement” means, unless otherwise determined by the Committee, in its sole discretion, the termination of employment on or after either (i) the date the Participant is age 55 or older with at least ten (10) or more years of active continuous employment with the Mondelēz Group or (ii) the date the Participant is age 65 or older with at least five (5) or more years of active continuous employment with the Mondelēz Group.</w:t>
      </w:r>
    </w:p>
    <w:p>
      <w:pPr>
        <w:pStyle w:val="TextBody"/>
        <w:bidi w:val="0"/>
        <w:spacing w:lineRule="auto" w:line="276" w:before="235" w:after="283"/>
        <w:jc w:val="left"/>
        <w:rPr/>
      </w:pPr>
      <w:r>
        <w:rPr>
          <w:rFonts w:ascii="Times New Roman;sans-serif" w:hAnsi="Times New Roman;sans-serif"/>
          <w:b w:val="false"/>
          <w:color w:val="000000"/>
          <w:sz w:val="22"/>
          <w:u w:val="single"/>
        </w:rPr>
        <w:t>2.Incorporation of Terms of Plan</w:t>
      </w:r>
      <w:r>
        <w:rPr>
          <w:rFonts w:ascii="Times New Roman;sans-serif" w:hAnsi="Times New Roman;sans-serif"/>
          <w:b w:val="false"/>
          <w:color w:val="000000"/>
          <w:sz w:val="22"/>
        </w:rPr>
        <w:t>. The LTI Grant is subject to the terms and conditions of the Plan, which is incorporated herein by reference. In the event of any inconsistency between the Plan and this Agreement, the terms of the Plan shall control except as otherwise expressly set forth in this Agreement.</w:t>
      </w:r>
    </w:p>
    <w:p>
      <w:pPr>
        <w:pStyle w:val="TextBody"/>
        <w:bidi w:val="0"/>
        <w:spacing w:lineRule="auto" w:line="271" w:before="247" w:after="283"/>
        <w:jc w:val="left"/>
        <w:rPr/>
      </w:pPr>
      <w:r>
        <w:rPr>
          <w:rFonts w:ascii="Times New Roman;sans-serif" w:hAnsi="Times New Roman;sans-serif"/>
          <w:b w:val="false"/>
          <w:color w:val="000000"/>
          <w:sz w:val="22"/>
          <w:u w:val="single"/>
        </w:rPr>
        <w:t>3.Vesting and Forfeiture</w:t>
      </w:r>
      <w:r>
        <w:rPr>
          <w:rFonts w:ascii="Times New Roman;sans-serif" w:hAnsi="Times New Roman;sans-serif"/>
          <w:b w:val="false"/>
          <w:color w:val="000000"/>
          <w:sz w:val="22"/>
        </w:rPr>
        <w:t>.</w:t>
      </w:r>
      <w:r>
        <w:rPr>
          <w:color w:val="000000"/>
          <w:u w:val="single"/>
        </w:rPr>
        <w:t xml:space="preserve"> </w:t>
      </w:r>
    </w:p>
    <w:p>
      <w:pPr>
        <w:pStyle w:val="TextBody"/>
        <w:bidi w:val="0"/>
        <w:spacing w:lineRule="auto" w:line="276" w:before="236" w:after="283"/>
        <w:ind w:left="0" w:right="0" w:firstLine="648"/>
        <w:jc w:val="left"/>
        <w:rPr/>
      </w:pPr>
      <w:r>
        <w:rPr>
          <w:rFonts w:ascii="Times New Roman;sans-serif" w:hAnsi="Times New Roman;sans-serif"/>
          <w:b w:val="false"/>
          <w:color w:val="000000"/>
          <w:sz w:val="22"/>
          <w:u w:val="single"/>
        </w:rPr>
        <w:t>(a)Vesting</w:t>
      </w:r>
      <w:r>
        <w:rPr>
          <w:rFonts w:ascii="Times New Roman;sans-serif" w:hAnsi="Times New Roman;sans-serif"/>
          <w:b w:val="false"/>
          <w:color w:val="000000"/>
          <w:sz w:val="22"/>
        </w:rPr>
        <w:t>. Except as expressly provided in this Agreement, if the Committee determines that the Performance Goals for the Performance Cycle have been met and the other terms and conditions set forth in the Plan have been satisfied, an Award will be made to the Participant based on the Participant’s LTI Award Payout.</w:t>
      </w:r>
    </w:p>
    <w:p>
      <w:pPr>
        <w:pStyle w:val="TextBody"/>
        <w:bidi w:val="0"/>
        <w:spacing w:lineRule="auto" w:line="276" w:before="247" w:after="283"/>
        <w:ind w:left="0" w:right="0" w:firstLine="648"/>
        <w:jc w:val="left"/>
        <w:rPr/>
      </w:pPr>
      <w:r>
        <w:rPr>
          <w:rFonts w:ascii="Times New Roman;sans-serif" w:hAnsi="Times New Roman;sans-serif"/>
          <w:b w:val="false"/>
          <w:color w:val="000000"/>
          <w:sz w:val="22"/>
          <w:u w:val="single"/>
        </w:rPr>
        <w:t>(b)Forfeiture</w:t>
      </w:r>
      <w:r>
        <w:rPr>
          <w:rFonts w:ascii="Times New Roman;sans-serif" w:hAnsi="Times New Roman;sans-serif"/>
          <w:b w:val="false"/>
          <w:color w:val="000000"/>
          <w:sz w:val="22"/>
        </w:rPr>
        <w:t>. Unless determined otherwise by the Committee or except as expressly provided in this Agreement, if the Participant has not been continuously and actively employed with a member of the Mondelēz Group that employs the Participant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from the date of the Notice through the last date of the Performance Cycle or if the Participant is not an employee in good standing with the Employer on the date of payment described in paragraph 4(a) hereof, the LTI Grant will be forfeited immediately and without any further action by the Company or the Committee. For purposes of the preceding sentence, the Participant will not be considered to be continuously and actively employed with the Employer once he or she has stopped providing services, notwithstanding any notice period mandated under the employment laws of the country where the Participant resides (</w:t>
      </w:r>
      <w:r>
        <w:rPr>
          <w:rFonts w:ascii="Times New Roman;sans-serif" w:hAnsi="Times New Roman;sans-serif"/>
          <w:b w:val="false"/>
          <w:i/>
          <w:color w:val="000000"/>
          <w:sz w:val="22"/>
        </w:rPr>
        <w:t>e.g.</w:t>
      </w:r>
      <w:r>
        <w:rPr>
          <w:rFonts w:ascii="Times New Roman;sans-serif" w:hAnsi="Times New Roman;sans-serif"/>
          <w:b w:val="false"/>
          <w:color w:val="000000"/>
          <w:sz w:val="22"/>
        </w:rPr>
        <w:t>, active employment would not include a period of “garden leave” or similar period pursuant to the employment laws of the country where the Participant resides), unless otherwise determined by the Company on a country-by-country basis. Unless otherwise determined by the Committee, a leave of absence shall not constitute a termination of continuous service. The Committee has the exclusive discretion to determine</w:t>
      </w:r>
    </w:p>
    <w:p>
      <w:pPr>
        <w:pStyle w:val="TextBody"/>
        <w:bidi w:val="0"/>
        <w:spacing w:lineRule="auto" w:line="271" w:before="676"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lineRule="auto" w:line="266"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2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8" w:before="16" w:after="283"/>
        <w:jc w:val="left"/>
        <w:rPr>
          <w:rFonts w:ascii="Times New Roman;sans-serif" w:hAnsi="Times New Roman;sans-serif"/>
          <w:b w:val="false"/>
          <w:color w:val="000000"/>
          <w:sz w:val="22"/>
        </w:rPr>
      </w:pPr>
      <w:r>
        <w:rPr>
          <w:rFonts w:ascii="Times New Roman;sans-serif" w:hAnsi="Times New Roman;sans-serif"/>
          <w:b w:val="false"/>
          <w:color w:val="000000"/>
          <w:sz w:val="22"/>
        </w:rPr>
        <w:t>when a Participant is no longer actively employed for purposes of the LTI Grant, subject to compliance with Section 409A of the Code.</w:t>
      </w:r>
    </w:p>
    <w:p>
      <w:pPr>
        <w:pStyle w:val="TextBody"/>
        <w:bidi w:val="0"/>
        <w:spacing w:lineRule="auto" w:line="276" w:before="237" w:after="283"/>
        <w:ind w:left="0" w:right="0" w:firstLine="1440"/>
        <w:jc w:val="left"/>
        <w:rPr/>
      </w:pPr>
      <w:r>
        <w:rPr>
          <w:rFonts w:ascii="Times New Roman;sans-serif" w:hAnsi="Times New Roman;sans-serif"/>
          <w:b w:val="false"/>
          <w:color w:val="000000"/>
          <w:sz w:val="22"/>
          <w:u w:val="single"/>
        </w:rPr>
        <w:t>(i)Death/Disability</w:t>
      </w:r>
      <w:r>
        <w:rPr>
          <w:rFonts w:ascii="Times New Roman;sans-serif" w:hAnsi="Times New Roman;sans-serif"/>
          <w:b w:val="false"/>
          <w:color w:val="000000"/>
          <w:sz w:val="22"/>
        </w:rPr>
        <w:t>. If the Participant dies or terminates active employment with the Mondelēz Group due to Disability, the vesting of the LTI Grant will occur on a pro rata basis calculated pursuant to paragraph 1(c) of this Agreement. The LTI Award Payout will be made to the Participant by using a Performance Goal Attainment Factor equal to 100%, subject to compliance with the payment timing provisions set forth in paragraph 4(a)(iii) hereof.</w:t>
      </w:r>
    </w:p>
    <w:p>
      <w:pPr>
        <w:pStyle w:val="TextBody"/>
        <w:bidi w:val="0"/>
        <w:spacing w:lineRule="auto" w:line="276" w:before="239" w:after="283"/>
        <w:ind w:left="0" w:right="0" w:firstLine="1440"/>
        <w:jc w:val="left"/>
        <w:rPr/>
      </w:pPr>
      <w:r>
        <w:rPr>
          <w:rFonts w:ascii="Times New Roman;sans-serif" w:hAnsi="Times New Roman;sans-serif"/>
          <w:b w:val="false"/>
          <w:color w:val="000000"/>
          <w:sz w:val="22"/>
          <w:u w:val="single"/>
        </w:rPr>
        <w:t>(ii)Retirement</w:t>
      </w:r>
      <w:r>
        <w:rPr>
          <w:rFonts w:ascii="Times New Roman;sans-serif" w:hAnsi="Times New Roman;sans-serif"/>
          <w:b w:val="false"/>
          <w:color w:val="000000"/>
          <w:sz w:val="22"/>
        </w:rPr>
        <w:t>. If a Participant terminates active employment with the Mondelēz Group prior to the potential payment of an Award as a result of the Participant’s Retirement and the LTI Grant is not otherwise accounted for, or included in, the Participant’s severance or retirement arrangement with the Mondelēz Group and the Participant timely executes a general release and waiver of claims in a form and manner determined by the Company in its sole discretion, then, unless otherwise determined by the Committee:</w:t>
      </w:r>
    </w:p>
    <w:p>
      <w:pPr>
        <w:pStyle w:val="TextBody"/>
        <w:bidi w:val="0"/>
        <w:spacing w:lineRule="auto" w:line="268" w:before="242" w:after="283"/>
        <w:ind w:left="0" w:right="0" w:firstLine="2160"/>
        <w:jc w:val="left"/>
        <w:rPr/>
      </w:pPr>
      <w:r>
        <w:rPr>
          <w:rFonts w:ascii="Times New Roman;sans-serif" w:hAnsi="Times New Roman;sans-serif"/>
          <w:b w:val="false"/>
          <w:color w:val="000000"/>
          <w:sz w:val="22"/>
        </w:rPr>
        <w:t>(A)in the event that the Participant’s Retirement occurs because the Participant is age 65 or older with at least five (5) or more years of active continuous employment with the Mondelēz Group and the Retirement date occurs on or after the 181st day following the Grant Date, the Participant shall remain eligible to receive a LTI Award Payout with a Participation Period Factor equal to 100% (the LTI Award Payout will not be prorated) based on actual attainment of the Performance Goals, payable in accordance with the payment timing provisions set forth in paragraph 4(a)(iii) hereof</w:t>
      </w:r>
      <w:r>
        <w:rPr>
          <w:rFonts w:ascii="Times New Roman;sans-serif" w:hAnsi="Times New Roman;sans-serif"/>
          <w:b w:val="false"/>
          <w:color w:val="000000"/>
          <w:sz w:val="24"/>
        </w:rPr>
        <w:t>.</w:t>
      </w:r>
    </w:p>
    <w:p>
      <w:pPr>
        <w:pStyle w:val="TextBody"/>
        <w:bidi w:val="0"/>
        <w:spacing w:lineRule="auto" w:line="276" w:before="235" w:after="283"/>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(B)in the event that the Employee's Retirement occurs because the Employee is age 55 or older with at least ten (10) or more years of active continuous employment with the Mondelēz Group and the Retirement date occurs on or after the 181st day following the Grant Date, the Participant shall remain eligible to receive a prorated LTI Award Payout (calculated pursuant to paragraph 1(c) of this Agreement) based on actual attainment of the Performance Goals, payable in accordance with the payment timing provisions set forth in paragraph 4(a)(iii) hereof.</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the purposes of this section 3(b), any prorated LTI Award Payout will be calculated by applying the Participant’s Participation Period Factor as determined in the sole discretion of the Committee, subject to compliance with the payment timing provisions set forth in paragraph 4 hereof.</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Committee receives an opinion of counsel that there has been a legal judgment and/or legal development in the Participant’s jurisdiction that likely would result in the favorable treatment on Retirement described in this section that applies to the LTI Grant being deemed unlawful and/or discriminatory, then the Company will not apply the favorable Retirement treatment at the time of the termination and the LTI Grant will be treated as it would under the rules that apply if the Participant’s employment is terminated for reasons other than Retirement, death or Disability.</w:t>
      </w:r>
    </w:p>
    <w:p>
      <w:pPr>
        <w:pStyle w:val="TextBody"/>
        <w:bidi w:val="0"/>
        <w:spacing w:lineRule="auto" w:line="271" w:before="242" w:after="283"/>
        <w:jc w:val="left"/>
        <w:rPr/>
      </w:pPr>
      <w:r>
        <w:rPr>
          <w:rFonts w:ascii="Times New Roman;sans-serif" w:hAnsi="Times New Roman;sans-serif"/>
          <w:b w:val="false"/>
          <w:color w:val="000000"/>
          <w:sz w:val="22"/>
        </w:rPr>
        <w:t>4.    </w:t>
      </w:r>
      <w:r>
        <w:rPr>
          <w:rFonts w:ascii="Times New Roman;sans-serif" w:hAnsi="Times New Roman;sans-serif"/>
          <w:b w:val="false"/>
          <w:color w:val="000000"/>
          <w:sz w:val="22"/>
          <w:u w:val="single"/>
        </w:rPr>
        <w:t>Payment</w:t>
      </w:r>
      <w:r>
        <w:rPr>
          <w:rFonts w:ascii="Times New Roman;sans-serif" w:hAnsi="Times New Roman;sans-serif"/>
          <w:b w:val="false"/>
          <w:color w:val="000000"/>
          <w:sz w:val="22"/>
        </w:rPr>
        <w:t>.</w:t>
      </w:r>
    </w:p>
    <w:p>
      <w:pPr>
        <w:pStyle w:val="TextBody"/>
        <w:bidi w:val="0"/>
        <w:spacing w:lineRule="auto" w:line="271" w:before="245" w:after="283"/>
        <w:jc w:val="left"/>
        <w:rPr/>
      </w:pPr>
      <w:r>
        <w:rPr>
          <w:rFonts w:ascii="Times New Roman;sans-serif" w:hAnsi="Times New Roman;sans-serif"/>
          <w:b w:val="false"/>
          <w:color w:val="000000"/>
          <w:sz w:val="22"/>
        </w:rPr>
        <w:t>(a)    </w:t>
      </w:r>
      <w:r>
        <w:rPr>
          <w:rFonts w:ascii="Times New Roman;sans-serif" w:hAnsi="Times New Roman;sans-serif"/>
          <w:b w:val="false"/>
          <w:color w:val="000000"/>
          <w:sz w:val="22"/>
          <w:u w:val="single"/>
        </w:rPr>
        <w:t>Form and Time of Payment</w:t>
      </w:r>
      <w:r>
        <w:rPr>
          <w:rFonts w:ascii="Times New Roman;sans-serif" w:hAnsi="Times New Roman;sans-serif"/>
          <w:b w:val="false"/>
          <w:color w:val="000000"/>
          <w:sz w:val="22"/>
        </w:rPr>
        <w:t>.</w:t>
      </w:r>
      <w:r>
        <w:rPr>
          <w:color w:val="000000"/>
          <w:u w:val="single"/>
        </w:rPr>
        <w:t xml:space="preserve"> </w:t>
      </w:r>
    </w:p>
    <w:p>
      <w:pPr>
        <w:pStyle w:val="TextBody"/>
        <w:bidi w:val="0"/>
        <w:spacing w:lineRule="auto" w:line="276" w:before="235" w:after="283"/>
        <w:ind w:left="0" w:right="0" w:firstLine="1440"/>
        <w:jc w:val="both"/>
        <w:rPr/>
      </w:pPr>
      <w:r>
        <w:rPr>
          <w:rFonts w:ascii="Times New Roman;sans-serif" w:hAnsi="Times New Roman;sans-serif"/>
          <w:b w:val="false"/>
          <w:color w:val="000000"/>
          <w:sz w:val="22"/>
        </w:rPr>
        <w:t>(i)    </w:t>
      </w:r>
      <w:r>
        <w:rPr>
          <w:rFonts w:ascii="Times New Roman;sans-serif" w:hAnsi="Times New Roman;sans-serif"/>
          <w:b w:val="false"/>
          <w:color w:val="000000"/>
          <w:sz w:val="22"/>
          <w:u w:val="single"/>
        </w:rPr>
        <w:t>Form of Payment</w:t>
      </w:r>
      <w:r>
        <w:rPr>
          <w:rFonts w:ascii="Times New Roman;sans-serif" w:hAnsi="Times New Roman;sans-serif"/>
          <w:b w:val="false"/>
          <w:color w:val="000000"/>
          <w:sz w:val="22"/>
        </w:rPr>
        <w:t xml:space="preserve">. Subject to the terms of the Plan, the Notice and this Agreement, and except as otherwise expressly provided and subject to the terms of this Agreement (including Appendix A hereto), any Award that becomes payable in accordance with paragraph 3 hereof shall be paid in whole shares of Common Stock, which shall be issued in book-entry form, registered in the Participant’s name. In the event the LTI Award Payout results in less than a whole number of shares of </w:t>
      </w:r>
    </w:p>
    <w:p>
      <w:pPr>
        <w:pStyle w:val="TextBody"/>
        <w:bidi w:val="0"/>
        <w:spacing w:lineRule="auto" w:line="271" w:before="65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lineRule="auto" w:line="266"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2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Common Stock, the LTI Award Payout shall be rounded up to the next whole share of Common Stock (no fractional shares of Common Stock shall be issued in payment of an Award).</w:t>
      </w:r>
    </w:p>
    <w:p>
      <w:pPr>
        <w:pStyle w:val="TextBody"/>
        <w:bidi w:val="0"/>
        <w:spacing w:lineRule="auto" w:line="276" w:before="237" w:after="283"/>
        <w:ind w:left="0" w:right="0" w:firstLine="1440"/>
        <w:jc w:val="left"/>
        <w:rPr/>
      </w:pPr>
      <w:r>
        <w:rPr>
          <w:rFonts w:ascii="Times New Roman;sans-serif" w:hAnsi="Times New Roman;sans-serif"/>
          <w:b w:val="false"/>
          <w:color w:val="000000"/>
          <w:sz w:val="22"/>
          <w:u w:val="single"/>
        </w:rPr>
        <w:t>(ii)Certification</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Performance Goal Attainment Factor Determination</w:t>
      </w:r>
      <w:r>
        <w:rPr>
          <w:rFonts w:ascii="Times New Roman;sans-serif" w:hAnsi="Times New Roman;sans-serif"/>
          <w:b w:val="false"/>
          <w:color w:val="000000"/>
          <w:sz w:val="22"/>
        </w:rPr>
        <w:t>. Following the completion of the Performance Cycle and, subject to paragraph 3(b)(i) and paragraph 5 hereof, prior to the payment of an Award, the Committee shall certify in writing whether the applicable Performance Goals were achieved for the Performance Cycle and shall determine the Performance Goal Attainment Factor with respect to the Award.</w:t>
      </w:r>
    </w:p>
    <w:p>
      <w:pPr>
        <w:pStyle w:val="TextBody"/>
        <w:bidi w:val="0"/>
        <w:spacing w:lineRule="auto" w:line="276" w:before="236" w:after="283"/>
        <w:ind w:left="0" w:right="0" w:firstLine="1440"/>
        <w:jc w:val="left"/>
        <w:rPr/>
      </w:pPr>
      <w:r>
        <w:rPr>
          <w:rFonts w:ascii="Times New Roman;sans-serif" w:hAnsi="Times New Roman;sans-serif"/>
          <w:b w:val="false"/>
          <w:color w:val="000000"/>
          <w:sz w:val="22"/>
          <w:u w:val="single"/>
        </w:rPr>
        <w:t>(iii)Payment Timing</w:t>
      </w:r>
      <w:r>
        <w:rPr>
          <w:rFonts w:ascii="Times New Roman;sans-serif" w:hAnsi="Times New Roman;sans-serif"/>
          <w:b w:val="false"/>
          <w:color w:val="000000"/>
          <w:sz w:val="22"/>
        </w:rPr>
        <w:t>. Subject to the terms of this Agreement, including Section 22, the Award shall be paid as follows:</w:t>
      </w:r>
    </w:p>
    <w:p>
      <w:pPr>
        <w:pStyle w:val="TextBody"/>
        <w:bidi w:val="0"/>
        <w:spacing w:lineRule="auto" w:line="276" w:before="233" w:after="283"/>
        <w:ind w:left="0" w:right="0" w:firstLine="2160"/>
        <w:jc w:val="left"/>
        <w:rPr>
          <w:rFonts w:ascii="Times New Roman;sans-serif" w:hAnsi="Times New Roman;sans-serif"/>
          <w:b w:val="false"/>
          <w:color w:val="000000"/>
          <w:sz w:val="22"/>
        </w:rPr>
      </w:pPr>
      <w:r>
        <w:rPr>
          <w:rFonts w:ascii="Times New Roman;sans-serif" w:hAnsi="Times New Roman;sans-serif"/>
          <w:b w:val="false"/>
          <w:color w:val="000000"/>
          <w:sz w:val="22"/>
        </w:rPr>
        <w:t>(A)The LTI Award Payout, including a payout upon a Participant’s Retirement described under paragraph 3(b)(ii)(A) hereof or paragraph 3(b)(ii)(B) hereof shall be paid as soon as practicable between January 1 and March 15 of the calendar year immediately following or coinciding with the end of the Performance Cycle following the date the Committee determines that the Performance Goals for the Performance Cycle have been attained and determines an LTI Grant has vested and is payable for the Performance Cycle.</w:t>
      </w:r>
    </w:p>
    <w:p>
      <w:pPr>
        <w:pStyle w:val="TextBody"/>
        <w:bidi w:val="0"/>
        <w:spacing w:lineRule="auto" w:line="276" w:before="241" w:after="283"/>
        <w:ind w:left="0" w:right="0" w:firstLine="2160"/>
        <w:jc w:val="left"/>
        <w:rPr>
          <w:rFonts w:ascii="Times New Roman;sans-serif" w:hAnsi="Times New Roman;sans-serif"/>
          <w:b w:val="false"/>
          <w:color w:val="000000"/>
          <w:sz w:val="22"/>
        </w:rPr>
      </w:pPr>
      <w:r>
        <w:rPr>
          <w:rFonts w:ascii="Times New Roman;sans-serif" w:hAnsi="Times New Roman;sans-serif"/>
          <w:b w:val="false"/>
          <w:color w:val="000000"/>
          <w:sz w:val="22"/>
        </w:rPr>
        <w:t>(B)An Award that becomes payable under paragraph 3(b)(i) hereof in connection with a Participant’s death shall be paid within 75 days following the Participant’s death.</w:t>
      </w:r>
    </w:p>
    <w:p>
      <w:pPr>
        <w:pStyle w:val="TextBody"/>
        <w:bidi w:val="0"/>
        <w:spacing w:lineRule="auto" w:line="276" w:before="228" w:after="283"/>
        <w:ind w:left="0" w:right="0" w:firstLine="2160"/>
        <w:jc w:val="left"/>
        <w:rPr>
          <w:rFonts w:ascii="Times New Roman;sans-serif" w:hAnsi="Times New Roman;sans-serif"/>
          <w:b w:val="false"/>
          <w:color w:val="000000"/>
          <w:sz w:val="22"/>
        </w:rPr>
      </w:pPr>
      <w:r>
        <w:rPr>
          <w:rFonts w:ascii="Times New Roman;sans-serif" w:hAnsi="Times New Roman;sans-serif"/>
          <w:b w:val="false"/>
          <w:color w:val="000000"/>
          <w:sz w:val="22"/>
        </w:rPr>
        <w:t>(C)An Award that becomes payable in connection with the Participant’s termination resulting from Disability as described under paragraph 3(b)(i) shall be paid within 75 days following such Disability, provided that if the Participant is subject to taxation under the laws of the U.S., the Award is considered Deferred Compensation (as defined in Section 22 hereof) and is payable upon a termination resulting from Disability and the Disability experienced by the Participant does not constitute a “disability” within the meaning of Section 409A of the Code (in each case as determined by the Company in its sole discretion), then such payment shall be made in accordance with the payment timing described under paragraph 4(a)(iii)(A) hereof.</w:t>
      </w:r>
    </w:p>
    <w:p>
      <w:pPr>
        <w:pStyle w:val="TextBody"/>
        <w:bidi w:val="0"/>
        <w:spacing w:lineRule="auto" w:line="276" w:before="515" w:after="283"/>
        <w:ind w:left="0" w:right="0" w:firstLine="720"/>
        <w:jc w:val="left"/>
        <w:rPr/>
      </w:pPr>
      <w:r>
        <w:rPr>
          <w:rFonts w:ascii="Times New Roman;sans-serif" w:hAnsi="Times New Roman;sans-serif"/>
          <w:b w:val="false"/>
          <w:color w:val="000000"/>
          <w:sz w:val="22"/>
        </w:rPr>
        <w:t>(b)    </w:t>
      </w:r>
      <w:r>
        <w:rPr>
          <w:rFonts w:ascii="Times New Roman;sans-serif" w:hAnsi="Times New Roman;sans-serif"/>
          <w:b w:val="false"/>
          <w:color w:val="000000"/>
          <w:sz w:val="22"/>
          <w:u w:val="single"/>
        </w:rPr>
        <w:t>Conditions to Payment of an Award</w:t>
      </w:r>
      <w:r>
        <w:rPr>
          <w:rFonts w:ascii="Times New Roman;sans-serif" w:hAnsi="Times New Roman;sans-serif"/>
          <w:b w:val="false"/>
          <w:color w:val="000000"/>
          <w:sz w:val="22"/>
        </w:rPr>
        <w:t>. Notwithstanding any other provision of this Agreement (including without limitation paragraph 3(a) hereof):</w:t>
      </w:r>
    </w:p>
    <w:p>
      <w:pPr>
        <w:pStyle w:val="TextBody"/>
        <w:bidi w:val="0"/>
        <w:spacing w:lineRule="auto" w:line="276" w:before="236"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(i)The Award shall not become payable to the Participant or his or her legal representative unless and until the Participant or his or her legal representative shall have satisfied all applicable withholding obligations for Tax-Related Items (as defined in paragraph 8 below), if any, in accordance with paragraph 8 hereof.</w:t>
      </w:r>
    </w:p>
    <w:p>
      <w:pPr>
        <w:pStyle w:val="TextBody"/>
        <w:bidi w:val="0"/>
        <w:spacing w:lineRule="auto" w:line="276" w:before="226"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(ii)The Company shall not be required to issue or deliver any certificate or certificates (whether in electronic or other form) for any shares of Common Stock in payment of the Award prior to the fulfillment of all of the following conditions: (A) the admission of the Common Stock to listing on all stock exchanges on which the Common Stock is then listed, (B) the completion of any registration or other qualification of the Common Stock under any state or federal law or under rulings or regulations of the Commission or other governmental regulatory body, which the Committee shall, in its sole and absolute discretion, deem necessary and advisable, or if the offering of the Common Stock is not so registered, a determination by the Company that the issuance of the Common Stock would be exempt from any such registration or qualification requirements, (C) the obtaining of any approval or other clearance from any state, federal or foreign governmental agency that the Committee shall, in its absolute discretion, determine to be necessary or advisable and (D) the lapse of any such reasonable period of time</w:t>
      </w:r>
    </w:p>
    <w:p>
      <w:pPr>
        <w:pStyle w:val="TextBody"/>
        <w:bidi w:val="0"/>
        <w:spacing w:lineRule="auto" w:line="271" w:before="388"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p>
      <w:pPr>
        <w:pStyle w:val="TextBody"/>
        <w:bidi w:val="0"/>
        <w:spacing w:lineRule="auto" w:line="266"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2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7"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following the date the Award becomes payable as the Committee may from time to time establish for reasons of administrative convenience, subject to compliance with Section 409A of the Code.</w:t>
      </w:r>
    </w:p>
    <w:p>
      <w:pPr>
        <w:pStyle w:val="TextBody"/>
        <w:bidi w:val="0"/>
        <w:spacing w:lineRule="auto" w:line="276" w:before="232" w:after="283"/>
        <w:ind w:left="0" w:right="0" w:firstLine="720"/>
        <w:jc w:val="left"/>
        <w:rPr/>
      </w:pPr>
      <w:r>
        <w:rPr>
          <w:rFonts w:ascii="Times New Roman;sans-serif" w:hAnsi="Times New Roman;sans-serif"/>
          <w:b w:val="false"/>
          <w:color w:val="000000"/>
          <w:sz w:val="22"/>
        </w:rPr>
        <w:t>(c)    </w:t>
      </w:r>
      <w:r>
        <w:rPr>
          <w:rFonts w:ascii="Times New Roman;sans-serif" w:hAnsi="Times New Roman;sans-serif"/>
          <w:b w:val="false"/>
          <w:color w:val="000000"/>
          <w:sz w:val="22"/>
          <w:u w:val="single"/>
        </w:rPr>
        <w:t>Payment Amount</w:t>
      </w:r>
      <w:r>
        <w:rPr>
          <w:rFonts w:ascii="Times New Roman;sans-serif" w:hAnsi="Times New Roman;sans-serif"/>
          <w:b w:val="false"/>
          <w:color w:val="000000"/>
          <w:sz w:val="22"/>
        </w:rPr>
        <w:t>. The Committee shall retain the right, in its sole discretion, to modify the Performance Goal Attainment Factors (resulting in a reduction, an increase or elimination (including to zero) of, the amount otherwise payable under the LTI Grant) to take into account recommendations of the Chief Executive Officer of the Company and/or such additional factors including qualitative factors, if any, that the Committee may deem relevant to the assessment of individual or corporate performance for the Performance Cycle.</w:t>
      </w:r>
    </w:p>
    <w:p>
      <w:pPr>
        <w:pStyle w:val="TextBody"/>
        <w:bidi w:val="0"/>
        <w:spacing w:lineRule="auto" w:line="276" w:before="241" w:after="283"/>
        <w:jc w:val="left"/>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Treatment Upon a Change in Control</w:t>
      </w:r>
      <w:r>
        <w:rPr>
          <w:rFonts w:ascii="Times New Roman;sans-serif" w:hAnsi="Times New Roman;sans-serif"/>
          <w:b w:val="false"/>
          <w:color w:val="000000"/>
          <w:sz w:val="22"/>
        </w:rPr>
        <w:t>. In the event of a Change in Control (as defined in Section 6(b) of the Plan), the LTI Grant is subject to the terms provided in Section 6 of the Plan.</w:t>
      </w:r>
    </w:p>
    <w:p>
      <w:pPr>
        <w:pStyle w:val="TextBody"/>
        <w:bidi w:val="0"/>
        <w:spacing w:lineRule="auto" w:line="276" w:before="243" w:after="283"/>
        <w:jc w:val="left"/>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Restrictions and Covenants</w:t>
      </w:r>
      <w:r>
        <w:rPr>
          <w:rFonts w:ascii="Times New Roman;sans-serif" w:hAnsi="Times New Roman;sans-serif"/>
          <w:b w:val="false"/>
          <w:color w:val="000000"/>
          <w:sz w:val="22"/>
        </w:rPr>
        <w:t>.</w:t>
      </w:r>
      <w:r>
        <w:rPr>
          <w:color w:val="000000"/>
          <w:u w:val="single"/>
        </w:rPr>
        <w:t xml:space="preserve"> </w:t>
      </w:r>
    </w:p>
    <w:p>
      <w:pPr>
        <w:pStyle w:val="TextBody"/>
        <w:bidi w:val="0"/>
        <w:spacing w:lineRule="auto" w:line="276" w:before="235"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In addition to such other conditions as may be established by the Company or the Committee, in consideration for making a Grant under the terms of the Plan, the Participant agrees and covenants as follows for a period of twelve (12) months following the date of the Participant’s termination of employment from the Mondelēz Group:</w:t>
      </w:r>
    </w:p>
    <w:p>
      <w:pPr>
        <w:pStyle w:val="TextBody"/>
        <w:bidi w:val="0"/>
        <w:spacing w:lineRule="auto" w:line="276" w:before="241"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1.to protect the Mondelēz Group’s legitimate business interests in its confidential</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information, trade secrets and goodwill, and to enable the Mondelēz Group’s ability to reserve these for the exclusive knowledge and use of the Mondelēz Group, which is of great competitive importance and commercial value to the Mondelēz Group, the Participant, without the express written permission of the Company’s chief human resources officer, will not engage in any conduct in which the Participant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Participant has reason to know has been under development by the Mondelēz Group during the Participant’s employment with the Mondelēz Group). The Participant will not engage in any activity that may require or inevitably require the Participant’s use or disclosure of the Mondelēz Group’s confidential information, proprietary information and/or trade secrets;</w:t>
      </w:r>
    </w:p>
    <w:p>
      <w:pPr>
        <w:pStyle w:val="TextBody"/>
        <w:bidi w:val="0"/>
        <w:spacing w:lineRule="auto" w:line="276" w:before="237"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2.to protect the Mondelēz Group’s investment in its employees and to ensure the long-term success of the business, the Participant, without the express written permission of the Company’s chief human resources officer, will not directly or indirectly solicit, hire, recruit, attempt to hire or recruit, or induce the termination of employment of any employee of the Mondelēz Group; and</w:t>
      </w:r>
    </w:p>
    <w:p>
      <w:pPr>
        <w:pStyle w:val="TextBody"/>
        <w:bidi w:val="0"/>
        <w:spacing w:lineRule="auto" w:line="276" w:before="237"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3.to protect the Mondelēz Group’s investment in its development of goodwill and customers and to ensure the long-term success of the business, the Participant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pStyle w:val="TextBody"/>
        <w:bidi w:val="0"/>
        <w:spacing w:lineRule="auto" w:line="271" w:before="648"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p>
      <w:pPr>
        <w:pStyle w:val="TextBody"/>
        <w:bidi w:val="0"/>
        <w:spacing w:lineRule="auto" w:line="266"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2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provisions contained herein in paragraph 6 are not in lieu of, but are in addition to the continuing obligation of the Participant (which the Participant acknowledges by accepting any Grant under the Plan) to not use or disclose the Mondelēz Group’s trade secrets or Confidential Information known to the</w:t>
      </w:r>
    </w:p>
    <w:p>
      <w:pPr>
        <w:pStyle w:val="TextBody"/>
        <w:bidi w:val="0"/>
        <w:spacing w:lineRule="auto" w:line="276" w:before="2" w:after="283"/>
        <w:jc w:val="left"/>
        <w:rPr/>
      </w:pPr>
      <w:r>
        <w:rPr>
          <w:rFonts w:ascii="Times New Roman;sans-serif" w:hAnsi="Times New Roman;sans-serif"/>
          <w:b w:val="false"/>
          <w:color w:val="000000"/>
          <w:sz w:val="22"/>
        </w:rPr>
        <w:t>Participant until any particular trade secret or Confidential Information becomes generally known (through no fault of the Participant),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Participant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lineRule="auto" w:line="276" w:before="237"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A main purpose of the Plan is to strengthen the alignment of long-term interests between participants and the Mondelēz Group by providing an ownership interest in the Company, and to prevent former employees whose interests become adverse to the Company from maintaining that ownership interest. By acceptance of any Grant (including the LTI Grant) under the Plan, the Participant</w:t>
      </w:r>
    </w:p>
    <w:p>
      <w:pPr>
        <w:pStyle w:val="TextBody"/>
        <w:bidi w:val="0"/>
        <w:spacing w:lineRule="auto" w:line="268" w:before="7"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acknowledges and agrees that if the Participant breaches any of the covenants set forth in paragraph 6(a):</w:t>
      </w:r>
    </w:p>
    <w:p>
      <w:pPr>
        <w:pStyle w:val="TextBody"/>
        <w:bidi w:val="0"/>
        <w:spacing w:lineRule="auto" w:line="276" w:before="236"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1.all unvested or unearned Grants (including any unearned portion of the LTI Grant) shall be immediately forfeited;</w:t>
      </w:r>
    </w:p>
    <w:p>
      <w:pPr>
        <w:pStyle w:val="TextBody"/>
        <w:bidi w:val="0"/>
        <w:spacing w:lineRule="auto" w:line="276" w:before="237"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unpaid or deferred Grants at any time if the Participant is not in compliance with all terms and conditions set forth in the Plan and this Agreement including, but not limited to, paragraph 6(a);</w:t>
      </w:r>
    </w:p>
    <w:p>
      <w:pPr>
        <w:pStyle w:val="TextBody"/>
        <w:bidi w:val="0"/>
        <w:spacing w:lineRule="auto" w:line="276" w:before="241"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3.the Participant shall repay to the Mondelēz Group the net proceeds of any Plan benefit that occurs at any time after the earlier of the following two dates: (i) the date twelve (12) months immediately preceding any such violation; or (ii) the date six (6) months prior to the Participant’s termination of employment with the Mondelēz Group. The Participant shall repay to the Mondelēz Group the net proceeds in such a manner and on such terms and conditions as may be required by the Mondelēz Group, and the Mondelēz Group shall be entitled to set-off against the amount of any such net proceeds any amount owed to the Participant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pStyle w:val="TextBody"/>
        <w:bidi w:val="0"/>
        <w:spacing w:lineRule="auto" w:line="276" w:before="237"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Participant acknowledges that such breach would cause the Mondelēz Group to suffer irreparable harm. The aforementioned equitable relief shall be in addition to, not in lieu of, legal remedies, monetary damages or other available forms of relief.</w:t>
      </w:r>
    </w:p>
    <w:p>
      <w:pPr>
        <w:pStyle w:val="TextBody"/>
        <w:bidi w:val="0"/>
        <w:spacing w:lineRule="auto" w:line="276" w:before="242"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    If any provision contained in this paragraph 6 shall for any reason, whether by application of existing law or law which may develop after the Participant’s acceptance of a Grant under the Plan be determined by a court of competent jurisdiction to be overly broad as to scope of activity, duration or</w:t>
      </w:r>
    </w:p>
    <w:p>
      <w:pPr>
        <w:pStyle w:val="TextBody"/>
        <w:bidi w:val="0"/>
        <w:spacing w:lineRule="auto" w:line="271" w:before="38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p>
      <w:pPr>
        <w:pStyle w:val="TextBody"/>
        <w:bidi w:val="0"/>
        <w:spacing w:lineRule="auto" w:line="266"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2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territory, the Participant agrees to join the Mondelēz Group in requesting such court to construe such provision by limiting or reducing it so as to be enforceable to the extent compatible with then applicable law.</w:t>
      </w:r>
    </w:p>
    <w:p>
      <w:pPr>
        <w:pStyle w:val="TextBody"/>
        <w:bidi w:val="0"/>
        <w:spacing w:lineRule="auto" w:line="276" w:before="226" w:after="283"/>
        <w:ind w:left="0" w:right="0" w:firstLine="792"/>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Notwithstanding the foregoing, no section of this Agreement is intended to or shall limit, prevent, impede or interfere with the Participant’s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Participant does not need prior authorization from the Mondelēz Group to make any such reports or disclosures and is not required to notify the Mondelēz Group that the Participant has made such reports or disclosures.</w:t>
      </w:r>
    </w:p>
    <w:p>
      <w:pPr>
        <w:pStyle w:val="TextBody"/>
        <w:bidi w:val="0"/>
        <w:spacing w:lineRule="auto" w:line="276" w:before="236"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(e)The Participant is hereby advised in writing to consult with an attorney before entering into the covenants outlined in this Section 6. The Participant acknowledges that prior to acceptance of this Agreement, the Participant has been advised by the Company of the Participant's right to seek independent advice from an attorney of the Participant's own selection regarding this Agreement, including the</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restraints imposed upon him or her pursuant to this Section 6. The Participant acknowledges that they have entered into this Agreement knowingly and voluntarily and with full knowledge and understanding of the provisions of this Agreement after being given the opportunity to consult with counsel. The Participant further represents that in entering into this Agreement, the Participant is not relying on any statements or representations made by any of the Company's directors, officers, employees or agents which are not expressly set forth herein, and that the Participant is relying only upon their own judgment and any advice provided by the Participant's attorney. The Participant acknowledges he or she has been provided at minimum 14 calendar days to review the provisions contained herein but may voluntarily waive this period and sign prior to the 14 calendar day period lapsing.</w:t>
      </w:r>
    </w:p>
    <w:p>
      <w:pPr>
        <w:pStyle w:val="TextBody"/>
        <w:bidi w:val="0"/>
        <w:spacing w:lineRule="auto" w:line="276" w:before="232" w:after="283"/>
        <w:ind w:left="0" w:right="0" w:firstLine="792"/>
        <w:jc w:val="left"/>
        <w:rPr>
          <w:rFonts w:ascii="Times New Roman;sans-serif" w:hAnsi="Times New Roman;sans-serif"/>
          <w:b w:val="false"/>
          <w:color w:val="000000"/>
          <w:sz w:val="22"/>
        </w:rPr>
      </w:pPr>
      <w:r>
        <w:rPr>
          <w:rFonts w:ascii="Times New Roman;sans-serif" w:hAnsi="Times New Roman;sans-serif"/>
          <w:b w:val="false"/>
          <w:color w:val="000000"/>
          <w:sz w:val="22"/>
        </w:rPr>
        <w:t>(f)For purposes of this Section 6, the Company and any member of the Mondelēz Group shall be deemed to be third-party beneficiaries with the right to seek enforcement of any of the provisions of this Section 6. Further, for purposes of this Section 6, references to acting directly or indirectly include acting jointly with or through another person.</w:t>
      </w:r>
    </w:p>
    <w:p>
      <w:pPr>
        <w:pStyle w:val="TextBody"/>
        <w:bidi w:val="0"/>
        <w:spacing w:lineRule="auto" w:line="276" w:before="227" w:after="283"/>
        <w:jc w:val="left"/>
        <w:rPr/>
      </w:pPr>
      <w:r>
        <w:rPr>
          <w:rFonts w:ascii="Times New Roman;sans-serif" w:hAnsi="Times New Roman;sans-serif"/>
          <w:b w:val="false"/>
          <w:color w:val="000000"/>
          <w:sz w:val="22"/>
        </w:rPr>
        <w:t>7.    </w:t>
      </w:r>
      <w:r>
        <w:rPr>
          <w:rFonts w:ascii="Times New Roman;sans-serif" w:hAnsi="Times New Roman;sans-serif"/>
          <w:b w:val="false"/>
          <w:color w:val="000000"/>
          <w:sz w:val="22"/>
          <w:u w:val="single"/>
        </w:rPr>
        <w:t>Clawback Policy/Forfeiture</w:t>
      </w:r>
      <w:r>
        <w:rPr>
          <w:rFonts w:ascii="Times New Roman;sans-serif" w:hAnsi="Times New Roman;sans-serif"/>
          <w:b w:val="false"/>
          <w:color w:val="000000"/>
          <w:sz w:val="22"/>
        </w:rPr>
        <w:t>. The Participant understands and agrees that in the Committee’s sole discretion, the Company may cancel all or part of the LTI Grant or require repayment by the Participant to the Company of all or part of any LTI Award Payout underlying any vested LTI Grant pursuant to any recovery, recoupment, clawback and/or other forfeiture policy maintained by the Company, including the Company’s Dodd-Frank Clawback Policy, the Company’s Compensation Recoupment Policy, and a violation of paragraph 6 above, from time to time. In addition, any payments or benefits the Participant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Exchange Act, rules promulgated by the Commission, any other applicable law, or any securities exchange on which the Common Stock is listed or traded, as may be in effect from time to time. In connection with the enforcement of such clawback policy, the Participant hereby expressly acknowledges and agrees that the Company shall have the right to reduce, cancel, or withhold against outstanding, unvested, vested, or future cash or equity-based compensation owed or due to the Participant, to the maximum extent permitted under applicable law. No such recovery will be an event giving rise to a right to resign for Good Reason or</w:t>
      </w:r>
    </w:p>
    <w:p>
      <w:pPr>
        <w:pStyle w:val="TextBody"/>
        <w:bidi w:val="0"/>
        <w:spacing w:lineRule="auto" w:line="271" w:before="60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p>
      <w:pPr>
        <w:pStyle w:val="TextBody"/>
        <w:bidi w:val="0"/>
        <w:spacing w:lineRule="auto" w:line="266"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2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 deemed a “constructive termination” (or any similar term) as such terms are used in any agreement between the Participant and the Company or under any severance plans applicable to the Participant.</w:t>
      </w:r>
    </w:p>
    <w:p>
      <w:pPr>
        <w:pStyle w:val="TextBody"/>
        <w:bidi w:val="0"/>
        <w:spacing w:lineRule="auto" w:line="276" w:before="239" w:after="283"/>
        <w:jc w:val="left"/>
        <w:rPr/>
      </w:pPr>
      <w:r>
        <w:rPr>
          <w:rFonts w:ascii="Times New Roman;sans-serif" w:hAnsi="Times New Roman;sans-serif"/>
          <w:b w:val="false"/>
          <w:color w:val="000000"/>
          <w:sz w:val="22"/>
        </w:rPr>
        <w:t>8.    </w:t>
      </w:r>
      <w:r>
        <w:rPr>
          <w:rFonts w:ascii="Times New Roman;sans-serif" w:hAnsi="Times New Roman;sans-serif"/>
          <w:b w:val="false"/>
          <w:color w:val="000000"/>
          <w:sz w:val="22"/>
          <w:u w:val="single"/>
        </w:rPr>
        <w:t>Withholding Taxes</w:t>
      </w:r>
      <w:r>
        <w:rPr>
          <w:rFonts w:ascii="Times New Roman;sans-serif" w:hAnsi="Times New Roman;sans-serif"/>
          <w:b w:val="false"/>
          <w:color w:val="000000"/>
          <w:sz w:val="22"/>
        </w:rPr>
        <w:t>. The Participant acknowledges that regardless of any action taken by the Company or, if different, the Employer, the ultimate liability for all income tax, social insurance, payroll tax, fringe benefits tax, payment on account or other tax-related items related to the Participant’s participation in the Plan and legally applicable to the Participant or deemed by the Company or the Employer, in their discretion, to be an appropriate charge to the Participant 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his or her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LTI Grant, including the vesting or payment of any Award relating to the LTI Grant, the receipt of any dividends or cash payments in lieu of dividends, or the subsequent sale of shares of Common Stock; and (b) do not commit to and are under no obligation to structure the terms of the LTI Grant or any aspect of the Participant’s participation in the Plan to reduce or eliminate his or her liability for Tax-Related Items or achieve any particular tax result. Further, if the Participant becomes subject to any Tax-Related Items in more than one jurisdiction, the Participant acknowledges that the Company and/or the Employer (or former employer, as applicable) may be required to withhold or account for (including report) Tax-Related Items in more than one jurisdiction.</w:t>
      </w:r>
    </w:p>
    <w:p>
      <w:pPr>
        <w:pStyle w:val="TextBody"/>
        <w:bidi w:val="0"/>
        <w:spacing w:lineRule="auto" w:line="276" w:before="243"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authorized to satisfy the withholding for any or all Tax-Related Items arising from the vesting or payment of any Award relating to the LTI Grant or sale of shares of Common Stock issued pursuant to the Award, as the case may be, by deducting the number of shares of Common Stock having an aggregate value equal to the amount of Tax-Related Items withholding due from the LTI Award Payout or otherwise becoming subject to current taxation. If the Company satisfies the Tax-Related Items obligation by withholding a number of shares of Common Stock as described herein, for tax purposes, the Participant will be deemed to have been issued the full number of shares of Common Stock due to the Participant at vesting, notwithstanding that a number of shares of Common Stock is held back solely for the purpose of such Tax-Related Items withholding.</w: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is also authorized to satisfy the actual Tax-Related Items arising from the vesting or payment of any Award relating to the LTI Grant, the sale of shares of Common Stock issued pursuant to the Award or hypothetical withholding tax amounts if the Participant is covered under a Company tax equalization policy, as the case may be, by the remittance of the required amounts from any proceeds realized upon the open-market sale of the Common Stock received by the Participant. Such open-market sale is on the Participant’s behalf and at the Participant’s direction pursuant to this authorization without further consent.</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Furthermore, the Company and/or the Employer are authorized to satisfy any withholding obligations with regard to all Tax-Related Items arising from the vesting or payment of any Award relating to the LTI Grant, or sale of shares issued pursuant to the Award, as the case may be, by withholding from the Participant’s wages or other cash compensation paid to the Participant by the Company and/or the Employer. Shares of Common Stock deducted from the LTI Award Payout in satisfaction of any Tax-Related Items shall be valued at the Fair Market Value of the Common Stock received in payment of the Award on the date as of which the amount giving rise to the withholding requirement first became includible in the gross income of the Participant under applicable tax laws. If the Participant is covered by a Company tax equalization policy, the Participant also agrees to pay to the Company any additional hypothetical tax obligation calculated and paid under the terms and conditions of such tax equalization policy. Finally, the Participant shall pay to the Company or the Employer any amount of Tax-Related Items that the Company or the Employer may be required to withhold as a result of his or her participation</w:t>
      </w:r>
    </w:p>
    <w:p>
      <w:pPr>
        <w:pStyle w:val="TextBody"/>
        <w:bidi w:val="0"/>
        <w:spacing w:lineRule="auto" w:line="271" w:before="3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p>
      <w:pPr>
        <w:pStyle w:val="TextBody"/>
        <w:bidi w:val="0"/>
        <w:spacing w:lineRule="auto" w:line="266"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2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6"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the Plan that cannot be satisfied by the means previously described. The Company may refuse to issue or deliver the Common Stock if the Participant fails to comply with his or her Tax-Related Items obligations.</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the Participant is subject to the short-swing profit rules of Section 16(b) of the Exchange Act, the Company will deduct the number of shares of Common Stock having an aggregate value equal to the amount of Tax-Related Items due from the LTI Award Payout, or the Committee may determine that a particular method be used to satisfy any Tax Related Items.</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may withhold or account for Tax-Related Items and any hypothetical taxes by considering statutory withholding rates or other applicable withholding rates in the Participant’s jurisdiction(s), including minimum or maximum applicable withholding rates, in which case the Participant may receive a refund of any over-withheld amount in cash and will have no entitlement to the equivalent shares of Common Stock or, if not refunded, the Participant may be able to seek a refund from the applicable tax authorities. In the event of under-withholding, the Participant may be required to pay any additional Tax-Related Items directly to the applicable tax authority or to the Company and/or the Employer.</w:t>
      </w:r>
    </w:p>
    <w:p>
      <w:pPr>
        <w:pStyle w:val="TextBody"/>
        <w:bidi w:val="0"/>
        <w:spacing w:lineRule="auto" w:line="276" w:before="236" w:after="283"/>
        <w:jc w:val="left"/>
        <w:rPr/>
      </w:pPr>
      <w:r>
        <w:rPr>
          <w:rFonts w:ascii="Times New Roman;sans-serif" w:hAnsi="Times New Roman;sans-serif"/>
          <w:b w:val="false"/>
          <w:color w:val="000000"/>
          <w:sz w:val="22"/>
        </w:rPr>
        <w:t>9.    </w:t>
      </w:r>
      <w:r>
        <w:rPr>
          <w:rFonts w:ascii="Times New Roman;sans-serif" w:hAnsi="Times New Roman;sans-serif"/>
          <w:b w:val="false"/>
          <w:color w:val="000000"/>
          <w:sz w:val="22"/>
          <w:u w:val="single"/>
        </w:rPr>
        <w:t>Nature of the Grant</w:t>
      </w:r>
      <w:r>
        <w:rPr>
          <w:rFonts w:ascii="Times New Roman;sans-serif" w:hAnsi="Times New Roman;sans-serif"/>
          <w:b w:val="false"/>
          <w:color w:val="000000"/>
          <w:sz w:val="22"/>
        </w:rPr>
        <w:t>. By participating in the Plan and in exchange for receiving the LTI Grant, the Participant acknowledges, understands and agrees that:</w:t>
      </w:r>
    </w:p>
    <w:p>
      <w:pPr>
        <w:pStyle w:val="TextBody"/>
        <w:bidi w:val="0"/>
        <w:spacing w:lineRule="auto" w:line="276" w:before="236"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(a)the Plan is established voluntarily by the Company, it is discretionary in nature and it may be modified, amended, suspended or terminated by the Company at any time, to the extent permitted by the Plan;</w:t>
      </w:r>
    </w:p>
    <w:p>
      <w:pPr>
        <w:pStyle w:val="TextBody"/>
        <w:bidi w:val="0"/>
        <w:spacing w:lineRule="auto" w:line="276" w:before="237"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(b)the LTI Grant is exceptional, voluntary and occasional and does not create any contractual or other right to receive future awards, or benefits in lieu of LTI Grants, even if LTI Grants have been made in the past;</w:t>
      </w:r>
    </w:p>
    <w:p>
      <w:pPr>
        <w:pStyle w:val="TextBody"/>
        <w:bidi w:val="0"/>
        <w:spacing w:lineRule="auto" w:line="283" w:before="229"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(c)all decisions with respect to future LTI Grants, if any, will be at the sole discretion of the Committee;</w:t>
      </w:r>
    </w:p>
    <w:p>
      <w:pPr>
        <w:pStyle w:val="TextBody"/>
        <w:bidi w:val="0"/>
        <w:spacing w:lineRule="auto" w:line="268" w:before="243"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(d)the Participant’s participation in the Plan is voluntary;</w:t>
      </w:r>
    </w:p>
    <w:p>
      <w:pPr>
        <w:pStyle w:val="TextBody"/>
        <w:bidi w:val="0"/>
        <w:spacing w:lineRule="auto" w:line="276" w:before="24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(e)the LTI Grant and the shares of Common Stock, and the income and value of same, subject to the LTI Grant are not intended to replace any pension rights or compensation;</w:t>
      </w:r>
    </w:p>
    <w:p>
      <w:pPr>
        <w:pStyle w:val="TextBody"/>
        <w:bidi w:val="0"/>
        <w:spacing w:lineRule="auto" w:line="276" w:before="237"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(f)the LTI Grant and the shares of Common Stock subject to the LTI Grant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pStyle w:val="TextBody"/>
        <w:bidi w:val="0"/>
        <w:spacing w:lineRule="auto" w:line="276" w:before="241"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(g)the future value of the underlying shares of Common Stock is unknown, indeterminable and cannot be predicted;</w:t>
      </w:r>
    </w:p>
    <w:p>
      <w:pPr>
        <w:pStyle w:val="TextBody"/>
        <w:bidi w:val="0"/>
        <w:spacing w:lineRule="auto" w:line="276" w:before="237"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(h)unless otherwise agreed with the Company, the LTI Grant and the shares of Common Stock underlying the LTI Grant, and the income and value of same, are not granted as consideration for, or in connection with, the service the Participant may provide as a director of any entity of the Mondelēz Group;</w:t>
      </w:r>
    </w:p>
    <w:p>
      <w:pPr>
        <w:pStyle w:val="TextBody"/>
        <w:bidi w:val="0"/>
        <w:spacing w:lineRule="auto" w:line="271" w:before="95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p>
      <w:pPr>
        <w:pStyle w:val="TextBody"/>
        <w:bidi w:val="0"/>
        <w:spacing w:lineRule="auto" w:line="266"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2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8" w:before="16"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(i)the LTI Grant and the shares of Common Stock subject to the LTI Grant, and the income and value of same, are not part of normal or expected compensation or salary for any purpose;</w:t>
      </w:r>
    </w:p>
    <w:p>
      <w:pPr>
        <w:pStyle w:val="TextBody"/>
        <w:bidi w:val="0"/>
        <w:spacing w:lineRule="auto" w:line="276" w:before="237"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(j)neither the Company, the Employer nor any other member of the Mondelēz Group shall be liable for any foreign exchange rate fluctuation between the Participant’s local currency and the United States Dollar that may affect the value of the LTI Grant or any shares of Common Stock delivered to the Participant upon vesting of the LTI Grant or of any proceeds resulting from the Participant’s sale of such shares; and</w:t>
      </w:r>
    </w:p>
    <w:p>
      <w:pPr>
        <w:pStyle w:val="TextBody"/>
        <w:bidi w:val="0"/>
        <w:spacing w:lineRule="auto" w:line="276" w:before="240"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(k)no claim or entitlement to compensation or damages shall arise from forfeiture of the LTI Grant or the recoupment of any shares of Common Stock acquired under the Plan resulting from (a) the failure to reach Performance Goals or termination of the Participant’s employment or other service relationship by the Company or the Employer (for any reason whatsoever, whether or not later found to be invalid or in breach of employment laws in the jurisdiction where the Participant is employed or the terms of his or her employment agreement, if any); and/or (b) the application of any recoupment policy or any recovery or clawback policy otherwise required by law.</w:t>
      </w:r>
    </w:p>
    <w:p>
      <w:pPr>
        <w:pStyle w:val="TextBody"/>
        <w:bidi w:val="0"/>
        <w:spacing w:lineRule="auto" w:line="276" w:before="236" w:after="283"/>
        <w:jc w:val="left"/>
        <w:rPr/>
      </w:pPr>
      <w:r>
        <w:rPr>
          <w:rFonts w:ascii="Times New Roman;sans-serif" w:hAnsi="Times New Roman;sans-serif"/>
          <w:b w:val="false"/>
          <w:color w:val="000000"/>
          <w:sz w:val="22"/>
        </w:rPr>
        <w:t>10.    </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Participant hereby explicitly and unambiguously consents to the collection, use and transfer, in electronic or other form, of the Participant’s personal data as described in this Agreement and any other LTI Grant materials (“</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2"/>
        </w:rPr>
        <w:t>) by and among the Mondelēz Group for the exclusive purpose of implementing, administering and managing the Participant’s participation in the Plan.</w:t>
      </w:r>
    </w:p>
    <w:p>
      <w:pPr>
        <w:pStyle w:val="TextBody"/>
        <w:bidi w:val="0"/>
        <w:spacing w:lineRule="auto" w:line="276" w:before="242" w:after="283"/>
        <w:jc w:val="left"/>
        <w:rPr>
          <w:rFonts w:ascii="Times New Roman;sans-serif" w:hAnsi="Times New Roman;sans-serif"/>
          <w:b/>
          <w:i/>
          <w:color w:val="000000"/>
          <w:sz w:val="22"/>
        </w:rPr>
      </w:pPr>
      <w:r>
        <w:rPr>
          <w:rFonts w:ascii="Times New Roman;sans-serif" w:hAnsi="Times New Roman;sans-serif"/>
          <w:b/>
          <w:i/>
          <w:color w:val="000000"/>
          <w:sz w:val="22"/>
        </w:rPr>
        <w:t>The Participant understands that the Mondelēz Group may hold certain personal information about the Participant, including, but not limited to, the Participant’s name, home address, email address and telephone number, date of birth, social security, passport or insurance number or other identification number (e.g., resident registration number), salary, nationality, job title, any shares of stock or directorships held in the Company, details of all LTI Grants or any other entitlement to shares of Common Stock or other equivalent benefits, awarded, canceled, purchased, exercised, vested, unvested or outstanding in the Participant’s favor, for the purpose of implementing, administering and managing the Plan.</w:t>
      </w:r>
    </w:p>
    <w:p>
      <w:pPr>
        <w:pStyle w:val="TextBody"/>
        <w:bidi w:val="0"/>
        <w:spacing w:lineRule="auto" w:line="276" w:before="238" w:after="283"/>
        <w:jc w:val="left"/>
        <w:rPr/>
      </w:pPr>
      <w:r>
        <w:rPr>
          <w:rFonts w:ascii="Times New Roman;sans-serif" w:hAnsi="Times New Roman;sans-serif"/>
          <w:b/>
          <w:i/>
          <w:color w:val="000000"/>
          <w:sz w:val="22"/>
        </w:rPr>
        <w:t>The Participant understands that Data will be transferred to Morgan Stanley Smith Barney, LLC and its affiliates (“</w:t>
      </w:r>
      <w:r>
        <w:rPr>
          <w:rFonts w:ascii="Times New Roman;sans-serif" w:hAnsi="Times New Roman;sans-serif"/>
          <w:b/>
          <w:i/>
          <w:color w:val="000000"/>
          <w:sz w:val="22"/>
          <w:u w:val="single"/>
        </w:rPr>
        <w:t>Morgan Stanley</w:t>
      </w:r>
      <w:r>
        <w:rPr>
          <w:color w:val="000000"/>
        </w:rPr>
        <w:t>”</w:t>
      </w:r>
      <w:r>
        <w:rPr>
          <w:rFonts w:ascii="Times New Roman;sans-serif" w:hAnsi="Times New Roman;sans-serif"/>
          <w:b/>
          <w:i/>
          <w:color w:val="000000"/>
          <w:sz w:val="22"/>
        </w:rPr>
        <w:t xml:space="preserve">), or such other stock plan service provider as may be selected by the Company in the future, which is assisting the Company with the implementation, administration and management of the Plan. The Participant understands that Data may also be transferred to the Company’s independent registered public accounting firm, PricewaterhouseCoopers LLP, KPMG LLP or such other public accounting firm that may be engaged by the Company in the future. The Participant understands that the recipients of the Data may be located in the United States or elsewhere, and that the recipients’ country (e.g., the United States) may have different data privacy laws and protections than the Participant’s country. If the Participant resides outside the United States, the Participant understands that he or she may request a list with the names and addresses of any potential recipients of the Data by contacting his or her local human resources representative. The Participant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Participant understands that Data will be held only as long as is necessary to implement, administer and manage the Participant’s participation in the Plan. If the Participant resides outside the United States, the Participant understands that he or she may, at any time, view Data, request additional information about the storage and processing of Data, require any necessary amendments to Data or </w:t>
      </w:r>
    </w:p>
    <w:p>
      <w:pPr>
        <w:pStyle w:val="TextBody"/>
        <w:bidi w:val="0"/>
        <w:spacing w:lineRule="auto" w:line="271" w:before="37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p>
      <w:pPr>
        <w:pStyle w:val="TextBody"/>
        <w:bidi w:val="0"/>
        <w:spacing w:lineRule="auto" w:line="266"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2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1" w:after="283"/>
        <w:jc w:val="left"/>
        <w:rPr>
          <w:rFonts w:ascii="Times New Roman;sans-serif" w:hAnsi="Times New Roman;sans-serif"/>
          <w:b/>
          <w:i/>
          <w:color w:val="000000"/>
          <w:sz w:val="22"/>
        </w:rPr>
      </w:pPr>
      <w:r>
        <w:rPr>
          <w:rFonts w:ascii="Times New Roman;sans-serif" w:hAnsi="Times New Roman;sans-serif"/>
          <w:b/>
          <w:i/>
          <w:color w:val="000000"/>
          <w:sz w:val="22"/>
        </w:rPr>
        <w:t>refuse or withdraw the consents herein, in any case without cost, by contacting in writing his or her local human resources representative. Further, the Participant understands that the Participant is providing the consents herein on a purely voluntary basis. If the Participant does not consent, or if the Participant later seeks to revoke his or her consent, the Participant’s employment status or service with the Employer will not be affected; the only consequence of refusing or withdrawing the Participant’s consent is that the Company would not be able to grant the Participant an LTI Grant or other equity awards or administer or maintain such Grants. The Participant also understands that the Company has no obligation to substitute other forms of Grants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the Participant’s local human resources representative.</w:t>
      </w:r>
    </w:p>
    <w:p>
      <w:pPr>
        <w:pStyle w:val="TextBody"/>
        <w:bidi w:val="0"/>
        <w:spacing w:lineRule="auto" w:line="276" w:before="240" w:after="283"/>
        <w:jc w:val="left"/>
        <w:rPr>
          <w:rFonts w:ascii="Times New Roman;sans-serif" w:hAnsi="Times New Roman;sans-serif"/>
          <w:b/>
          <w:i/>
          <w:color w:val="000000"/>
          <w:sz w:val="22"/>
        </w:rPr>
      </w:pPr>
      <w:r>
        <w:rPr>
          <w:rFonts w:ascii="Times New Roman;sans-serif" w:hAnsi="Times New Roman;sans-serif"/>
          <w:b/>
          <w:i/>
          <w:color w:val="000000"/>
          <w:sz w:val="22"/>
        </w:rPr>
        <w:t>Further, upon request of the Company or the Employer, the Participant agrees to provide an executed data privacy form (or any other agreements or consents) that the Company and/or the Employer may deem necessary to obtain from the Participant for the purpose of administering his or her participation in the Plan in compliance with the data privacy laws in the Participant’s country, either now or in the future. The Participant understands and agrees that he or she will not be able to participate in the Plan if the Participant fails to provide any such consent or agreement requested by the Company and/or the Employer.</w:t>
      </w:r>
    </w:p>
    <w:p>
      <w:pPr>
        <w:pStyle w:val="TextBody"/>
        <w:bidi w:val="0"/>
        <w:spacing w:lineRule="auto" w:line="276" w:before="233" w:after="283"/>
        <w:jc w:val="left"/>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Nontransferability of LTI Grant</w:t>
      </w:r>
      <w:r>
        <w:rPr>
          <w:rFonts w:ascii="Times New Roman;sans-serif" w:hAnsi="Times New Roman;sans-serif"/>
          <w:b w:val="false"/>
          <w:color w:val="000000"/>
          <w:sz w:val="22"/>
        </w:rPr>
        <w:t>. The LTI Grant or the interests or rights therein may not be transferred in any manner other than by will or by the laws of descent and distribution applicable to the Participant, and may not be assigned, hypothecated or otherwise pledged and shall not be subject to execution, attachment or similar process. Upon any attempt to effect any such disposition, or upon the levy of any such process, in violation of the provisions herein, the LTI Grant shall immediately become null and void and any rights to receive a payment under the LTI Grant shall be forfeited.</w:t>
      </w:r>
    </w:p>
    <w:p>
      <w:pPr>
        <w:pStyle w:val="TextBody"/>
        <w:bidi w:val="0"/>
        <w:spacing w:lineRule="auto" w:line="276" w:before="230" w:after="283"/>
        <w:jc w:val="left"/>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Rights as Shareholder</w:t>
      </w:r>
      <w:r>
        <w:rPr>
          <w:rFonts w:ascii="Times New Roman;sans-serif" w:hAnsi="Times New Roman;sans-serif"/>
          <w:b w:val="false"/>
          <w:color w:val="000000"/>
          <w:sz w:val="22"/>
        </w:rPr>
        <w:t>. Neither the Participant nor any person claiming under or through the Participant shall have any of the rights or privileges of a shareholder of the Company in respect of any shares of Common Stock issuable hereunder unless and until certificates representing such Common Stock (which may be in uncertificated form) will have been issued and recorded on the books and records of the Company or its transfer agents or registrars, and delivered to the Participant (including through electronic delivery to a brokerage account). After such issuance, recordation and delivery, the Participant shall have all the rights of a shareholder of the Company, including with respect to the right to vote the Common Stock and the right to receive any cash or share dividends or other distributions paid to or made with respect to the Common Stock. Notwithstanding the foregoing, in accordance with Section 9 of the Plan, the Company may provide for the accrual of dividend equivalents on the outstanding LTI Grant which shall be subject to the same vesting restrictions and conditions as the LTI Grant and may be subject to such additional restrictions and conditions as the Committee may establish.</w:t>
      </w:r>
    </w:p>
    <w:p>
      <w:pPr>
        <w:pStyle w:val="TextBody"/>
        <w:bidi w:val="0"/>
        <w:spacing w:lineRule="auto" w:line="276" w:before="232" w:after="283"/>
        <w:jc w:val="left"/>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Adjustments</w:t>
      </w:r>
      <w:r>
        <w:rPr>
          <w:rFonts w:ascii="Times New Roman;sans-serif" w:hAnsi="Times New Roman;sans-serif"/>
          <w:b w:val="false"/>
          <w:color w:val="000000"/>
          <w:sz w:val="22"/>
        </w:rPr>
        <w:t>. The Committee may make such adjustments to one or more of the Performance Goals, as well as the manner in which the LTI Award Payout is calculated, as the Committee in its sole discretion deems appropriate. The Participant shall be notified of such adjustment and such adjustment shall be binding upon the Company and the Participant.</w:t>
      </w:r>
    </w:p>
    <w:p>
      <w:pPr>
        <w:pStyle w:val="TextBody"/>
        <w:bidi w:val="0"/>
        <w:spacing w:lineRule="auto" w:line="276" w:before="237" w:after="283"/>
        <w:jc w:val="left"/>
        <w:rPr/>
      </w:pPr>
      <w:r>
        <w:rPr>
          <w:rFonts w:ascii="Times New Roman;sans-serif" w:hAnsi="Times New Roman;sans-serif"/>
          <w:b w:val="false"/>
          <w:color w:val="000000"/>
          <w:sz w:val="22"/>
        </w:rPr>
        <w:t>14.</w:t>
      </w:r>
      <w:r>
        <w:rPr>
          <w:rFonts w:ascii="Times New Roman;sans-serif" w:hAnsi="Times New Roman;sans-serif"/>
          <w:b w:val="false"/>
          <w:color w:val="000000"/>
          <w:sz w:val="22"/>
          <w:u w:val="single"/>
        </w:rPr>
        <w:t>NO GUARANTEE OF CONTINUED EMPLOYMENT</w:t>
      </w:r>
      <w:r>
        <w:rPr>
          <w:rFonts w:ascii="Times New Roman;sans-serif" w:hAnsi="Times New Roman;sans-serif"/>
          <w:b w:val="false"/>
          <w:color w:val="000000"/>
          <w:sz w:val="22"/>
        </w:rPr>
        <w:t>. THE PARTICIPANT HEREBY ACKNOWLEDGES AND AGREES THAT THE VESTING OF THE LTI GRANT PURSUANT TO THE PROVISIONS OF THE PLAN AND THIS AGREEMENT IS EARNED ONLY IF THE PERFORMANCE GOALS ARE ATTAINED AND THE OTHER TERMS AND CONDITIONS SET</w:t>
      </w:r>
    </w:p>
    <w:p>
      <w:pPr>
        <w:pStyle w:val="TextBody"/>
        <w:bidi w:val="0"/>
        <w:spacing w:lineRule="auto" w:line="271" w:before="36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p>
      <w:pPr>
        <w:pStyle w:val="TextBody"/>
        <w:bidi w:val="0"/>
        <w:spacing w:lineRule="auto" w:line="266"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2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1"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FORTH IN THIS AGREEMENT AND THE PLAN ARE SATISFIED AND BY THE PARTICIPANT CONTINUING TO BE EMPLOYED (SUBJECT TO THE PROVISIONS OF PARAGRAPH 3(b) HEREOF) AT THE WILL OF THE EMPLOYER (AND NOT THROUGH THE ACT OF BEING EMPLOYED BY THE EMPLOYER, BEING GRANTED AN LTI GRANT, OR RECEIVING COMMON STOCK HEREUNDER). THE PARTICIPANT FURTHER ACKNOWLEDGES AND AGREES THAT THIS AGREEMENT, THE TRANSACTIONS CONTEMPLATED HEREUNDER AND THE RIGHT TO EARN A PAYMENT UNDER THE LTI GRANT SET FORTH HEREIN DO NOT CONSTITUTE AN EXPRESS OR IMPLIED PROMISE OF CONTINUED EMPLOYMENT DURING THE PERFORMANCE CYCLE, FOR ANY PERIOD, OR AT ALL, AND SHALL NOT INTERFERE WITH THE PARTICIPANT’S RIGHT OR THE RIGHT OF THE EMPLOYER TO TERMINATE THE PARTICIPANT’S EMPLOYMENT AT ANY TIME, WITH OR WITHOUT CAUSE AND IN ACCORDANCE WITH APPLICABLE EMPLOYMENT LAWS OF THE COUNTRY WHERE THE PARTICIPANT RESIDES OR BE INTERPRETED AS FORMING AN EMPLOYMENT OR SERVICE CONTRACT WITH THE EMPLOYER.</w:t>
      </w:r>
    </w:p>
    <w:p>
      <w:pPr>
        <w:pStyle w:val="TextBody"/>
        <w:bidi w:val="0"/>
        <w:spacing w:lineRule="auto" w:line="276" w:before="240" w:after="283"/>
        <w:jc w:val="left"/>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The Notice, 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as provided in the Notice, the Plan or this Agreement or by means of a writing signed by the Company and the Participant. Nothing in the Notice, the Plan and this Agreement (except as expressly provided therein) is intended to confer any rights or remedies on any persons other than the parties. The Notice, the Plan and this Agreement are to be construed in accordance with and governed by the substantive laws of the Commonwealth of Virginia, U.S.A., without giving effect to any choice of law rule that would cause the application of the laws of any jurisdiction other than the substantive laws of the Commonwealth of Virginia to the rights and duties of the parties. Unless otherwise provided in the Notice, the Plan or this Agreement, the Participant is deemed to submit to the exclusive jurisdiction of the Commonwealth of Virginia, U.S.A., and agrees that such litigation shall be conducted in the courts of Henrico County, Virginia, or the federal courts for the United States for the Eastern District of Virginia.</w:t>
      </w:r>
    </w:p>
    <w:p>
      <w:pPr>
        <w:pStyle w:val="TextBody"/>
        <w:bidi w:val="0"/>
        <w:spacing w:lineRule="auto" w:line="276" w:before="237" w:after="283"/>
        <w:jc w:val="left"/>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Participant acknowledges that the Notice,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Notice, the Plan and this Agreement shall be administered, and the LTI Grant is made, only in such a manner as to conform to such laws, rules and regulations. To the extent permitted by applicable law, the Notice, the Plan and this Agreement shall be deemed amended to the extent necessary to conform to such laws, rules and regulations.</w:t>
      </w:r>
    </w:p>
    <w:p>
      <w:pPr>
        <w:pStyle w:val="TextBody"/>
        <w:bidi w:val="0"/>
        <w:spacing w:lineRule="auto" w:line="276" w:before="241" w:after="283"/>
        <w:jc w:val="left"/>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Administration and Interpretation</w:t>
      </w:r>
      <w:r>
        <w:rPr>
          <w:rFonts w:ascii="Times New Roman;sans-serif" w:hAnsi="Times New Roman;sans-serif"/>
          <w:b w:val="false"/>
          <w:color w:val="000000"/>
          <w:sz w:val="22"/>
        </w:rPr>
        <w:t>. The terms and provisions of the Plan (a copy of which will be made available online or furnished to the Participant upon written request to the Corporate Secretary, Mondelēz International, Inc., 905 West Fulton Market, Suite 200, Chicago, Illinois 60607, U.S.A.) are incorporated herein by reference. To the extent any provision in the Notice or this Agreement is inconsistent or in conflict with any term or provision of the Plan, the Plan shall govern except as otherwise expressly set forth in this Agreement. The LTI Grant, the vesting of the LTI Grant and any issuance of Common Stock upon payment of the LTI Grant are subject to, and shall be administered in accordance with, the provisions of the Plan, as the same may be amended from time to time. Any question or dispute regarding the administration or interpretation of the Notice, the Plan and this Agreement shall be submitted by the Participant or by the Company to the Committee. The resolution of such question or dispute by the Committee shall be final and binding on all persons.</w:t>
      </w:r>
    </w:p>
    <w:p>
      <w:pPr>
        <w:pStyle w:val="TextBody"/>
        <w:bidi w:val="0"/>
        <w:spacing w:lineRule="auto" w:line="271" w:before="596"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p>
      <w:pPr>
        <w:pStyle w:val="TextBody"/>
        <w:bidi w:val="0"/>
        <w:spacing w:lineRule="auto" w:line="266"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2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 w:after="283"/>
        <w:jc w:val="left"/>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The captions used in the Notice and this Agreement are inserted for convenience and shall not be deemed a part of the LTI Grant for construction or interpretation.</w:t>
      </w:r>
    </w:p>
    <w:p>
      <w:pPr>
        <w:pStyle w:val="TextBody"/>
        <w:bidi w:val="0"/>
        <w:spacing w:lineRule="auto" w:line="276" w:before="229" w:after="283"/>
        <w:jc w:val="left"/>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Participant related to current or future participation in the Plan may also be delivered through electronic means as described in paragraph 26 below.</w:t>
      </w:r>
    </w:p>
    <w:p>
      <w:pPr>
        <w:pStyle w:val="TextBody"/>
        <w:bidi w:val="0"/>
        <w:spacing w:lineRule="auto" w:line="276" w:before="237" w:after="283"/>
        <w:jc w:val="left"/>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the Participant and his or her heirs, executors, administrators, successors and assigns.</w:t>
      </w:r>
    </w:p>
    <w:p>
      <w:pPr>
        <w:pStyle w:val="TextBody"/>
        <w:bidi w:val="0"/>
        <w:spacing w:lineRule="auto" w:line="276" w:before="237" w:after="283"/>
        <w:jc w:val="left"/>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Whenever feasible, each provision of the Notice, this Agreement and the Plan shall be interpreted in such manner as to be effective and valid under applicable law, but if any provision in the Notice, the Plan or this Agreement is held to be prohibited by or invalid under applicable law, such provision will be ineffective only to the extent of such prohibition or invalidity, without invalidating the remainder of the Notice, the Plan or this Agreement.</w:t>
      </w:r>
    </w:p>
    <w:p>
      <w:pPr>
        <w:pStyle w:val="TextBody"/>
        <w:bidi w:val="0"/>
        <w:spacing w:lineRule="auto" w:line="276" w:before="226" w:after="283"/>
        <w:jc w:val="left"/>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Code Section 409A</w:t>
      </w:r>
      <w:r>
        <w:rPr>
          <w:rFonts w:ascii="Times New Roman;sans-serif" w:hAnsi="Times New Roman;sans-serif"/>
          <w:b w:val="false"/>
          <w:color w:val="000000"/>
          <w:sz w:val="22"/>
        </w:rPr>
        <w:t>. This LTI Grant is intended to be exempt from, or otherwise comply with, Section 409A of the Code and shall be interpreted, operated and administered in a manner consistent with such intent. The Company reserves the right, to amend or modify this Agreement at any time, without the consent of the Participant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LTI Grant made hereunder, and Mondelēz Group shall not under any circumstances have any liability to any participant or his estate or any other party for any taxes, penalties or interest due on amounts paid or payable under this Agreement, including taxes, penalties or interest imposed under Section 409A of the Code.</w:t>
      </w:r>
    </w:p>
    <w:p>
      <w:pPr>
        <w:pStyle w:val="TextBody"/>
        <w:bidi w:val="0"/>
        <w:spacing w:lineRule="auto" w:line="276" w:before="229"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anything to the contrary in the Agreement, if the Award is considered nonqualified deferred compensation subject to Section 409A of the Code (“Deferred Compensation”) and is settled on or on a date that is by reference to the Participant’s “separation from service” and the Participant is a “specified employee” (each within the meaning of Section 409A of the Code and each determined by the Company it its sole discretion) on the date the Participant experiences a separation from service, then the Award (or applicable portion thereof) shall be settled on the first business day of the seventh month following the Participant’s separation from service, or, if earlier, on the date of the Participant’s death, to the extent such delayed payment is required in order to avoid a prohibited distribution under Section 409A of the Code.</w:t>
      </w:r>
    </w:p>
    <w:p>
      <w:pPr>
        <w:pStyle w:val="TextBody"/>
        <w:bidi w:val="0"/>
        <w:spacing w:lineRule="auto" w:line="276" w:before="236" w:after="283"/>
        <w:jc w:val="left"/>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No Advice Regarding LTI Grant</w:t>
      </w:r>
      <w:r>
        <w:rPr>
          <w:rFonts w:ascii="Times New Roman;sans-serif" w:hAnsi="Times New Roman;sans-serif"/>
          <w:b w:val="false"/>
          <w:color w:val="000000"/>
          <w:sz w:val="22"/>
        </w:rPr>
        <w:t>. The Company is not providing any tax, legal or financial advice, nor is the Company making any recommendations regarding the Participant’s participation in the Plan or the Participant’s acquisition or sale of any shares of Common Stock issued in payment of the LTI Grant.</w:t>
      </w:r>
    </w:p>
    <w:p>
      <w:pPr>
        <w:pStyle w:val="TextBody"/>
        <w:bidi w:val="0"/>
        <w:spacing w:lineRule="auto" w:line="271" w:before="38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p>
      <w:pPr>
        <w:pStyle w:val="TextBody"/>
        <w:bidi w:val="0"/>
        <w:spacing w:lineRule="auto" w:line="266" w:before="2"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2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understands and agrees that the Participant should consult with his or her own personal tax, legal and financial advisors regarding the Participant’s participation in the Plan before taking any action related to the Plan.</w:t>
      </w:r>
    </w:p>
    <w:p>
      <w:pPr>
        <w:pStyle w:val="TextBody"/>
        <w:bidi w:val="0"/>
        <w:spacing w:lineRule="auto" w:line="276" w:before="233" w:after="283"/>
        <w:jc w:val="left"/>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Participant acknowledges that he or she is sufficiently proficient in English, or, alternatively, the Participant acknowledges that he or she will seek appropriate assistance, to understand the terms and conditions in the Agreement. Furthermore, if the Participant has received this Agreement or any other document related to the Plan translated into a language other than English and if the meaning of the translated version is different than the English version, the English version will control, unless otherwise required by applicable law.</w:t>
      </w:r>
    </w:p>
    <w:p>
      <w:pPr>
        <w:pStyle w:val="TextBody"/>
        <w:bidi w:val="0"/>
        <w:spacing w:lineRule="auto" w:line="276" w:before="233" w:after="283"/>
        <w:jc w:val="left"/>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LTI Grant shall be subject to any terms and conditions set forth in Appendix A to this Agreement for the Participant’s country. Moreover, if the Participant relocates to one of the countries included in Appendix A, the terms and conditions for such country will apply to the Participant, to the extent the Company determines that the application of such terms and conditions is necessary or advisable for legal or administrative reasons. Appendix A constitutes part of this Agreement.</w:t>
      </w:r>
    </w:p>
    <w:p>
      <w:pPr>
        <w:pStyle w:val="TextBody"/>
        <w:bidi w:val="0"/>
        <w:spacing w:lineRule="auto" w:line="276" w:before="237" w:after="283"/>
        <w:jc w:val="left"/>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276" w:before="232" w:after="283"/>
        <w:jc w:val="left"/>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Participant’s participation in the Plan or on the LTI Grant and on any shares of Common Stock issued in payment of the LTI Grant, to the extent the Company determines it is necessary or advisable for legal or administrative reasons and to require the Participant to sign any additional agreements or undertakings that may be necessary to accomplish the foregoing.</w:t>
      </w:r>
    </w:p>
    <w:p>
      <w:pPr>
        <w:pStyle w:val="TextBody"/>
        <w:bidi w:val="0"/>
        <w:spacing w:lineRule="auto" w:line="276" w:before="227" w:after="283"/>
        <w:jc w:val="left"/>
        <w:rPr/>
      </w:pPr>
      <w:r>
        <w:rPr>
          <w:rFonts w:ascii="Times New Roman;sans-serif" w:hAnsi="Times New Roman;sans-serif"/>
          <w:b w:val="false"/>
          <w:color w:val="000000"/>
          <w:sz w:val="22"/>
        </w:rPr>
        <w:t>28.</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Participant may be subject to insider trading and/or market abuse laws, which affect the Participant’s ability to accept, acquire, sell or 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LTI Grant) or rights linked to the value of shares of Common Stock under the Plan during such times as the Participant is considered to have “material nonpublic information” or “insider information” regarding the Company (as defined by the laws or regulations in the relevant jurisdictions). Local insider trading laws and regulations may prohibit the cancellation or amendment of orders the Participant places before the Participant possessed inside information. Furthermore, the Participant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Participant acknowledges that it is his or her responsibility to be compliant with any applicable restrictions, and that the Participant should speak to his or her personal advisor on this matter.</w:t>
      </w:r>
    </w:p>
    <w:p>
      <w:pPr>
        <w:pStyle w:val="TextBody"/>
        <w:bidi w:val="0"/>
        <w:spacing w:lineRule="auto" w:line="276" w:before="232" w:after="283"/>
        <w:jc w:val="left"/>
        <w:rPr/>
      </w:pPr>
      <w:r>
        <w:rPr>
          <w:rFonts w:ascii="Times New Roman;sans-serif" w:hAnsi="Times New Roman;sans-serif"/>
          <w:b w:val="false"/>
          <w:color w:val="000000"/>
          <w:sz w:val="22"/>
        </w:rPr>
        <w:t>29.</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xml:space="preserve">. The Participant acknowledges that there may be exchange control, tax, foreign asset and/or account reporting requirements which may affect the Participant’s ability to acquire or hold shares of Common Stock acquired under the Plan or cash received from participating in the Plan (including from any dividends paid on shares of Common Stock acquired under the Plan) in a brokerage, bank account or legal entity outside the Participant’s country. The Participant may be required to report such accounts, balances, assets and/or the related transactions to the tax or other authorities in his or her country. The Participant also may be required to repatriate sale proceeds or other funds received as a result of the Participant’s participation in the Plan to his or her country through a designated bank or broker within a certain time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2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after receipt. In addition, the Participant agrees to take any and all actions required by the Company, any other entity in the Mondelēz Group or the local laws, rules and regulations in the Participant’s country of residence (and country of employment, if different) that may be required to comply with such laws, rules and regulations. The Participant acknowledges that it is the Participant’s responsibility to be compliant with such regulations, and the Participant understands and agrees that the Participant should consult his or her personal legal advisor for any details.</w:t>
      </w:r>
    </w:p>
    <w:p>
      <w:pPr>
        <w:pStyle w:val="TextBody"/>
        <w:bidi w:val="0"/>
        <w:spacing w:lineRule="auto" w:line="276" w:before="237" w:after="283"/>
        <w:jc w:val="left"/>
        <w:rPr/>
      </w:pPr>
      <w:r>
        <w:rPr>
          <w:rFonts w:ascii="Times New Roman;sans-serif" w:hAnsi="Times New Roman;sans-serif"/>
          <w:b w:val="false"/>
          <w:color w:val="000000"/>
          <w:sz w:val="22"/>
        </w:rPr>
        <w:t>30.    </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Participant acknowledges that a waiver by the Company of a breach of any provision of this Agreement shall not operate or be construed as a waiver of any other provision of this Agreement or of any subsequent breach by the Participant or any other participant of the Plan.</w:t>
      </w:r>
    </w:p>
    <w:p>
      <w:pPr>
        <w:pStyle w:val="TextBody"/>
        <w:bidi w:val="0"/>
        <w:spacing w:before="15" w:after="245"/>
        <w:jc w:val="center"/>
        <w:rPr/>
      </w:pPr>
      <w:r>
        <w:rPr/>
      </w:r>
    </w:p>
    <w:p>
      <w:pPr>
        <w:pStyle w:val="TextBody"/>
        <w:bidi w:val="0"/>
        <w:spacing w:lineRule="auto" w:line="276" w:before="15" w:after="245"/>
        <w:jc w:val="center"/>
        <w:rPr>
          <w:rFonts w:ascii="Times New Roman;sans-serif" w:hAnsi="Times New Roman;sans-serif"/>
          <w:b w:val="false"/>
          <w:color w:val="000000"/>
          <w:sz w:val="22"/>
        </w:rPr>
      </w:pPr>
      <w:r>
        <w:rPr>
          <w:rFonts w:ascii="Times New Roman;sans-serif" w:hAnsi="Times New Roman;sans-serif"/>
          <w:b w:val="false"/>
          <w:color w:val="000000"/>
          <w:sz w:val="22"/>
        </w:rPr>
        <w:t>***</w:t>
      </w:r>
    </w:p>
    <w:p>
      <w:pPr>
        <w:pStyle w:val="TextBody"/>
        <w:bidi w:val="0"/>
        <w:spacing w:lineRule="auto" w:line="276"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Participant acknowledges that the Participant has reviewed the Plan, the Notice and this Agreement (including any appendices hereto) in their entirety and fully understands their respective provisions. The Participant agrees to accept as binding, conclusive and final all decisions or interpretations of the Committee upon any questions arising under the Plan, the Notice or this Agreement.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Agreement has been executed as of the date of the Notice.</w:t>
      </w:r>
    </w:p>
    <w:p>
      <w:pPr>
        <w:pStyle w:val="TextBody"/>
        <w:bidi w:val="0"/>
        <w:spacing w:lineRule="auto" w:line="261" w:before="745" w:after="279"/>
        <w:jc w:val="left"/>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p>
      <w:pPr>
        <w:pStyle w:val="TextBody"/>
        <w:bidi w:val="0"/>
        <w:spacing w:lineRule="auto" w:line="288" w:before="0" w:after="324"/>
        <w:jc w:val="left"/>
        <w:rPr>
          <w:rFonts w:ascii="Times New Roman;sans-serif" w:hAnsi="Times New Roman;sans-serif"/>
          <w:b w:val="false"/>
          <w:color w:val="000000"/>
          <w:sz w:val="22"/>
        </w:rPr>
      </w:pPr>
      <w:r>
        <w:rPr>
          <w:rFonts w:ascii="Times New Roman;sans-serif" w:hAnsi="Times New Roman;sans-serif"/>
          <w:b w:val="false"/>
          <w:color w:val="000000"/>
          <w:sz w:val="22"/>
        </w:rPr>
        <w:t>/s/ Laura Stein</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Laura Stein</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w: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Corporate &amp; Legal Affairs, General Counsel</w:t>
      </w:r>
    </w:p>
    <w:p>
      <w:pPr>
        <w:pStyle w:val="TextBody"/>
        <w:bidi w:val="0"/>
        <w:spacing w:lineRule="auto" w:line="288" w:before="0" w:after="100"/>
        <w:jc w:val="left"/>
        <w:rPr>
          <w:rFonts w:ascii="Times New Roman;sans-serif" w:hAnsi="Times New Roman;sans-serif"/>
          <w:b w:val="false"/>
          <w:color w:val="000000"/>
          <w:sz w:val="22"/>
        </w:rPr>
      </w:pPr>
      <w:r>
        <w:rPr>
          <w:rFonts w:ascii="Times New Roman;sans-serif" w:hAnsi="Times New Roman;sans-serif"/>
          <w:b w:val="false"/>
          <w:color w:val="000000"/>
          <w:sz w:val="22"/>
        </w:rPr>
        <w:t>and Corporate Secretary</w:t>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0" w:after="100"/>
        <w:jc w:val="left"/>
        <w:rPr/>
      </w:pPr>
      <w:r>
        <w:rPr/>
      </w:r>
    </w:p>
    <w:p>
      <w:pPr>
        <w:pStyle w:val="TextBody"/>
        <w:bidi w:val="0"/>
        <w:spacing w:before="23" w:after="284"/>
        <w:jc w:val="center"/>
        <w:rPr/>
      </w:pPr>
      <w:r>
        <w:rPr/>
      </w:r>
    </w:p>
    <w:p>
      <w:pPr>
        <w:pStyle w:val="TextBody"/>
        <w:bidi w:val="0"/>
        <w:spacing w:before="23" w:after="284"/>
        <w:jc w:val="center"/>
        <w:rPr/>
      </w:pPr>
      <w:r>
        <w:rPr/>
      </w:r>
    </w:p>
    <w:p>
      <w:pPr>
        <w:pStyle w:val="TextBody"/>
        <w:bidi w:val="0"/>
        <w:spacing w:lineRule="auto" w:line="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2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4" w:after="283"/>
        <w:jc w:val="center"/>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r>
    </w:p>
    <w:p>
      <w:pPr>
        <w:pStyle w:val="TextBody"/>
        <w:bidi w:val="0"/>
        <w:spacing w:lineRule="auto" w:line="271" w:before="5" w:after="283"/>
        <w:jc w:val="center"/>
        <w:rPr>
          <w:rFonts w:ascii="Times New Roman;sans-serif" w:hAnsi="Times New Roman;sans-serif"/>
          <w:b/>
          <w:color w:val="000000"/>
          <w:sz w:val="22"/>
        </w:rPr>
      </w:pPr>
      <w:r>
        <w:rPr>
          <w:rFonts w:ascii="Times New Roman;sans-serif" w:hAnsi="Times New Roman;sans-serif"/>
          <w:b/>
          <w:color w:val="000000"/>
          <w:sz w:val="22"/>
        </w:rPr>
        <w:t>AMENDED AND RESTATED 2005 PERFORMANCE INCENTIVE PLAN</w:t>
      </w:r>
    </w:p>
    <w:p>
      <w:pPr>
        <w:pStyle w:val="TextBody"/>
        <w:bidi w:val="0"/>
        <w:spacing w:lineRule="auto" w:line="271" w:before="7" w:after="283"/>
        <w:jc w:val="center"/>
        <w:rPr>
          <w:rFonts w:ascii="Times New Roman;sans-serif" w:hAnsi="Times New Roman;sans-serif"/>
          <w:b/>
          <w:color w:val="000000"/>
          <w:sz w:val="22"/>
        </w:rPr>
      </w:pPr>
      <w:r>
        <w:rPr>
          <w:rFonts w:ascii="Times New Roman;sans-serif" w:hAnsi="Times New Roman;sans-serif"/>
          <w:b/>
          <w:color w:val="000000"/>
          <w:sz w:val="22"/>
        </w:rPr>
        <w:t>(Amended and Restated as of February 3, 2017)</w:t>
      </w:r>
    </w:p>
    <w:p>
      <w:pPr>
        <w:pStyle w:val="TextBody"/>
        <w:bidi w:val="0"/>
        <w:spacing w:lineRule="auto" w:line="278" w:before="253" w:after="283"/>
        <w:jc w:val="center"/>
        <w:rPr>
          <w:rFonts w:ascii="Times New Roman;sans-serif" w:hAnsi="Times New Roman;sans-serif"/>
          <w:b/>
          <w:color w:val="000000"/>
          <w:sz w:val="22"/>
        </w:rPr>
      </w:pPr>
      <w:r>
        <w:rPr>
          <w:rFonts w:ascii="Times New Roman;sans-serif" w:hAnsi="Times New Roman;sans-serif"/>
          <w:b/>
          <w:color w:val="000000"/>
          <w:sz w:val="22"/>
        </w:rPr>
        <w:t xml:space="preserve">ADDITIONAL TERMS AND CONDITIONS OF THE </w:t>
        <w:br/>
        <w:t>GLOBAL LONG-TERM INCENTIVE GRANT AGREEMENT</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includes additional terms and conditions that govern the LTI Grant to the Participant under the Plan if he or she resides and/or works in one of the countries listed herein. If the Participant is a citizen or resident (or is considered as such for local law purposes) of a country other than the country in which the Participant is currently residing and/or working, or if the Participant transfers to another country after receiving the LTI Grant, the Company shall, in its discretion, determine to what extent the terms and conditions contained herein shall be applicable to the Participant. Certain capitalized terms used but not defined in this Appendix A have the meanings set forth in the Plan and/or the Agreement.</w:t>
      </w:r>
    </w:p>
    <w:p>
      <w:pPr>
        <w:pStyle w:val="TextBody"/>
        <w:bidi w:val="0"/>
        <w:spacing w:lineRule="auto" w:line="276" w:before="288"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Participant should be aware with respect to participation in the Plan. The information is based on the securities, exchange control and other laws in effect in the respective countries as of January 2024. Such laws are often complex and change frequently. As a result, the Participant should not rely on the information in this Appendix A as the only source of information relating to the consequences of his or her participation in the Plan because the information may be out of date at the time the Participant vests in the LTI Grant or sells shares of Common Stock acquired under the Plan.</w:t>
      </w:r>
    </w:p>
    <w:p>
      <w:pPr>
        <w:pStyle w:val="TextBody"/>
        <w:bidi w:val="0"/>
        <w:spacing w:lineRule="auto" w:line="276" w:before="327"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Participant’s particular situation, and the Company is not in a position to assure the Participant of a particular result. Accordingly, the Participant should seek appropriate professional advice as to how the relevant laws in his or her country may apply to the Participant’s situation.</w:t>
      </w:r>
    </w:p>
    <w:p>
      <w:pPr>
        <w:pStyle w:val="TextBody"/>
        <w:bidi w:val="0"/>
        <w:spacing w:lineRule="auto" w:line="288" w:before="120" w:after="100"/>
        <w:jc w:val="left"/>
        <w:rPr>
          <w:rFonts w:ascii="Times New Roman;sans-serif" w:hAnsi="Times New Roman;sans-serif"/>
          <w:b w:val="false"/>
          <w:color w:val="000000"/>
          <w:sz w:val="22"/>
        </w:rPr>
      </w:pPr>
      <w:r>
        <w:rPr>
          <w:rFonts w:ascii="Times New Roman;sans-serif" w:hAnsi="Times New Roman;sans-serif"/>
          <w:b w:val="false"/>
          <w:color w:val="000000"/>
          <w:sz w:val="22"/>
        </w:rPr>
        <w:t>Finally, if the Participant is a citizen or resident of a country other than the one in which the Participant is currently working, transfers employment after the LTI Grant is made, or is considered a resident of another country for local law purposes, the information contained herein may not be applicable to the Participant in the same manner.</w:t>
      </w:r>
    </w:p>
    <w:p>
      <w:pPr>
        <w:pStyle w:val="TextBody"/>
        <w:bidi w:val="0"/>
        <w:spacing w:before="9" w:after="283"/>
        <w:jc w:val="both"/>
        <w:rPr/>
      </w:pPr>
      <w:r>
        <w:rPr/>
      </w:r>
    </w:p>
    <w:p>
      <w:pPr>
        <w:pStyle w:val="TextBody"/>
        <w:bidi w:val="0"/>
        <w:spacing w:lineRule="auto" w:line="273" w:before="9"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EUROPEAN UNION / EUROPEAN ECONOMIC AREA, SWITZERLAND AND THE UNITED KINGDOM</w:t>
      </w:r>
    </w:p>
    <w:p>
      <w:pPr>
        <w:pStyle w:val="TextBody"/>
        <w:bidi w:val="0"/>
        <w:spacing w:lineRule="auto" w:line="271" w:before="264"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56" w:after="283"/>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10 of the Agreement:</w:t>
      </w:r>
    </w:p>
    <w:p>
      <w:pPr>
        <w:pStyle w:val="TextBody"/>
        <w:bidi w:val="0"/>
        <w:spacing w:lineRule="auto" w:line="276" w:before="246"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the Participant is based in the European Union (“EU”), the European Economic Area, Switzerland or the United Kingdom, the Participant should note that Mondelēz International, Inc., with registered address at 905 West Fulton Market, Suite 200, Chicago, Illinois 60607, U.S.A. is the controller responsible for the processing of the Participant's Personal Data (as defined below) in connection with the Agreement and the Plan.</w:t>
      </w:r>
    </w:p>
    <w:p>
      <w:pPr>
        <w:pStyle w:val="TextBody"/>
        <w:bidi w:val="0"/>
        <w:spacing w:lineRule="auto" w:line="276" w:before="236" w:after="283"/>
        <w:jc w:val="left"/>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Participant is hereby notified that the Company collects, processes and uses the following types of personal data about the Participant: name, home address and telephone number, email address, date of birth, social insurance, passport number or other identification number, salary, nationality, job title, any shares of stock or directorships held in any entity in the Mondelēz Group, details of all LTI Grants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2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entitlement to shares awarded, canceled, settled, vested, unvested or outstanding in the Participant’s favor, which the Company receives from the Participant or the Employer (“Personal Data”) for the exclusive legitimate purpose of the LTI Grant and implementing, administering and managing the Participant’s participation in the Plan.</w:t>
      </w:r>
    </w:p>
    <w:p>
      <w:pPr>
        <w:pStyle w:val="TextBody"/>
        <w:bidi w:val="0"/>
        <w:spacing w:lineRule="auto" w:line="276" w:before="241" w:after="283"/>
        <w:jc w:val="left"/>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Participant equity awards. The Participant understands that providing the Company with Personal Data is necessary for the performance of the Agreement and that the Participant's refusal to provide Personal Data would make it impossible for the Company to perform its contractual obligations and may affect the Participant's ability to participate in the Plan.</w:t>
      </w:r>
    </w:p>
    <w:p>
      <w:pPr>
        <w:pStyle w:val="TextBody"/>
        <w:bidi w:val="0"/>
        <w:spacing w:lineRule="auto" w:line="276" w:before="239" w:after="283"/>
        <w:jc w:val="left"/>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The Company is located in the United States which means that it will be necessary for Personal Data to be transferred to, and processed in, the United States. The Participant understands and acknowledges that the United States is not subject to an unlimited adequacy finding by the European Commission and that the Participant’s Personal Data may not have an equivalent level of protection as compared to the Participant’s country of residence. To provide appropriate safeguards for the protection of the Participant’s Personal Data, the Personal Data is transferred to the Company based on data transfer and processing agreements implementing the EU Standard Contractual Clauses. Further, the Participant understands that the Company transfers his or her Personal Data, or parts thereof to third parties based on agreements implementing the EU Standard Contractual Clauses. These third parties include Morgan Stanley Smith Barney, LLC and its affiliates (“Morgan Stanley”), an independent service provider based in the United States which assists the Company with the implementation, administration and management of the Plan. Morgan Stanley has opened or will open an account for the Participant to receive and trade shares of Common Stock acquired under the Plan. The Participant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Participant may be asked to agree on separate terms and data processing practices with Morgan Stanley, PricewaterhouseCoopers LLP or KPMG LLP with such agreement being a condition to the Participant’s ability to participate in the Plan.</w:t>
      </w:r>
    </w:p>
    <w:p>
      <w:pPr>
        <w:pStyle w:val="TextBody"/>
        <w:bidi w:val="0"/>
        <w:spacing w:before="10" w:after="283"/>
        <w:jc w:val="left"/>
        <w:rPr/>
      </w:pPr>
      <w:r>
        <w:rPr/>
      </w:r>
    </w:p>
    <w:p>
      <w:pPr>
        <w:pStyle w:val="TextBody"/>
        <w:bidi w:val="0"/>
        <w:spacing w:lineRule="auto" w:line="276" w:before="10" w:after="283"/>
        <w:jc w:val="left"/>
        <w:rPr/>
      </w:pPr>
      <w:r>
        <w:rPr>
          <w:rFonts w:ascii="Times New Roman;sans-serif" w:hAnsi="Times New Roman;sans-serif"/>
          <w:b w:val="false"/>
          <w:color w:val="000000"/>
          <w:sz w:val="22"/>
        </w:rPr>
        <w:t xml:space="preserve">The Participant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FF"/>
          <w:sz w:val="22"/>
          <w:u w:val="single"/>
        </w:rPr>
        <w:t xml:space="preserve">DataProtectionOfficeMEU@mdlz.com. </w:t>
      </w:r>
    </w:p>
    <w:p>
      <w:pPr>
        <w:pStyle w:val="TextBody"/>
        <w:bidi w:val="0"/>
        <w:spacing w:lineRule="auto" w:line="276" w:before="232" w:after="283"/>
        <w:jc w:val="left"/>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The Company will use the Personal Data only as long as necessary to implement, administer and manage the Participant’s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pStyle w:val="TextBody"/>
        <w:bidi w:val="0"/>
        <w:spacing w:lineRule="auto" w:line="276" w:before="227" w:after="283"/>
        <w:jc w:val="left"/>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Participant has the right to (i) inquire whether and what kind of Personal Data the Company holds about the Participant and how it is processed, and to access or request copies of such Personal Data, (ii) request the correction or supplementation of Personal Data 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Participant feels its processing is inappropriate, (v) object, in certain circumstances, to the processing of Personal Data for legitimate interests, (vi) request portability of Personal Data that the Participant has actively or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2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27" w:after="283"/>
        <w:jc w:val="left"/>
        <w:rPr/>
      </w:pPr>
      <w:r>
        <w:rPr>
          <w:rFonts w:ascii="Times New Roman;sans-serif" w:hAnsi="Times New Roman;sans-serif"/>
          <w:b w:val="false"/>
          <w:color w:val="000000"/>
          <w:sz w:val="22"/>
        </w:rPr>
        <w:t>passively provided to the Company, where the processing of such Personal Data is based on consent or a contractual agreement with the Participant and is carried out by automated means, or (vii) lodge a complaint with the competent local data protection authority. To receive additional information regarding the Participant’s rights, raise any other questions regarding the practices described in the Agreement or to exercise his or her rights, the Participant should contact the Company at:</w:t>
      </w:r>
      <w:r>
        <w:rPr>
          <w:color w:val="0000FF"/>
          <w:u w:val="single"/>
        </w:rPr>
        <w:t xml:space="preserve"> </w:t>
      </w:r>
      <w:r>
        <w:rPr>
          <w:rFonts w:ascii="Times New Roman;sans-serif" w:hAnsi="Times New Roman;sans-serif"/>
          <w:b w:val="false"/>
          <w:color w:val="0000FF"/>
          <w:sz w:val="22"/>
          <w:u w:val="single"/>
        </w:rPr>
        <w:t xml:space="preserve">DataProtectionOfficeMEU@mdlz.com. </w:t>
      </w:r>
    </w:p>
    <w:p>
      <w:pPr>
        <w:pStyle w:val="TextBody"/>
        <w:bidi w:val="0"/>
        <w:spacing w:lineRule="auto" w:line="271" w:before="24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ARGENTINA</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 xml:space="preserve">Restrictions and Covenants. </w:t>
      </w:r>
      <w:r>
        <w:rPr>
          <w:rFonts w:ascii="Times New Roman;sans-serif" w:hAnsi="Times New Roman;sans-serif"/>
          <w:b w:val="false"/>
          <w:color w:val="000000"/>
          <w:sz w:val="22"/>
        </w:rPr>
        <w:t>Notwithstanding anything to the contrary in the Agreement, paragraph 6 of the Agreement will not apply to Argentinian Participants.</w:t>
      </w:r>
    </w:p>
    <w:p>
      <w:pPr>
        <w:pStyle w:val="TextBody"/>
        <w:bidi w:val="0"/>
        <w:spacing w:lineRule="auto" w:line="276" w:before="236" w:after="283"/>
        <w:jc w:val="left"/>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9 of the Agreement:</w:t>
      </w:r>
    </w:p>
    <w:p>
      <w:pPr>
        <w:pStyle w:val="TextBody"/>
        <w:bidi w:val="0"/>
        <w:spacing w:lineRule="auto" w:line="276" w:before="233"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and agrees that the grant is made by the Company (not the Employer) in its sole discretion and that the value of the LTI Grant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Participant acknowledges and agrees that such benefits shall not accrue more frequently than on each vesting date.</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Neither the LTI Grant nor the underlying shares of Common Stock are publicly offered or listed on any stock exchange in Argentina and, as a result, have not been and will not be registered with the Argentine Securities Commission (</w:t>
      </w:r>
      <w:r>
        <w:rPr>
          <w:rFonts w:ascii="Times New Roman;sans-serif" w:hAnsi="Times New Roman;sans-serif"/>
          <w:b w:val="false"/>
          <w:i/>
          <w:color w:val="000000"/>
          <w:sz w:val="22"/>
        </w:rPr>
        <w:t>Comisión Nacional de Valores</w:t>
      </w:r>
      <w:r>
        <w:rPr>
          <w:rFonts w:ascii="Times New Roman;sans-serif" w:hAnsi="Times New Roman;sans-serif"/>
          <w:b w:val="false"/>
          <w:color w:val="000000"/>
          <w:sz w:val="22"/>
        </w:rPr>
        <w:t>, “</w:t>
      </w:r>
      <w:r>
        <w:rPr>
          <w:rFonts w:ascii="Times New Roman;sans-serif" w:hAnsi="Times New Roman;sans-serif"/>
          <w:b w:val="false"/>
          <w:i/>
          <w:color w:val="000000"/>
          <w:sz w:val="22"/>
        </w:rPr>
        <w:t>CNV</w:t>
      </w:r>
      <w:r>
        <w:rPr>
          <w:color w:val="000000"/>
        </w:rPr>
        <w:t>”</w:t>
      </w:r>
      <w:r>
        <w:rPr>
          <w:rFonts w:ascii="Times New Roman;sans-serif" w:hAnsi="Times New Roman;sans-serif"/>
          <w:b w:val="false"/>
          <w:color w:val="000000"/>
          <w:sz w:val="22"/>
        </w:rPr>
        <w:t>). Neither this Agreement nor any other offering material related to the LTI Grant nor the underlying shares of Common Stock may be utilized in connection with any general offering to the public in Argentina.</w:t>
      </w:r>
    </w:p>
    <w:p>
      <w:pPr>
        <w:pStyle w:val="TextBody"/>
        <w:bidi w:val="0"/>
        <w:spacing w:lineRule="auto" w:line="276" w:before="237"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is solely responsible for complying with the exchange control rules that may apply in connection with his or her participation in the Plan and/or the transfer of proceeds acquired under the Plan into Argentina. Prior to vesting of the LTI Grant or transferring proceeds into Argentina, the Participant should consult his or her local bank and exchange control advisor to confirm the exchange control rules and required documentation.</w:t>
      </w:r>
    </w:p>
    <w:p>
      <w:pPr>
        <w:pStyle w:val="TextBody"/>
        <w:bidi w:val="0"/>
        <w:spacing w:lineRule="auto" w:line="276" w:before="239"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must report holdings of any equity interest in a foreign company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acquired under the Plan) on his or her annual tax return each year.</w:t>
      </w:r>
    </w:p>
    <w:p>
      <w:pPr>
        <w:pStyle w:val="TextBody"/>
        <w:bidi w:val="0"/>
        <w:spacing w:lineRule="auto" w:line="271" w:before="247" w:after="283"/>
        <w:jc w:val="center"/>
        <w:rPr/>
      </w:pPr>
      <w:r>
        <w:rPr>
          <w:rFonts w:ascii="Times New Roman;sans-serif" w:hAnsi="Times New Roman;sans-serif"/>
          <w:b/>
          <w:color w:val="000000"/>
          <w:sz w:val="22"/>
          <w:u w:val="single"/>
        </w:rPr>
        <w:t>AUSTRALIA</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2" w:after="283"/>
        <w:jc w:val="left"/>
        <w:rPr/>
      </w:pPr>
      <w:r>
        <w:rPr>
          <w:rFonts w:ascii="Times New Roman;sans-serif" w:hAnsi="Times New Roman;sans-serif"/>
          <w:b/>
          <w:color w:val="000000"/>
          <w:sz w:val="22"/>
        </w:rPr>
        <w:t xml:space="preserve">Securities Law Disclosure. </w:t>
      </w:r>
      <w:r>
        <w:rPr>
          <w:rFonts w:ascii="Times New Roman;sans-serif" w:hAnsi="Times New Roman;sans-serif"/>
          <w:b w:val="false"/>
          <w:color w:val="000000"/>
          <w:sz w:val="22"/>
        </w:rPr>
        <w:t>This offer is being made under Division 1A, Part 7.12 of the Corporations Act 2001 (Cth). Please note that if the Participant offers shares of Common Stock for sale to a person or entity resident in Australia, the offer may be subject to disclosure requirements under Australian law. The Participant should obtain legal advice on the Participant’s disclosure obligations prior to making any such offer.</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2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3" w:after="283"/>
        <w:jc w:val="left"/>
        <w:rPr/>
      </w:pPr>
      <w:r>
        <w:rPr>
          <w:rFonts w:ascii="Times New Roman;sans-serif" w:hAnsi="Times New Roman;sans-serif"/>
          <w:b/>
          <w:color w:val="000000"/>
          <w:sz w:val="22"/>
        </w:rPr>
        <w:t xml:space="preserve">No payment constituting breach of law in Australia. </w:t>
      </w:r>
      <w:r>
        <w:rPr>
          <w:rFonts w:ascii="Times New Roman;sans-serif" w:hAnsi="Times New Roman;sans-serif"/>
          <w:b w:val="false"/>
          <w:color w:val="000000"/>
          <w:sz w:val="22"/>
        </w:rPr>
        <w:t>Notwithstanding anything else in the Plan or the Agreement, the Participant will not 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AUD10,000 and for international fund transfers. If an Australian bank is assisting with the transaction, the bank will file the report on the Participant’s behalf, otherwise the Participant will be responsible for complying with any exchange control reporting requirements.</w:t>
      </w:r>
    </w:p>
    <w:p>
      <w:pPr>
        <w:pStyle w:val="TextBody"/>
        <w:bidi w:val="0"/>
        <w:spacing w:lineRule="auto" w:line="276" w:before="243" w:after="283"/>
        <w:jc w:val="left"/>
        <w:rPr/>
      </w:pPr>
      <w:r>
        <w:rPr>
          <w:rFonts w:ascii="Times New Roman;sans-serif" w:hAnsi="Times New Roman;sans-serif"/>
          <w:b/>
          <w:color w:val="000000"/>
          <w:sz w:val="22"/>
        </w:rPr>
        <w:t xml:space="preserve">Tax Notification. </w:t>
      </w:r>
      <w:r>
        <w:rPr>
          <w:rFonts w:ascii="Times New Roman;sans-serif" w:hAnsi="Times New Roman;sans-serif"/>
          <w:b w:val="false"/>
          <w:color w:val="000000"/>
          <w:sz w:val="22"/>
        </w:rPr>
        <w:t>The Plan is a plan to which Subdivision 83A-C of the Income Tax Assessment Act 1997 (Cth) (the “Act”) applies (subject to conditions in the Act).</w:t>
      </w:r>
    </w:p>
    <w:p>
      <w:pPr>
        <w:pStyle w:val="TextBody"/>
        <w:bidi w:val="0"/>
        <w:spacing w:lineRule="auto" w:line="271" w:before="242" w:after="283"/>
        <w:jc w:val="center"/>
        <w:rPr/>
      </w:pPr>
      <w:r>
        <w:rPr>
          <w:rFonts w:ascii="Times New Roman;sans-serif" w:hAnsi="Times New Roman;sans-serif"/>
          <w:b/>
          <w:color w:val="000000"/>
          <w:sz w:val="22"/>
          <w:u w:val="single"/>
        </w:rPr>
        <w:t>AUSTRIA</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bidi w:val="0"/>
        <w:spacing w:lineRule="auto" w:line="276" w:before="240" w:after="283"/>
        <w:jc w:val="left"/>
        <w:rPr/>
      </w:pPr>
      <w:r>
        <w:rPr>
          <w:rFonts w:ascii="Times New Roman;sans-serif" w:hAnsi="Times New Roman;sans-serif"/>
          <w:b w:val="false"/>
          <w:color w:val="000000"/>
          <w:sz w:val="22"/>
        </w:rPr>
        <w:t>If the Participant sells shares of Common Stock, or receives any cash dividends, the Participant may have exchange control obligations if the Participant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bidi w:val="0"/>
        <w:spacing w:lineRule="auto" w:line="271" w:before="246" w:after="283"/>
        <w:jc w:val="center"/>
        <w:rPr/>
      </w:pPr>
      <w:r>
        <w:rPr>
          <w:rFonts w:ascii="Times New Roman;sans-serif" w:hAnsi="Times New Roman;sans-serif"/>
          <w:b/>
          <w:color w:val="000000"/>
          <w:sz w:val="22"/>
          <w:u w:val="single"/>
        </w:rPr>
        <w:t>BELGIUM</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0"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is required to report any securities (</w:t>
      </w:r>
      <w:r>
        <w:rPr>
          <w:rFonts w:ascii="Times New Roman;sans-serif" w:hAnsi="Times New Roman;sans-serif"/>
          <w:b w:val="false"/>
          <w:i/>
          <w:color w:val="000000"/>
          <w:sz w:val="22"/>
        </w:rPr>
        <w:t>e.g.</w:t>
      </w:r>
      <w:r>
        <w:rPr>
          <w:rFonts w:ascii="Times New Roman;sans-serif" w:hAnsi="Times New Roman;sans-serif"/>
          <w:b w:val="false"/>
          <w:color w:val="000000"/>
          <w:sz w:val="22"/>
        </w:rPr>
        <w:t xml:space="preserve">,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t>
      </w:r>
      <w:r>
        <w:rPr>
          <w:rFonts w:ascii="Times New Roman;sans-serif" w:hAnsi="Times New Roman;sans-serif"/>
          <w:b w:val="false"/>
          <w:color w:val="0000FF"/>
          <w:sz w:val="22"/>
          <w:u w:val="single"/>
        </w:rPr>
        <w:t>www.nbb.be</w:t>
      </w:r>
      <w:r>
        <w:rPr>
          <w:rFonts w:ascii="Times New Roman;sans-serif" w:hAnsi="Times New Roman;sans-serif"/>
          <w:b w:val="false"/>
          <w:color w:val="000000"/>
          <w:sz w:val="22"/>
        </w:rPr>
        <w:t>, under Kredietcentrales / Centrales des crédits caption. The Participant should consult a personal tax advisor with respect to the applicable reporting obligations.</w:t>
      </w:r>
    </w:p>
    <w:p>
      <w:pPr>
        <w:pStyle w:val="TextBody"/>
        <w:bidi w:val="0"/>
        <w:spacing w:lineRule="auto" w:line="276" w:before="239" w:after="283"/>
        <w:jc w:val="left"/>
        <w:rPr/>
      </w:pPr>
      <w:r>
        <w:rPr>
          <w:rFonts w:ascii="Times New Roman;sans-serif" w:hAnsi="Times New Roman;sans-serif"/>
          <w:b/>
          <w:color w:val="000000"/>
          <w:sz w:val="22"/>
        </w:rPr>
        <w:t>Annual Securities Accounts Tax</w:t>
      </w:r>
      <w:r>
        <w:rPr>
          <w:rFonts w:ascii="Times New Roman;sans-serif" w:hAnsi="Times New Roman;sans-serif"/>
          <w:b w:val="false"/>
          <w:color w:val="000000"/>
          <w:sz w:val="22"/>
        </w:rPr>
        <w:t>. If the value of securities held in a Belgian or foreign securities account exceeds EUR 1 million, a new “annual securities accounts tax” applies. Belgian residents should consult with their personal tax advisor regarding the new tax.</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2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248" w:after="283"/>
        <w:jc w:val="center"/>
        <w:rPr/>
      </w:pPr>
      <w:r>
        <w:rPr>
          <w:rFonts w:ascii="Times New Roman;sans-serif" w:hAnsi="Times New Roman;sans-serif"/>
          <w:b/>
          <w:color w:val="000000"/>
          <w:sz w:val="22"/>
          <w:u w:val="single"/>
        </w:rPr>
        <w:t>BRAZIL</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9" w:after="283"/>
        <w:jc w:val="left"/>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By participating in the Plan and receiving the LTI Grant, the Participant acknowledges that he or she agrees to comply with applicable Brazilian laws and pay any and all applicable Tax-Related Items associated with the vesting of the LTI Grant and the payout or sale of any shares of Common Stock acquired under the Plan.</w:t>
      </w:r>
    </w:p>
    <w:p>
      <w:pPr>
        <w:pStyle w:val="TextBody"/>
        <w:bidi w:val="0"/>
        <w:spacing w:lineRule="auto" w:line="276" w:before="245" w:after="283"/>
        <w:jc w:val="left"/>
        <w:rPr/>
      </w:pPr>
      <w:r>
        <w:rPr>
          <w:rFonts w:ascii="Times New Roman;sans-serif" w:hAnsi="Times New Roman;sans-serif"/>
          <w:b/>
          <w:color w:val="000000"/>
          <w:sz w:val="22"/>
        </w:rPr>
        <w:t xml:space="preserve">Labor Law Acknowledgment. </w:t>
      </w:r>
      <w:r>
        <w:rPr>
          <w:rFonts w:ascii="Times New Roman;sans-serif" w:hAnsi="Times New Roman;sans-serif"/>
          <w:b w:val="false"/>
          <w:color w:val="000000"/>
          <w:sz w:val="22"/>
        </w:rPr>
        <w:t>By accepting the LTI Grant, the Participant understands, acknowledges and agrees that, for all legal purposes (i) the Participant is making an investment decision and (ii) the value of the underlying shares of Common Stock are not fixed and may increase or decrease in value over the vesting period without compensation to the Employee.</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7"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Individuals who are resident or domiciled in Brazil are generally required to submit an annual declaration of assets and rights held outside Brazil to the Central Bank of Brazil if the aggregate value of such assets and rights is greater than US$1,000,000. If such amount is equal to or greater than US$100,000,000, the referenced declaration must be submitted quarterly, in the month following the end of each quarter. Assets and rights to be included in this annual declaration include shares of Common Stock acquired under the Plan.</w:t>
      </w:r>
    </w:p>
    <w:p>
      <w:pPr>
        <w:pStyle w:val="TextBody"/>
        <w:bidi w:val="0"/>
        <w:spacing w:lineRule="auto" w:line="276" w:before="238" w:after="283"/>
        <w:jc w:val="left"/>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Repatriation of funds (</w:t>
      </w:r>
      <w:r>
        <w:rPr>
          <w:rFonts w:ascii="Times New Roman;sans-serif" w:hAnsi="Times New Roman;sans-serif"/>
          <w:b w:val="false"/>
          <w:i/>
          <w:color w:val="000000"/>
          <w:sz w:val="22"/>
        </w:rPr>
        <w:t>e.g.</w:t>
      </w:r>
      <w:r>
        <w:rPr>
          <w:rFonts w:ascii="Times New Roman;sans-serif" w:hAnsi="Times New Roman;sans-serif"/>
          <w:b w:val="false"/>
          <w:color w:val="000000"/>
          <w:sz w:val="22"/>
        </w:rPr>
        <w:t>, sale proceeds from the sale of shares of Common Stock and/or dividends) into Brazil and the conversion of USD into BRL associated with such fund transfers may be subject to the Tax on Financial Transactions. It is the Participant’s responsibility to comply with any applicable Tax on Financial Transactions arising from his or her participation in the Plan. The Participant should consult with his or her personal tax advisor for additional details.</w:t>
      </w:r>
    </w:p>
    <w:p>
      <w:pPr>
        <w:pStyle w:val="TextBody"/>
        <w:bidi w:val="0"/>
        <w:spacing w:lineRule="auto" w:line="271" w:before="246" w:after="283"/>
        <w:jc w:val="center"/>
        <w:rPr/>
      </w:pPr>
      <w:r>
        <w:rPr>
          <w:rFonts w:ascii="Times New Roman;sans-serif" w:hAnsi="Times New Roman;sans-serif"/>
          <w:b/>
          <w:color w:val="000000"/>
          <w:sz w:val="22"/>
          <w:u w:val="single"/>
        </w:rPr>
        <w:t>BULGARIA</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1"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if the total sum of all such receivables and securities equals or exceeds BGN50,000 as of the previous calendar year end. The reports are due by March 31.</w:t>
      </w:r>
    </w:p>
    <w:p>
      <w:pPr>
        <w:pStyle w:val="TextBody"/>
        <w:bidi w:val="0"/>
        <w:spacing w:lineRule="auto" w:line="276" w:before="238"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should contact his or her bank in Bulgaria for additional information regarding these requirements.</w:t>
      </w:r>
    </w:p>
    <w:p>
      <w:pPr>
        <w:pStyle w:val="TextBody"/>
        <w:bidi w:val="0"/>
        <w:spacing w:lineRule="auto" w:line="271" w:before="247" w:after="283"/>
        <w:jc w:val="center"/>
        <w:rPr/>
      </w:pPr>
      <w:r>
        <w:rPr>
          <w:rFonts w:ascii="Times New Roman;sans-serif" w:hAnsi="Times New Roman;sans-serif"/>
          <w:b/>
          <w:color w:val="000000"/>
          <w:sz w:val="22"/>
          <w:u w:val="single"/>
        </w:rPr>
        <w:t>CANADA</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8" w:before="232" w:after="283"/>
        <w:jc w:val="left"/>
        <w:rPr/>
      </w:pPr>
      <w:r>
        <w:rPr>
          <w:rFonts w:ascii="Times New Roman;sans-serif" w:hAnsi="Times New Roman;sans-serif"/>
          <w:b/>
          <w:color w:val="000000"/>
          <w:sz w:val="22"/>
        </w:rPr>
        <w:t xml:space="preserve">Form of Payment. </w:t>
      </w:r>
      <w:r>
        <w:rPr>
          <w:rFonts w:ascii="Times New Roman;sans-serif" w:hAnsi="Times New Roman;sans-serif"/>
          <w:b w:val="false"/>
          <w:color w:val="000000"/>
          <w:sz w:val="22"/>
        </w:rPr>
        <w:t>LTI Grants to employees resident in Canada shall be paid in shares of Common Stock only.</w:t>
      </w:r>
    </w:p>
    <w:p>
      <w:pPr>
        <w:pStyle w:val="TextBody"/>
        <w:bidi w:val="0"/>
        <w:spacing w:lineRule="auto" w:line="278" w:before="238" w:after="283"/>
        <w:jc w:val="left"/>
        <w:rPr/>
      </w:pPr>
      <w:r>
        <w:rPr>
          <w:rFonts w:ascii="Times New Roman;sans-serif" w:hAnsi="Times New Roman;sans-serif"/>
          <w:b/>
          <w:color w:val="000000"/>
          <w:sz w:val="22"/>
        </w:rPr>
        <w:t xml:space="preserve">Termination of Employment. </w:t>
      </w:r>
      <w:r>
        <w:rPr>
          <w:rFonts w:ascii="Times New Roman;sans-serif" w:hAnsi="Times New Roman;sans-serif"/>
          <w:b w:val="false"/>
          <w:color w:val="000000"/>
          <w:sz w:val="22"/>
        </w:rPr>
        <w:t>The following provision supplements paragraph 3(b) of the Agreement:</w:t>
      </w:r>
    </w:p>
    <w:p>
      <w:pPr>
        <w:pStyle w:val="TextBody"/>
        <w:bidi w:val="0"/>
        <w:spacing w:lineRule="auto" w:line="276" w:before="229"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Except as expressly required by applicable legislation, the Participant’s employment with the Mondelēz Group shall be deemed to be terminated and vesting for the LTI Grant will terminate effective as of the date that is the earliest of: (1) the date the Participant’s employment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2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29"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Mondelēz Group is terminated, or (2) the date the Participant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Participant’s employment or service agreement, if any. The Committee shall have the exclusive discretion to determine when the Participant is no longer actively employed or providing services and the termination date for purposes of the Agreement.</w: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applicable employment standards legislation explicitly requires continued entitlement to vesting during a statutory notice period, the Participant’s right to vest in the LTI Grants under the Plan, if any, will terminate effective as of the last day of the Participant’s minimum statutory notice period. The Participant will not earn or be entitled to pro-rated vesting for that portion of time before the date on which the Participant's right to vest terminates or if the vesting date falls after the end of the Participant’s statutory notice period, nor will the Participant be entitled to any compensation for lost vesting.</w:t>
      </w:r>
    </w:p>
    <w:p>
      <w:pPr>
        <w:pStyle w:val="TextBody"/>
        <w:bidi w:val="0"/>
        <w:spacing w:lineRule="auto" w:line="276" w:before="239"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Participants resident in Quebec:</w:t>
      </w:r>
    </w:p>
    <w:p>
      <w:pPr>
        <w:pStyle w:val="TextBody"/>
        <w:bidi w:val="0"/>
        <w:spacing w:lineRule="auto" w:line="276" w:before="238" w:after="283"/>
        <w:jc w:val="left"/>
        <w:rPr/>
      </w:pPr>
      <w:r>
        <w:rPr>
          <w:rFonts w:ascii="Times New Roman;sans-serif" w:hAnsi="Times New Roman;sans-serif"/>
          <w:b/>
          <w:color w:val="000000"/>
          <w:sz w:val="22"/>
        </w:rPr>
        <w:t xml:space="preserve">Data Privacy. </w:t>
      </w:r>
      <w:r>
        <w:rPr>
          <w:rFonts w:ascii="Times New Roman;sans-serif" w:hAnsi="Times New Roman;sans-serif"/>
          <w:b w:val="false"/>
          <w:color w:val="000000"/>
          <w:sz w:val="22"/>
        </w:rPr>
        <w:t>The following provision supplements paragraph 10 of the Agreement:</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hereby authorizes the Company and the Company’s representatives to discuss with and obtain all relevant information from all personnel, professional or not, involved in the administration and operation of the Plan. The Participant further authorizes the Mondelēz Group and the administrator of the Plan to disclose and discuss the Plan with their advisors. The Participant acknowledges and agrees that the Participant’s personal information, including sensitive personal information, may be transferred or disclosed outside of the Province of Quebec, including to the United States. The Participant further authorizes the Mondelēz Group to record such information and to keep such information in his or her employee file. The Participant also acknowledges and authorizes the Company and any subsidiary or affiliate or other parties involved in the administration of the Plan to use technology for profiling purposes and to make automated decisions that may have an impact on the Participant or the administration of the Plan.</w:t>
      </w:r>
    </w:p>
    <w:p>
      <w:pPr>
        <w:pStyle w:val="TextBody"/>
        <w:bidi w:val="0"/>
        <w:spacing w:lineRule="auto" w:line="276" w:before="242" w:after="283"/>
        <w:jc w:val="left"/>
        <w:rPr/>
      </w:pPr>
      <w:r>
        <w:rPr>
          <w:rFonts w:ascii="Times New Roman;sans-serif" w:hAnsi="Times New Roman;sans-serif"/>
          <w:b/>
          <w:color w:val="000000"/>
          <w:sz w:val="22"/>
        </w:rPr>
        <w:t xml:space="preserve">Language. </w:t>
      </w:r>
      <w:r>
        <w:rPr>
          <w:rFonts w:ascii="Times New Roman;sans-serif" w:hAnsi="Times New Roman;sans-serif"/>
          <w:b w:val="false"/>
          <w:color w:val="000000"/>
          <w:sz w:val="22"/>
        </w:rPr>
        <w:t>A French translation of the Plan and the Agreement can be made available to the Participant as soon as reasonably practicable upon the Participant’s request.. The Participant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pStyle w:val="TextBody"/>
        <w:bidi w:val="0"/>
        <w:spacing w:lineRule="auto" w:line="276" w:before="232"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Une traduction française du Plan et du présent Contrat pourra êtremise à la disposition de Participant dès que raisonnablement possible à la demande de l'Participant. Le Participant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Participant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the Nasdaq Global Select Market).</w:t>
      </w:r>
    </w:p>
    <w:p>
      <w:pPr>
        <w:pStyle w:val="TextBody"/>
        <w:bidi w:val="0"/>
        <w:spacing w:lineRule="auto" w:line="288" w:before="100" w:after="100"/>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 xml:space="preserve">The Participant is required to report any specified foreign property annually on Form T1135 (Foreign Income Verification Statement) if the total cost of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2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left"/>
        <w:rPr/>
      </w:pPr>
      <w:r>
        <w:rPr>
          <w:rFonts w:ascii="Times New Roman;sans-serif" w:hAnsi="Times New Roman;sans-serif"/>
          <w:b w:val="false"/>
          <w:color w:val="000000"/>
          <w:sz w:val="22"/>
        </w:rPr>
        <w:t>the Participant’s specified foreign property exceeds C$100,000 at any time during the year. The form must be filed by April 30th of the following year. Specified foreign property includes shares of Common Stock acquired under the Plan and may include the LTI Grant. The LTI Grant must be reported-generally at a nil cost--if the $100,000 cost threshold is exceeded because of other specified foreign property the Participant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w:t>
      </w:r>
      <w:r>
        <w:rPr>
          <w:rFonts w:ascii="Times New Roman;sans-serif" w:hAnsi="Times New Roman;sans-serif"/>
          <w:b w:val="false"/>
          <w:color w:val="000000"/>
          <w:sz w:val="22"/>
        </w:rPr>
        <w:t>) of the shares of Common Stock. The ACB would normally equal the fair market value of the shares of Company Common Stock at vesting for the LTI Grant, but if the Participant owns other shares of Common Stock, this ACB may have to be averaged with the ACB of the other shares of Common Stock owned by the Participant. It is the Participant’s responsibility to comply with applicable reporting obligations.</w:t>
      </w:r>
    </w:p>
    <w:p>
      <w:pPr>
        <w:pStyle w:val="TextBody"/>
        <w:bidi w:val="0"/>
        <w:spacing w:before="100" w:after="10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CHILE</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LTI Grant constitutes a private offering of securities in Chile effective as of the Grant Date. The LTI Grant is made subject to general ruling N° 336 of the Chilean Superintendence of Securities and Insurance (“</w:t>
      </w:r>
      <w:r>
        <w:rPr>
          <w:rFonts w:ascii="Times New Roman;sans-serif" w:hAnsi="Times New Roman;sans-serif"/>
          <w:b w:val="false"/>
          <w:color w:val="000000"/>
          <w:sz w:val="22"/>
          <w:u w:val="single"/>
        </w:rPr>
        <w:t>SVS</w:t>
      </w:r>
      <w:r>
        <w:rPr>
          <w:color w:val="000000"/>
        </w:rPr>
        <w:t>”</w:t>
      </w:r>
      <w:r>
        <w:rPr>
          <w:rFonts w:ascii="Times New Roman;sans-serif" w:hAnsi="Times New Roman;sans-serif"/>
          <w:b w:val="false"/>
          <w:color w:val="000000"/>
          <w:sz w:val="22"/>
        </w:rPr>
        <w:t>). The offer refers to securities not registered at the securities registry or at the foreign securities registry of the SVS, and, therefore, such securities are not subject to oversight of the SVS. Given that the LTI Grant is not registered in Chile, the Company is not required to provide public information about the LTI Grant or the shares of Common Stock in Chile. Unless the LTI Grant and/or the shares of Common Stock are registered with the SVS, a public offering of such securities cannot be made in Chile.</w:t>
      </w:r>
    </w:p>
    <w:p>
      <w:pPr>
        <w:pStyle w:val="TextBody"/>
        <w:bidi w:val="0"/>
        <w:spacing w:lineRule="auto" w:line="276" w:before="238" w:after="283"/>
        <w:jc w:val="left"/>
        <w:rPr/>
      </w:pPr>
      <w:r>
        <w:rPr>
          <w:rFonts w:ascii="Times New Roman;sans-serif" w:hAnsi="Times New Roman;sans-serif"/>
          <w:b w:val="false"/>
          <w:i/>
          <w:color w:val="000000"/>
          <w:sz w:val="22"/>
        </w:rPr>
        <w:t>Este Premio LTIP (en Inglés, “LTI Grant”) constituye una oferta privada de valores en Chile y se inicia en la Fecha de la Concesión. Este Premio LTIP se acoge a las disposiciones de la Norma de Carácter General N° 336 de la Superintendencia de Valores y Seguros de Chile (“</w:t>
      </w:r>
      <w:r>
        <w:rPr>
          <w:rFonts w:ascii="Times New Roman;sans-serif" w:hAnsi="Times New Roman;sans-serif"/>
          <w:b w:val="false"/>
          <w:i/>
          <w:color w:val="000000"/>
          <w:sz w:val="22"/>
          <w:u w:val="single"/>
        </w:rPr>
        <w:t>SVS</w:t>
      </w:r>
      <w:r>
        <w:rPr>
          <w:color w:val="000000"/>
        </w:rPr>
        <w:t>”</w:t>
      </w:r>
      <w:r>
        <w:rPr>
          <w:rFonts w:ascii="Times New Roman;sans-serif" w:hAnsi="Times New Roman;sans-serif"/>
          <w:b w:val="false"/>
          <w:i/>
          <w:color w:val="000000"/>
          <w:sz w:val="22"/>
        </w:rPr>
        <w:t>). Esta oferta versa sobre valores no inscritos en el Registro de Valores o en el Registro de Valores Extranjeros que lleva la SVS, por lo que tales valores no están sujetos a la fiscalización de ésta. Por tratarse el Premio LTIP de valores no registrados en Chile, no existe obligación por parte de la Compañía de entregar en Chile información pública respecto del Premio LTIP o sus Acciones. Estos valores no podrán ser objeto de oferta pública en Chile mientras no sean inscritos en el Registro de Valores correspondiente.</w:t>
      </w:r>
    </w:p>
    <w:p>
      <w:pPr>
        <w:pStyle w:val="TextBody"/>
        <w:bidi w:val="0"/>
        <w:spacing w:lineRule="auto" w:line="276" w:before="233"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Participant is not required to repatriate any funds he or she receives with respect to the LTI Award Payout and/or the shares of Common Stock (</w:t>
      </w:r>
      <w:r>
        <w:rPr>
          <w:rFonts w:ascii="Times New Roman;sans-serif" w:hAnsi="Times New Roman;sans-serif"/>
          <w:b w:val="false"/>
          <w:i/>
          <w:color w:val="000000"/>
          <w:sz w:val="22"/>
        </w:rPr>
        <w:t>e.g.</w:t>
      </w:r>
      <w:r>
        <w:rPr>
          <w:rFonts w:ascii="Times New Roman;sans-serif" w:hAnsi="Times New Roman;sans-serif"/>
          <w:b w:val="false"/>
          <w:color w:val="000000"/>
          <w:sz w:val="22"/>
        </w:rPr>
        <w:t>, proceeds from the sale of shares of Common Stock or dividends received) to Chile. However, if the Participant decides to repatriate such funds, he or she must do so through the Formal Exchange Market (</w:t>
      </w:r>
      <w:r>
        <w:rPr>
          <w:rFonts w:ascii="Times New Roman;sans-serif" w:hAnsi="Times New Roman;sans-serif"/>
          <w:b w:val="false"/>
          <w:i/>
          <w:color w:val="000000"/>
          <w:sz w:val="22"/>
        </w:rPr>
        <w:t>i.e.</w:t>
      </w:r>
      <w:r>
        <w:rPr>
          <w:rFonts w:ascii="Times New Roman;sans-serif" w:hAnsi="Times New Roman;sans-serif"/>
          <w:b w:val="false"/>
          <w:color w:val="000000"/>
          <w:sz w:val="22"/>
        </w:rPr>
        <w:t>, a commercial bank or registered foreign exchange office) if the amount of the funds repatriated exceeds US$10,000. Further, if the value of the aggregate investments held by the Participant outside of Chile exceeds US$5,000,000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and cash proceeds acquired under the Plan), the Participant must report the investments annually to the Central Bank using Annex 3.1 of Chapter XII of the Foreign Exchange Regulations.</w:t>
      </w:r>
    </w:p>
    <w:p>
      <w:pPr>
        <w:pStyle w:val="TextBody"/>
        <w:bidi w:val="0"/>
        <w:spacing w:lineRule="auto" w:line="276" w:before="240" w:after="283"/>
        <w:jc w:val="left"/>
        <w:rPr/>
      </w:pPr>
      <w:r>
        <w:rPr>
          <w:rFonts w:ascii="Times New Roman;sans-serif" w:hAnsi="Times New Roman;sans-serif"/>
          <w:b w:val="false"/>
          <w:color w:val="000000"/>
          <w:sz w:val="22"/>
        </w:rPr>
        <w:t xml:space="preserve">Exchange control requirements are subject to change. </w:t>
      </w:r>
      <w:r>
        <w:rPr>
          <w:rFonts w:ascii="Times New Roman;sans-serif" w:hAnsi="Times New Roman;sans-serif"/>
          <w:b w:val="false"/>
          <w:i/>
          <w:color w:val="000000"/>
          <w:sz w:val="22"/>
        </w:rPr>
        <w:t>The Participant should consult with his or her personal legal advisor regarding any exchange control obligations that may apply in connection with the LTI Award Payout.</w:t>
      </w:r>
    </w:p>
    <w:p>
      <w:pPr>
        <w:pStyle w:val="TextBody"/>
        <w:bidi w:val="0"/>
        <w:spacing w:lineRule="auto" w:line="264" w:before="254" w:after="283"/>
        <w:jc w:val="left"/>
        <w:rPr/>
      </w:pPr>
      <w:r>
        <w:rPr>
          <w:rFonts w:ascii="Times New Roman;sans-serif" w:hAnsi="Times New Roman;sans-serif"/>
          <w:b/>
          <w:color w:val="000000"/>
          <w:sz w:val="22"/>
        </w:rPr>
        <w:t>Foreign Asset / Account Reporting Information</w:t>
      </w:r>
      <w:r>
        <w:rPr>
          <w:rFonts w:ascii="Times New Roman;sans-serif" w:hAnsi="Times New Roman;sans-serif"/>
          <w:b w:val="false"/>
          <w:color w:val="000000"/>
          <w:sz w:val="22"/>
        </w:rPr>
        <w:t>. If the Participant holds shares of Common Stock acquired under the Plan outside Chile, the Participant may be required to inform the Chilean Internal Revenue Service (the “</w:t>
      </w:r>
      <w:r>
        <w:rPr>
          <w:rFonts w:ascii="Times New Roman;sans-serif" w:hAnsi="Times New Roman;sans-serif"/>
          <w:b w:val="false"/>
          <w:color w:val="000000"/>
          <w:sz w:val="22"/>
          <w:u w:val="single"/>
        </w:rPr>
        <w:t>CIRS</w:t>
      </w:r>
      <w:r>
        <w:rPr>
          <w:color w:val="000000"/>
        </w:rPr>
        <w:t>”</w:t>
      </w:r>
      <w:r>
        <w:rPr>
          <w:rFonts w:ascii="Times New Roman;sans-serif" w:hAnsi="Times New Roman;sans-serif"/>
          <w:b w:val="false"/>
          <w:color w:val="000000"/>
          <w:sz w:val="22"/>
        </w:rPr>
        <w:t xml:space="preserve">) of the details of the Participant’s investment in the shares of Common Stock. Further, if the Participant wishes to receive credit against the Participant’s Chilean income taxes for any taxes paid abroad, the Participant e must report the payment of taxes abroad to the CIRS. In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2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254" w:after="283"/>
        <w:jc w:val="left"/>
        <w:rPr/>
      </w:pPr>
      <w:r>
        <w:rPr>
          <w:rFonts w:ascii="Times New Roman;sans-serif" w:hAnsi="Times New Roman;sans-serif"/>
          <w:b w:val="false"/>
          <w:color w:val="000000"/>
          <w:sz w:val="22"/>
        </w:rPr>
        <w:t>either case, the Participant must file Tax Form 1929 by July 1 each year, which should be submitted electronically through the CIRS website:</w:t>
      </w:r>
      <w:r>
        <w:rPr>
          <w:color w:val="0000FF"/>
          <w:u w:val="single"/>
        </w:rPr>
        <w:t xml:space="preserve"> </w:t>
      </w:r>
      <w:r>
        <w:rPr>
          <w:rFonts w:ascii="Times New Roman;sans-serif" w:hAnsi="Times New Roman;sans-serif"/>
          <w:b w:val="false"/>
          <w:color w:val="0000FF"/>
          <w:sz w:val="24"/>
          <w:u w:val="single"/>
        </w:rPr>
        <w:t>www.sii.cl.</w:t>
      </w:r>
      <w:r>
        <w:rPr>
          <w:color w:val="000000"/>
        </w:rPr>
        <w:t xml:space="preserve"> </w:t>
      </w:r>
    </w:p>
    <w:p>
      <w:pPr>
        <w:pStyle w:val="TextBody"/>
        <w:bidi w:val="0"/>
        <w:spacing w:lineRule="auto" w:line="276" w:before="254"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CHINA</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5" w:after="283"/>
        <w:jc w:val="left"/>
        <w:rPr>
          <w:rFonts w:ascii="Times New Roman;sans-serif" w:hAnsi="Times New Roman;sans-serif"/>
          <w:b/>
          <w:i/>
          <w:color w:val="000000"/>
          <w:sz w:val="22"/>
        </w:rPr>
      </w:pPr>
      <w:r>
        <w:rPr>
          <w:rFonts w:ascii="Times New Roman;sans-serif" w:hAnsi="Times New Roman;sans-serif"/>
          <w:b/>
          <w:i/>
          <w:color w:val="000000"/>
          <w:sz w:val="22"/>
        </w:rPr>
        <w:t>The following provisions apply to Participants who are exclusively citizens of the People’s Republic of China and who reside in mainland China, and Participants who are otherwise subject to exchange control restrictions applicable to employee stock plans in China, as determined by the Company in its sole discretion.</w:t>
      </w:r>
    </w:p>
    <w:p>
      <w:pPr>
        <w:pStyle w:val="TextBody"/>
        <w:bidi w:val="0"/>
        <w:spacing w:lineRule="auto" w:line="276" w:before="239" w:after="283"/>
        <w:jc w:val="left"/>
        <w:rPr/>
      </w:pPr>
      <w:r>
        <w:rPr>
          <w:rFonts w:ascii="Times New Roman;sans-serif" w:hAnsi="Times New Roman;sans-serif"/>
          <w:b/>
          <w:color w:val="000000"/>
          <w:sz w:val="22"/>
        </w:rPr>
        <w:t xml:space="preserve">Time and Form of Payment. </w:t>
      </w:r>
      <w:r>
        <w:rPr>
          <w:rFonts w:ascii="Times New Roman;sans-serif" w:hAnsi="Times New Roman;sans-serif"/>
          <w:b w:val="false"/>
          <w:color w:val="000000"/>
          <w:sz w:val="22"/>
        </w:rPr>
        <w:t>Due to legal restrictions in China, the LTI Award Payout may be made to the Participant in cash, rather than shares of Common Stock as stated in paragraph 4(a) of the</w:t>
      </w:r>
    </w:p>
    <w:p>
      <w:pPr>
        <w:pStyle w:val="TextBody"/>
        <w:bidi w:val="0"/>
        <w:spacing w:lineRule="auto" w:line="276" w:before="3"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Agreement. If shares of Common Stock are issued upon payment of the LTI Grant, in the Company’s sole discretion, the shares may be required to be immediately sold. Thus, as a condition of the LTI Grant, the Participant agrees to the immediate sale of any shares of Common Stock issued to Participant upon payment and settlement of the LTI Grant.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pStyle w:val="TextBody"/>
        <w:bidi w:val="0"/>
        <w:spacing w:lineRule="auto" w:line="276" w:before="234"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that the Participant is not required to sell shares of Common Stock immediately upon payment of the LTI Grant, any shares of Common Stock issued to the Participant must be maintained in an account with Morgan Stanley Smith Barney, LLC. or such other broker as may be designated by the Company until the shares of Common Stock are sold through that broker. If the Company changes its designated broker, the Participant acknowledges and agrees that the Company may transfer any shares of Common Stock issued under the Plan to the new designated broker if necessary for legal or</w:t>
      </w:r>
    </w:p>
    <w:p>
      <w:pPr>
        <w:pStyle w:val="TextBody"/>
        <w:bidi w:val="0"/>
        <w:spacing w:lineRule="auto" w:line="276" w:before="5"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administrative reasons. The Participant agrees to sign any documentation necessary to facilitate the transfer. In addition, the Participant acknowledges and agrees that he or she must sell any shares of Common Stock issued as soon as practicable following the termination of the Participant’s employment or other service relationship with the Mondelēz Group and in no event later than six (6) months following the termination of the Participant’s employment or other service relationship with the Mondelēz Group, or within any other such time frame the Company determines to be necessary or advisable to comply with local requirements.</w:t>
      </w:r>
    </w:p>
    <w:p>
      <w:pPr>
        <w:pStyle w:val="TextBody"/>
        <w:bidi w:val="0"/>
        <w:spacing w:lineRule="auto" w:line="276" w:before="237" w:after="283"/>
        <w:jc w:val="left"/>
        <w:rPr/>
      </w:pPr>
      <w:r>
        <w:rPr>
          <w:rFonts w:ascii="Times New Roman;sans-serif" w:hAnsi="Times New Roman;sans-serif"/>
          <w:b/>
          <w:color w:val="000000"/>
          <w:sz w:val="22"/>
        </w:rPr>
        <w:t xml:space="preserve">Exchange Control Restrictions. </w:t>
      </w:r>
      <w:r>
        <w:rPr>
          <w:rFonts w:ascii="Times New Roman;sans-serif" w:hAnsi="Times New Roman;sans-serif"/>
          <w:b w:val="false"/>
          <w:color w:val="000000"/>
          <w:sz w:val="22"/>
        </w:rPr>
        <w:t xml:space="preserve">The Participant understands and agrees that, due to exchange control laws in China, he or she will be required to immediately repatriate to China the cash proceeds from the sale of shares of Common Stock acquired under the LTI Grant. The Participant further understands that, under local law, such repatriation of the cash proceeds will be effected through a special exchange control account established by a member of the Mondelēz Group and the Participant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Participant acknowledges that he or she will be required to set up a U.S. dollar bank account in China so that the proceeds may be delivered to this account. If the proceeds are converted to local currency, the Participant acknowledges that the Mondelēz Group is under no obligation to secure any currency conversion rate, and may face delays in converting the proceeds to local currency due to exchange control restrictions in China. The Participant agrees to bear any currency fluctuation risk between the date the shares of Common Stock acquired from the LTI Grant are sold and the time that (i) the Tax-Related Items are converted to local currency and remitted to the tax authorities and (ii) net proceeds are converted to local currency and distributed to the Participant. The Participant acknowledges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2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Mondelēz Group will not be held liable for any delay in delivering the proceeds to the Participant. The Participant agrees to sign any agreements, forms and/or consents that may be requested by the Company or the Company’s designated broker to effectuate any of the remittances, transfers, conversions or other processes affecting the proceeds.</w:t>
      </w:r>
    </w:p>
    <w:p>
      <w:pPr>
        <w:pStyle w:val="TextBody"/>
        <w:bidi w:val="0"/>
        <w:spacing w:lineRule="auto" w:line="276" w:before="233"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further agrees to comply with any other requirements that may be imposed by the Company in the future in order to facilitate compliance with exchange control requirements in China. For shares issued under the Plan, these additional requirements may include, but are not limited to, a requirement to maintain any shares of Common Stock acquired under the Plan in an account with a Company-designated broker and/or to sell any shares of Common Stock that the Participant receives immediately upon issuance (as described above) or upon termination of the Participant’s service with the Mondelēz Group.</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Chinese residents may be required to report to the SAFE all details of their foreign financial assets and liabilities, as well as details of any economic transactions conducted with non-Chinese residents, including the Company.</w:t>
      </w:r>
    </w:p>
    <w:p>
      <w:pPr>
        <w:pStyle w:val="TextBody"/>
        <w:bidi w:val="0"/>
        <w:spacing w:lineRule="auto" w:line="271" w:before="247" w:after="283"/>
        <w:jc w:val="center"/>
        <w:rPr/>
      </w:pPr>
      <w:r>
        <w:rPr>
          <w:rFonts w:ascii="Times New Roman;sans-serif" w:hAnsi="Times New Roman;sans-serif"/>
          <w:b/>
          <w:color w:val="000000"/>
          <w:sz w:val="22"/>
          <w:u w:val="single"/>
        </w:rPr>
        <w:t>COLOMBIA</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Section 9 of the Agreement:</w: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that pursuant to Article 128 of the Colombian Labor Code, the Plan and related benefits do not constitute a component of the Participant’s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bidi w:val="0"/>
        <w:spacing w:lineRule="auto" w:line="276" w:before="238"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w:t>
      </w:r>
    </w:p>
    <w:p>
      <w:pPr>
        <w:pStyle w:val="TextBody"/>
        <w:bidi w:val="0"/>
        <w:spacing w:before="9" w:after="283"/>
        <w:jc w:val="left"/>
        <w:rPr/>
      </w:pPr>
      <w:r>
        <w:rPr/>
      </w:r>
    </w:p>
    <w:p>
      <w:pPr>
        <w:pStyle w:val="TextBody"/>
        <w:bidi w:val="0"/>
        <w:spacing w:lineRule="auto" w:line="276" w:before="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is responsible for complying with applicable exchange control requirements in Colombia and the Participant should consult his or her legal advisor prior to the acquisition or sale of the shares of Common Stock under the Plan to ensure compliance with current regulations.</w:t>
      </w:r>
    </w:p>
    <w:p>
      <w:pPr>
        <w:pStyle w:val="TextBody"/>
        <w:bidi w:val="0"/>
        <w:spacing w:lineRule="auto" w:line="276" w:before="240"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shares of Common Stock) held abroad.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2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the individual value of any of these assets exceeds a certain threshold, the Participant must describe each asset and indicate the jurisdiction in which it is located, its nature and its value.</w:t>
      </w:r>
    </w:p>
    <w:p>
      <w:pPr>
        <w:pStyle w:val="TextBody"/>
        <w:bidi w:val="0"/>
        <w:spacing w:lineRule="auto" w:line="271" w:before="247"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COSTA RICA</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6" w:after="283"/>
        <w:jc w:val="center"/>
        <w:rPr/>
      </w:pPr>
      <w:r>
        <w:rPr>
          <w:rFonts w:ascii="Times New Roman;sans-serif" w:hAnsi="Times New Roman;sans-serif"/>
          <w:b/>
          <w:color w:val="000000"/>
          <w:sz w:val="22"/>
          <w:u w:val="single"/>
        </w:rPr>
        <w:t>CROATIA</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1"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Participant should consult his or her legal advisor to ensure compliance with current regulations. It is the Participant 's responsibility to comply with Croatian exchange control laws.</w:t>
      </w:r>
    </w:p>
    <w:p>
      <w:pPr>
        <w:pStyle w:val="TextBody"/>
        <w:bidi w:val="0"/>
        <w:spacing w:lineRule="auto" w:line="271" w:before="24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1"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Czech residents may be required to fulfill certain notification duties in relation to the LTI Grant and the opening and maintenance of a foreign account, including reporting (i) foreign direct investments with a value of CZK 2,500,000 or more in the aggregate or (ii) foreign financial assets with a value of CZK 200,000,000 or more. The Participant should consult their personal legal advisor to ensure compliance with the applicable requirements.</w:t>
      </w:r>
    </w:p>
    <w:p>
      <w:pPr>
        <w:pStyle w:val="TextBody"/>
        <w:bidi w:val="0"/>
        <w:spacing w:lineRule="auto" w:line="271" w:before="246" w:after="283"/>
        <w:jc w:val="center"/>
        <w:rPr/>
      </w:pPr>
      <w:r>
        <w:rPr>
          <w:rFonts w:ascii="Times New Roman;sans-serif" w:hAnsi="Times New Roman;sans-serif"/>
          <w:b/>
          <w:color w:val="000000"/>
          <w:sz w:val="22"/>
          <w:u w:val="single"/>
        </w:rPr>
        <w:t>DENMARK</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5" w:after="283"/>
        <w:jc w:val="left"/>
        <w:rPr/>
      </w:pPr>
      <w:r>
        <w:rPr>
          <w:rFonts w:ascii="Times New Roman;sans-serif" w:hAnsi="Times New Roman;sans-serif"/>
          <w:b/>
          <w:color w:val="000000"/>
          <w:sz w:val="22"/>
        </w:rPr>
        <w:t>Stock Option Act</w:t>
      </w:r>
      <w:r>
        <w:rPr>
          <w:rFonts w:ascii="Times New Roman;sans-serif" w:hAnsi="Times New Roman;sans-serif"/>
          <w:b w:val="false"/>
          <w:color w:val="000000"/>
          <w:sz w:val="22"/>
        </w:rPr>
        <w:t>. The Participant acknowledges that he or she has received an Employer Statement in Danish, which sets forth the additional terms of the LTI Grant to the extent that the Danish Stock Option Act applies.</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is required to report any accounts holding shares of Common Stock or cash established outside Denmark to the Danish Tax Administration as part of his or her tax return under the section related to foreign affairs and income.</w:t>
      </w:r>
    </w:p>
    <w:p>
      <w:pPr>
        <w:pStyle w:val="TextBody"/>
        <w:bidi w:val="0"/>
        <w:spacing w:lineRule="auto" w:line="271" w:before="242" w:after="283"/>
        <w:jc w:val="center"/>
        <w:rPr/>
      </w:pPr>
      <w:r>
        <w:rPr>
          <w:rFonts w:ascii="Times New Roman;sans-serif" w:hAnsi="Times New Roman;sans-serif"/>
          <w:b/>
          <w:color w:val="000000"/>
          <w:sz w:val="22"/>
          <w:u w:val="single"/>
        </w:rPr>
        <w:t>ECUADOR</w:t>
      </w:r>
      <w:r>
        <w:rPr>
          <w:color w:val="000000"/>
        </w:rPr>
        <w:t xml:space="preserve"> </w:t>
      </w:r>
    </w:p>
    <w:p>
      <w:pPr>
        <w:pStyle w:val="TextBody"/>
        <w:bidi w:val="0"/>
        <w:spacing w:before="9" w:after="283"/>
        <w:jc w:val="left"/>
        <w:rPr/>
      </w:pPr>
      <w:r>
        <w:rPr/>
      </w:r>
    </w:p>
    <w:p>
      <w:pPr>
        <w:pStyle w:val="TextBody"/>
        <w:bidi w:val="0"/>
        <w:spacing w:lineRule="auto" w:line="276" w:before="9"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Ecuadorian resident individuals are required to report on an annual basis, all monetary assets held in foreign financial entities in excess of US$100,000. The Participant should consult his or her legal or tax advisor to ensure compliance with all applicable reporting obligations.</w:t>
      </w:r>
    </w:p>
    <w:p>
      <w:pPr>
        <w:pStyle w:val="TextBody"/>
        <w:bidi w:val="0"/>
        <w:spacing w:lineRule="auto" w:line="271" w:before="247" w:after="283"/>
        <w:jc w:val="center"/>
        <w:rPr/>
      </w:pPr>
      <w:r>
        <w:rPr>
          <w:rFonts w:ascii="Times New Roman;sans-serif" w:hAnsi="Times New Roman;sans-serif"/>
          <w:b/>
          <w:color w:val="000000"/>
          <w:sz w:val="22"/>
          <w:u w:val="single"/>
        </w:rPr>
        <w:t>EGYPT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2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7"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transfers funds into Egypt in connection with the LTI Award Payout, the Participant is required to transfer the funds through a registered bank in Egypt.</w:t>
      </w:r>
    </w:p>
    <w:p>
      <w:pPr>
        <w:pStyle w:val="TextBody"/>
        <w:bidi w:val="0"/>
        <w:spacing w:lineRule="auto" w:line="271" w:before="246" w:after="283"/>
        <w:jc w:val="center"/>
        <w:rPr/>
      </w:pPr>
      <w:r>
        <w:rPr>
          <w:rFonts w:ascii="Times New Roman;sans-serif" w:hAnsi="Times New Roman;sans-serif"/>
          <w:b/>
          <w:color w:val="000000"/>
          <w:sz w:val="22"/>
          <w:u w:val="single"/>
        </w:rPr>
        <w:t>FINLAND</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There are no specific reporting requirements with respect to foreign assets/accounts. However, please note that the Participant must check their pre-completed tax return to confirm that the ownership of shares of Common Stock and other securities (foreign or domestic) is correctly reported. If the Participant finds any errors or omissions, the Participant must make the necessary corrections electronically or by sending specific paper forms to the local tax authorities.</w:t>
      </w:r>
    </w:p>
    <w:p>
      <w:pPr>
        <w:pStyle w:val="TextBody"/>
        <w:bidi w:val="0"/>
        <w:spacing w:lineRule="auto" w:line="271" w:before="246" w:after="283"/>
        <w:jc w:val="center"/>
        <w:rPr/>
      </w:pPr>
      <w:r>
        <w:rPr>
          <w:rFonts w:ascii="Times New Roman;sans-serif" w:hAnsi="Times New Roman;sans-serif"/>
          <w:b/>
          <w:color w:val="000000"/>
          <w:sz w:val="22"/>
          <w:u w:val="single"/>
        </w:rPr>
        <w:t>FRANCE</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8" w:after="283"/>
        <w:jc w:val="left"/>
        <w:rPr/>
      </w:pPr>
      <w:r>
        <w:rPr>
          <w:rFonts w:ascii="Times New Roman;sans-serif" w:hAnsi="Times New Roman;sans-serif"/>
          <w:b/>
          <w:color w:val="000000"/>
          <w:sz w:val="22"/>
        </w:rPr>
        <w:t xml:space="preserve">LTI Grant Not French-Qualified. </w:t>
      </w:r>
      <w:r>
        <w:rPr>
          <w:rFonts w:ascii="Times New Roman;sans-serif" w:hAnsi="Times New Roman;sans-serif"/>
          <w:b w:val="false"/>
          <w:color w:val="000000"/>
          <w:sz w:val="22"/>
        </w:rPr>
        <w:t>The LTI Grant made under this Agreement are not intended to qualify for specific tax and social security treatment pursuant to Sections L. 225-197-1 to L. 225-197-6 of the French Commercial Code, as amended.</w:t>
      </w:r>
    </w:p>
    <w:p>
      <w:pPr>
        <w:pStyle w:val="TextBody"/>
        <w:bidi w:val="0"/>
        <w:spacing w:lineRule="auto" w:line="276" w:before="237" w:after="283"/>
        <w:jc w:val="left"/>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participating in the Plan and receiving the LTI Grant, the Participant confirms having read and understood the Plan and Agreement, including all terms and conditions included therein, which were provided in the English language. The Participant accepts the terms of those documents accordingly.</w:t>
      </w:r>
    </w:p>
    <w:p>
      <w:pPr>
        <w:pStyle w:val="TextBody"/>
        <w:bidi w:val="0"/>
        <w:spacing w:lineRule="auto" w:line="276" w:before="236" w:after="283"/>
        <w:jc w:val="left"/>
        <w:rPr/>
      </w:pPr>
      <w:r>
        <w:rPr>
          <w:rFonts w:ascii="Times New Roman;sans-serif" w:hAnsi="Times New Roman;sans-serif"/>
          <w:b w:val="false"/>
          <w:i/>
          <w:color w:val="000000"/>
          <w:sz w:val="22"/>
        </w:rPr>
        <w:t>En acceptant cette LTIP recompense, le Participant confirme avoir lu et compris le Plan et le Contrat y relatif, incluant tous leurs termes et conditions, qui ont été transmis en langue anglaise. Le Participant accepte les dispositions de ces documents en connaissance de cause</w:t>
      </w:r>
      <w:r>
        <w:rPr>
          <w:rFonts w:ascii="Times New Roman;sans-serif" w:hAnsi="Times New Roman;sans-serif"/>
          <w:b w:val="false"/>
          <w:color w:val="000000"/>
          <w:sz w:val="22"/>
        </w:rPr>
        <w:t>.</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before="14" w:after="283"/>
        <w:jc w:val="left"/>
        <w:rPr/>
      </w:pPr>
      <w:r>
        <w:rPr/>
      </w:r>
    </w:p>
    <w:p>
      <w:pPr>
        <w:pStyle w:val="TextBody"/>
        <w:bidi w:val="0"/>
        <w:spacing w:lineRule="auto" w:line="276" w:before="14"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Participant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pStyle w:val="TextBody"/>
        <w:bidi w:val="0"/>
        <w:spacing w:lineRule="auto" w:line="271" w:before="248" w:after="283"/>
        <w:jc w:val="center"/>
        <w:rPr/>
      </w:pPr>
      <w:r>
        <w:rPr>
          <w:rFonts w:ascii="Times New Roman;sans-serif" w:hAnsi="Times New Roman;sans-serif"/>
          <w:b/>
          <w:color w:val="000000"/>
          <w:sz w:val="22"/>
          <w:u w:val="single"/>
        </w:rPr>
        <w:t>GERMANY</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51"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Cross-border payments in connection with the purchase or sale of securities in excess of €12,500 must be reported monthly to the German Federal Bank </w:t>
      </w:r>
      <w:r>
        <w:rPr>
          <w:rFonts w:ascii="Times New Roman;sans-serif" w:hAnsi="Times New Roman;sans-serif"/>
          <w:b w:val="false"/>
          <w:i/>
          <w:color w:val="000000"/>
          <w:sz w:val="22"/>
        </w:rPr>
        <w:t>(Bundesbank)</w:t>
      </w:r>
      <w:r>
        <w:rPr>
          <w:rFonts w:ascii="Times New Roman;sans-serif" w:hAnsi="Times New Roman;sans-serif"/>
          <w:b w:val="false"/>
          <w:color w:val="000000"/>
          <w:sz w:val="22"/>
        </w:rPr>
        <w:t xml:space="preserve">. If the Participant receives a payment in excess of this amount (including if the Participant acquires shares of Common Stock with a value in excess of this amount under the Plan or sells shares of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2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51" w:after="283"/>
        <w:jc w:val="left"/>
        <w:rPr/>
      </w:pPr>
      <w:r>
        <w:rPr>
          <w:rFonts w:ascii="Times New Roman;sans-serif" w:hAnsi="Times New Roman;sans-serif"/>
          <w:b w:val="false"/>
          <w:color w:val="000000"/>
          <w:sz w:val="22"/>
        </w:rPr>
        <w:t>Common Stock via a foreign broker, bank or service provider and receive proceeds in excess of this amount) and/or if the Company withholds or sells shares of Common Stock with a value in excess of this amount to cover Tax-Related Items, the Participant must report the payment and/or the value of the shares of Common Stock withheld or sold to Bundesbank. Such reports must be filed either electronically using the “General Statistics Reporting Portal” (Allgemeine Meldeportal Statistik) available via the Bundesbank’s website (</w:t>
      </w:r>
      <w:r>
        <w:rPr>
          <w:rFonts w:ascii="Times New Roman;sans-serif" w:hAnsi="Times New Roman;sans-serif"/>
          <w:b w:val="false"/>
          <w:color w:val="0000FF"/>
          <w:sz w:val="22"/>
          <w:u w:val="single"/>
        </w:rPr>
        <w:t>www.bundesbank.de</w:t>
      </w:r>
      <w:r>
        <w:rPr>
          <w:rFonts w:ascii="Times New Roman;sans-serif" w:hAnsi="Times New Roman;sans-serif"/>
          <w:b w:val="false"/>
          <w:color w:val="000000"/>
          <w:sz w:val="22"/>
        </w:rPr>
        <w:t>) or by such other method as is permitted or required by Bundesbank. The report must be submitted monthly or within such timing as is permitted or required by Bundesbank.</w:t>
      </w:r>
    </w:p>
    <w:p>
      <w:pPr>
        <w:pStyle w:val="TextBody"/>
        <w:bidi w:val="0"/>
        <w:spacing w:lineRule="auto" w:line="276" w:before="239"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Participant owns at least 1% of the Company and the value of the Common Stock acquired exceeds €150,000, or (ii) the Participant holds Common Stock exceeding 10% of the total capital of the Company.</w:t>
      </w:r>
    </w:p>
    <w:p>
      <w:pPr>
        <w:pStyle w:val="TextBody"/>
        <w:bidi w:val="0"/>
        <w:spacing w:lineRule="auto" w:line="271" w:before="246" w:after="283"/>
        <w:jc w:val="center"/>
        <w:rPr/>
      </w:pPr>
      <w:r>
        <w:rPr>
          <w:rFonts w:ascii="Times New Roman;sans-serif" w:hAnsi="Times New Roman;sans-serif"/>
          <w:b/>
          <w:color w:val="000000"/>
          <w:sz w:val="22"/>
          <w:u w:val="single"/>
        </w:rPr>
        <w:t>GREECE</w:t>
      </w:r>
      <w:r>
        <w:rPr>
          <w:color w:val="000000"/>
        </w:rPr>
        <w:t xml:space="preserve"> </w:t>
      </w:r>
    </w:p>
    <w:p>
      <w:pPr>
        <w:pStyle w:val="TextBody"/>
        <w:bidi w:val="0"/>
        <w:spacing w:lineRule="auto" w:line="276" w:before="24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6" w:after="283"/>
        <w:jc w:val="center"/>
        <w:rPr/>
      </w:pPr>
      <w:r>
        <w:rPr>
          <w:rFonts w:ascii="Times New Roman;sans-serif" w:hAnsi="Times New Roman;sans-serif"/>
          <w:b/>
          <w:color w:val="000000"/>
          <w:sz w:val="22"/>
          <w:u w:val="single"/>
        </w:rPr>
        <w:t>HUNGARY</w:t>
      </w:r>
      <w:r>
        <w:rPr>
          <w:color w:val="000000"/>
        </w:rPr>
        <w:t xml:space="preserve"> </w: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6" w:after="283"/>
        <w:jc w:val="center"/>
        <w:rPr/>
      </w:pPr>
      <w:r>
        <w:rPr>
          <w:rFonts w:ascii="Times New Roman;sans-serif" w:hAnsi="Times New Roman;sans-serif"/>
          <w:b/>
          <w:color w:val="000000"/>
          <w:sz w:val="22"/>
          <w:u w:val="single"/>
        </w:rPr>
        <w:t>INDIA</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283"/>
        <w:jc w:val="left"/>
        <w:rPr/>
      </w:pPr>
      <w:r>
        <w:rPr>
          <w:rFonts w:ascii="Times New Roman;sans-serif" w:hAnsi="Times New Roman;sans-serif"/>
          <w:b/>
          <w:color w:val="000000"/>
          <w:sz w:val="22"/>
        </w:rPr>
        <w:t xml:space="preserve">Payment after Vesting. </w:t>
      </w:r>
      <w:r>
        <w:rPr>
          <w:rFonts w:ascii="Times New Roman;sans-serif" w:hAnsi="Times New Roman;sans-serif"/>
          <w:b w:val="false"/>
          <w:color w:val="000000"/>
          <w:sz w:val="22"/>
        </w:rPr>
        <w:t>The following provision supplements Section 4 of the Agreement:</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Due to regulatory requirements in India, the Company reserves the right to require that the Participant sell all shares of Common Stock delivered to the Participant, either immediately upon receipt of such shares or upon the Participant’s termination of employment from the Mondelēz Group. In this regard, the Participant agrees that the Company is authorized to instruct its designated broker to assist with any such mandatory sale of shares of Common Stock (on the Participant’s behalf pursuant to this authorization), and the Participant expressly authorizes the designated broker to complete the sale of such shares. The Participant also agrees to sign any agreements, forms and/or consents that may be reasonably requested okby the Company (or the designated broker) to effectuate the sale of the shares of Common Stock and shall otherwise cooperate with the Company with respect to such matters, provided that the Participant shall not be permitted to exercise any influence over how, when or whether the sales occur. The Participant acknowledges that the designated broker is under no obligation to arrange for the sale of the shares of Common Stock at any particular price. Due to fluctuations in the shares of Common Stock price and/or applicable exchange rates between the date the shares of Common Stock are delivered to the Participant and (if later) the date on which the shares of Common Stock are sold, the amount of proceeds ultimately distributed to the Participant may be more or less than the market value of the shares of Common Stock on the relevant vesting date or the date on which such shares are delivered to the Participant. Upon the sale of the shares of Common Stock, the cash proceeds from the sale of shares (less any applicable Tax-Related Items, brokerage fees or commissions) will be delivered to the Participant in accordance with applicable laws and regulations, as determined by the Company in its sole discretion.</w:t>
      </w:r>
    </w:p>
    <w:p>
      <w:pPr>
        <w:pStyle w:val="TextBody"/>
        <w:bidi w:val="0"/>
        <w:spacing w:lineRule="auto" w:line="271" w:before="248"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29"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Indian residents are required to repatriate the cash proceeds received upon the sale of shares of Common Stock and convert such proceeds into local currency within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2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29"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specified timeframes as required under applicable regulations. Indian residents also are required to retain the foreign inward remittance certificate as evidence of repatriation. The Participant is personally responsible for complying with exchange control laws in India, and neither the Company nor the Employer will be liable for any fines or penalties resulting from the Participant’s failure to comply with applicable laws. The Participant may also be required to provide information regarding funds received from participation in the Plan to the Company and/or the Employer to enable them to comply with their filing requirements under exchange control laws in India.</w:t>
      </w:r>
    </w:p>
    <w:p>
      <w:pPr>
        <w:pStyle w:val="TextBody"/>
        <w:bidi w:val="0"/>
        <w:spacing w:lineRule="auto" w:line="276" w:before="235"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Participant should consult his or her personal tax or legal advisor before selling shares of Common Stock to ensure compliance with current regulations.</w:t>
      </w:r>
    </w:p>
    <w:p>
      <w:pPr>
        <w:pStyle w:val="TextBody"/>
        <w:bidi w:val="0"/>
        <w:spacing w:lineRule="auto" w:line="276" w:before="238"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Participant is required to declare foreign bank accounts and any foreign financial assets (including shares of Common Stock held outside India) in his or her annual tax return. It is the Participant’s responsibility to comply with this reporting obligation and the Participant should consult with his or her personal tax advisor in this regard.</w:t>
      </w:r>
    </w:p>
    <w:p>
      <w:pPr>
        <w:pStyle w:val="TextBody"/>
        <w:bidi w:val="0"/>
        <w:spacing w:lineRule="auto" w:line="271" w:before="246" w:after="283"/>
        <w:jc w:val="center"/>
        <w:rPr/>
      </w:pPr>
      <w:r>
        <w:rPr>
          <w:rFonts w:ascii="Times New Roman;sans-serif" w:hAnsi="Times New Roman;sans-serif"/>
          <w:b/>
          <w:color w:val="000000"/>
          <w:sz w:val="22"/>
          <w:u w:val="single"/>
        </w:rPr>
        <w:t>INDONESIA</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 xml:space="preserve">Language Consent and Notification. </w:t>
      </w:r>
      <w:r>
        <w:rPr>
          <w:rFonts w:ascii="Times New Roman;sans-serif" w:hAnsi="Times New Roman;sans-serif"/>
          <w:b w:val="false"/>
          <w:color w:val="000000"/>
          <w:sz w:val="22"/>
        </w:rPr>
        <w:t>A translation of the documents relating to this LTI grant into Bahasa Indonesia can be provided to the Participant upon request to Astrid Januarita, My Rewards Advisor ID, at</w:t>
      </w:r>
      <w:r>
        <w:rPr>
          <w:color w:val="0000FF"/>
          <w:u w:val="single"/>
        </w:rPr>
        <w:t xml:space="preserve"> </w:t>
      </w:r>
      <w:r>
        <w:rPr>
          <w:rFonts w:ascii="Times New Roman;sans-serif" w:hAnsi="Times New Roman;sans-serif"/>
          <w:b w:val="false"/>
          <w:color w:val="0000FF"/>
          <w:sz w:val="22"/>
          <w:u w:val="single"/>
        </w:rPr>
        <w:t>astrid.januarita@mdlz.com.</w:t>
      </w:r>
      <w:r>
        <w:rPr>
          <w:color w:val="000000"/>
        </w:rPr>
        <w:t xml:space="preserve"> </w:t>
      </w:r>
      <w:r>
        <w:rPr>
          <w:rFonts w:ascii="Times New Roman;sans-serif" w:hAnsi="Times New Roman;sans-serif"/>
          <w:b w:val="false"/>
          <w:color w:val="000000"/>
          <w:sz w:val="22"/>
        </w:rPr>
        <w:t>By accepting the LTI Grant, the Participant (i) confirms having read and understood the documents relating to this LTI Grant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bidi w:val="0"/>
        <w:spacing w:lineRule="auto" w:line="276" w:before="241" w:after="283"/>
        <w:jc w:val="left"/>
        <w:rPr/>
      </w:pPr>
      <w:r>
        <w:rPr>
          <w:rFonts w:ascii="Times New Roman;sans-serif" w:hAnsi="Times New Roman;sans-serif"/>
          <w:b/>
          <w:color w:val="000000"/>
          <w:sz w:val="22"/>
        </w:rPr>
        <w:t>Language Consent and Notification</w:t>
      </w:r>
      <w:r>
        <w:rPr>
          <w:rFonts w:ascii="Times New Roman;sans-serif" w:hAnsi="Times New Roman;sans-serif"/>
          <w:b w:val="false"/>
          <w:color w:val="000000"/>
          <w:sz w:val="22"/>
        </w:rPr>
        <w:t>. Terjemahan dari dokumen-dokumen terkait dengan pemberian ini ke Bahasa Indonesia dapat disediakan untuk anda berdasarkan permintaan kepada Astrid Januarita, My Rewards Advisor ID, di</w:t>
      </w:r>
      <w:r>
        <w:rPr>
          <w:color w:val="0000FF"/>
          <w:u w:val="single"/>
        </w:rPr>
        <w:t xml:space="preserve"> </w:t>
      </w:r>
      <w:r>
        <w:rPr>
          <w:rFonts w:ascii="Times New Roman;sans-serif" w:hAnsi="Times New Roman;sans-serif"/>
          <w:b w:val="false"/>
          <w:color w:val="0000FF"/>
          <w:sz w:val="22"/>
          <w:u w:val="single"/>
        </w:rPr>
        <w:t>astrid.januarita@mdlz.com.</w:t>
      </w:r>
      <w:r>
        <w:rPr>
          <w:color w:val="000000"/>
        </w:rPr>
        <w:t xml:space="preserve"> </w:t>
      </w:r>
      <w:r>
        <w:rPr>
          <w:rFonts w:ascii="Times New Roman;sans-serif" w:hAnsi="Times New Roman;sans-serif"/>
          <w:b w:val="false"/>
          <w:color w:val="000000"/>
          <w:sz w:val="22"/>
        </w:rPr>
        <w:t>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pStyle w:val="TextBody"/>
        <w:bidi w:val="0"/>
        <w:spacing w:lineRule="auto" w:line="276" w:before="233"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if the Participant remits funds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Participant must complete a “Transfer Report Form.” The Transfer Report Form will be provided to the Participant by the bank through which the transaction is made.</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2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7"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bidi w:val="0"/>
        <w:spacing w:lineRule="auto" w:line="271" w:before="247" w:after="283"/>
        <w:jc w:val="center"/>
        <w:rPr/>
      </w:pPr>
      <w:r>
        <w:rPr>
          <w:rFonts w:ascii="Times New Roman;sans-serif" w:hAnsi="Times New Roman;sans-serif"/>
          <w:b/>
          <w:color w:val="000000"/>
          <w:sz w:val="22"/>
          <w:u w:val="single"/>
        </w:rPr>
        <w:t>IRELAND</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If the Participant is a director, shadow director</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or secretary of an Irish subsidiary or affiliate, the Participant must notify the Irish subsidiary or affiliate in writing if (1) the Participant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LTI Award Payout, shares of Common Stock, etc.), (2) the Participant becomes aware of an event giving rise to a notification requirement, or (3) the Participant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pStyle w:val="TextBody"/>
        <w:bidi w:val="0"/>
        <w:spacing w:lineRule="auto" w:line="271" w:before="242" w:after="283"/>
        <w:jc w:val="center"/>
        <w:rPr/>
      </w:pPr>
      <w:r>
        <w:rPr>
          <w:rFonts w:ascii="Times New Roman;sans-serif" w:hAnsi="Times New Roman;sans-serif"/>
          <w:b/>
          <w:color w:val="000000"/>
          <w:sz w:val="22"/>
          <w:u w:val="single"/>
        </w:rPr>
        <w:t>ITALY</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5" w:after="395"/>
        <w:jc w:val="left"/>
        <w:rPr/>
      </w:pPr>
      <w:r>
        <w:rPr>
          <w:rFonts w:ascii="Times New Roman;sans-serif" w:hAnsi="Times New Roman;sans-serif"/>
          <w:b/>
          <w:color w:val="000000"/>
          <w:sz w:val="22"/>
        </w:rPr>
        <w:t xml:space="preserve">Plan Document Acknowledgment. </w:t>
      </w:r>
      <w:r>
        <w:rPr>
          <w:rFonts w:ascii="Times New Roman;sans-serif" w:hAnsi="Times New Roman;sans-serif"/>
          <w:b w:val="false"/>
          <w:color w:val="000000"/>
          <w:sz w:val="22"/>
        </w:rPr>
        <w:t>In participating in the Plan and receiving the LTI Grant, the Participant acknowledges that he or she has received a copy of the Plan and the Agreement and has reviewed the Plan and the Agreement, including this Appendix A, in their entirety and fully understands and accepts all provisions of the Plan and the Agreement, including this Appendix A.</w:t>
      </w:r>
    </w:p>
    <w:p>
      <w:pPr>
        <w:pStyle w:val="TextBody"/>
        <w:bidi w:val="0"/>
        <w:spacing w:lineRule="auto" w:line="276" w:before="12"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that he or she has read and specifically and expressly approves the following paragraphs of the Agreement: paragraph 3 on Vesting and Forfeiture; paragraph 4 on Payment; paragraph 5 on Treatment Upon a Change of Control; paragraph 6 on Restrictions and Covenants; paragraph 8 on Withholding Taxes; paragraph 9 on the Nature of the Grant; paragraph 11 on Nontransferability of LTI Grant; paragraph 14 on No Guarantee of Continued Employment; paragraph 15 on Entire Agreement; Governing Law; paragraph 16 on Conformity to Securities Laws; paragraph 24 on Language; paragraph 26 on Electronic Delivery and Acceptance; paragraph 27 on Imposition of Other Requirements; paragraph 28 on Insider Trading/Market Abuse Laws; paragraph 30 on Waiver; and the Data Privacy Notice in the European Union / European Economic Area section of this Appendix A.</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LTI Grants)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LTI Grants), are beneficial owners of the investment pursuant to Italian money laundering provisions.</w:t>
      </w:r>
    </w:p>
    <w:p>
      <w:pPr>
        <w:pStyle w:val="TextBody"/>
        <w:bidi w:val="0"/>
        <w:spacing w:lineRule="auto" w:line="276" w:before="238" w:after="283"/>
        <w:jc w:val="left"/>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The fair market value of any shares of Common Stock held outside Italy is subject to a foreign assets tax. The fair market value is considered to be the value of the shares of Common Stock on the Nasdaq Global Select Market on December 31 of each year or on the last day the Participant held the shares (in such case, or when the shares of Common Stock are acquired during the course of the year, the tax is levied in proportion to the actual days of holding over the calendar year). The Participant should consult with his or her personal tax advisor about the foreign financial assets tax.</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2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244" w:after="283"/>
        <w:jc w:val="center"/>
        <w:rPr/>
      </w:pPr>
      <w:r>
        <w:rPr>
          <w:rFonts w:ascii="Times New Roman;sans-serif" w:hAnsi="Times New Roman;sans-serif"/>
          <w:b/>
          <w:color w:val="000000"/>
          <w:sz w:val="22"/>
          <w:u w:val="single"/>
        </w:rPr>
        <w:t>JAPAN</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52" w:before="128"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Participant acquires shares of Common Stock valued at more than ¥100,000,000 in a single transaction, the Participant must file a Securities Acquisition Report with the Ministry of Finance through the Bank of Japan within 20 days of the purchase of the shares of Common Stock.</w:t>
      </w:r>
    </w:p>
    <w:p>
      <w:pPr>
        <w:pStyle w:val="TextBody"/>
        <w:bidi w:val="0"/>
        <w:spacing w:lineRule="auto" w:line="276" w:before="237"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Participant will be required to report details of any assets held outside Japan as of December 31st (including any shares of Common Stock acquired under the Plan) to the extent such assets have a total net fair market value exceeding ¥50,000,000. Such report will be due by March 15th each year. The Participant should consult with his or her personal tax advisor as to whether the reporting obligation applies to the Participant and whether the Participant will be required to include details of any outstanding LTI Grant, shares of Common Stock or cash held by the Participant in the report.</w:t>
      </w:r>
    </w:p>
    <w:p>
      <w:pPr>
        <w:pStyle w:val="TextBody"/>
        <w:bidi w:val="0"/>
        <w:spacing w:lineRule="auto" w:line="271" w:before="249" w:after="283"/>
        <w:jc w:val="center"/>
        <w:rPr/>
      </w:pPr>
      <w:r>
        <w:rPr>
          <w:rFonts w:ascii="Times New Roman;sans-serif" w:hAnsi="Times New Roman;sans-serif"/>
          <w:b/>
          <w:color w:val="000000"/>
          <w:sz w:val="22"/>
          <w:u w:val="single"/>
        </w:rPr>
        <w:t>KAZAKHSTAN</w:t>
      </w:r>
      <w:r>
        <w:rPr>
          <w:color w:val="000000"/>
        </w:rPr>
        <w:t xml:space="preserve"> </w:t>
      </w:r>
    </w:p>
    <w:p>
      <w:pPr>
        <w:pStyle w:val="TextBody"/>
        <w:bidi w:val="0"/>
        <w:spacing w:lineRule="auto" w:line="288" w:before="100" w:after="10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6" w:after="283"/>
        <w:jc w:val="left"/>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bidi w:val="0"/>
        <w:spacing w:lineRule="auto" w:line="276" w:before="251"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US$100,000.</w:t>
      </w:r>
    </w:p>
    <w:p>
      <w:pPr>
        <w:pStyle w:val="TextBody"/>
        <w:bidi w:val="0"/>
        <w:spacing w:lineRule="auto" w:line="276" w:before="246" w:after="283"/>
        <w:jc w:val="left"/>
        <w:rPr>
          <w:rFonts w:ascii="Times New Roman;sans-serif" w:hAnsi="Times New Roman;sans-serif"/>
          <w:b w:val="false"/>
          <w:color w:val="000000"/>
          <w:sz w:val="22"/>
        </w:rPr>
      </w:pPr>
      <w:r>
        <w:rPr>
          <w:rFonts w:ascii="Times New Roman;sans-serif" w:hAnsi="Times New Roman;sans-serif"/>
          <w:b w:val="false"/>
          <w:color w:val="000000"/>
          <w:sz w:val="22"/>
        </w:rPr>
        <w:t>Please note that the exchange control regulations in Kazakhstan are subject to change. The Employee should consult with their personal legal advisor regarding any exchange control obligations that the Employee may have prior to the LTI Award Payout or receiving proceeds from the sale of shares of Common Stock acquired under the Plan. The Employee is responsible for ensuring compliance with all exchange control laws in Kazakhstan.</w:t>
      </w:r>
    </w:p>
    <w:p>
      <w:pPr>
        <w:pStyle w:val="TextBody"/>
        <w:bidi w:val="0"/>
        <w:spacing w:lineRule="auto" w:line="271" w:before="246" w:after="283"/>
        <w:jc w:val="center"/>
        <w:rPr/>
      </w:pPr>
      <w:r>
        <w:rPr>
          <w:rFonts w:ascii="Times New Roman;sans-serif" w:hAnsi="Times New Roman;sans-serif"/>
          <w:b/>
          <w:color w:val="000000"/>
          <w:sz w:val="22"/>
          <w:u w:val="single"/>
        </w:rPr>
        <w:t>LITHUANIA</w:t>
      </w:r>
      <w:r>
        <w:rPr>
          <w:color w:val="000000"/>
        </w:rPr>
        <w:t xml:space="preserve"> </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6" w:after="283"/>
        <w:jc w:val="center"/>
        <w:rPr/>
      </w:pPr>
      <w:r>
        <w:rPr>
          <w:rFonts w:ascii="Times New Roman;sans-serif" w:hAnsi="Times New Roman;sans-serif"/>
          <w:b/>
          <w:color w:val="000000"/>
          <w:sz w:val="22"/>
          <w:u w:val="single"/>
        </w:rPr>
        <w:t>MALAYSIA</w:t>
      </w:r>
      <w:r>
        <w:rPr>
          <w:color w:val="000000"/>
        </w:rPr>
        <w:t xml:space="preserve"> </w:t>
      </w:r>
    </w:p>
    <w:p>
      <w:pPr>
        <w:pStyle w:val="TextBody"/>
        <w:bidi w:val="0"/>
        <w:spacing w:lineRule="auto" w:line="276" w:before="233"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3" w:after="216"/>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paragraph 10 of the Agreement:</w:t>
      </w:r>
    </w:p>
    <w:p>
      <w:pPr>
        <w:pStyle w:val="TextBody"/>
        <w:bidi w:val="0"/>
        <w:spacing w:lineRule="auto" w:line="264" w:before="0" w:after="0"/>
        <w:jc w:val="left"/>
        <w:rPr/>
      </w:pPr>
      <w:r>
        <w:rPr>
          <w:rFonts w:ascii="Times New Roman;sans-serif" w:hAnsi="Times New Roman;sans-serif"/>
          <w:b/>
          <w:i/>
          <w:color w:val="000000"/>
          <w:sz w:val="22"/>
        </w:rPr>
        <w:t xml:space="preserve">The Participant explicitly and unambiguously consents to the collection, use and transfer, in electronic or </w:t>
      </w:r>
      <w:r>
        <w:rPr>
          <w:rFonts w:ascii="Times New Roman;sans-serif" w:hAnsi="Times New Roman;sans-serif"/>
          <w:b/>
          <w:i/>
          <w:color w:val="000000"/>
          <w:sz w:val="24"/>
        </w:rPr>
        <w:t xml:space="preserve">other form, of the Participant’s </w:t>
      </w:r>
      <w:r>
        <w:rPr>
          <w:rFonts w:ascii="Times New Roman;sans-serif" w:hAnsi="Times New Roman;sans-serif"/>
          <w:b/>
          <w:i/>
          <w:color w:val="000000"/>
          <w:sz w:val="22"/>
        </w:rPr>
        <w:t xml:space="preserve">personal data as described in this Agreement and </w:t>
      </w:r>
      <w:r>
        <w:rPr>
          <w:rFonts w:ascii="Times New Roman;sans-serif" w:hAnsi="Times New Roman;sans-serif"/>
          <w:b/>
          <w:i/>
          <w:color w:val="000000"/>
          <w:sz w:val="24"/>
        </w:rPr>
        <w:t>any other LTI Grant materials (“</w:t>
      </w:r>
      <w:r>
        <w:rPr>
          <w:rFonts w:ascii="Times New Roman;sans-serif" w:hAnsi="Times New Roman;sans-serif"/>
          <w:b/>
          <w:i/>
          <w:color w:val="000000"/>
          <w:sz w:val="22"/>
        </w:rPr>
        <w:t>Data</w:t>
      </w:r>
      <w:r>
        <w:rPr>
          <w:color w:val="000000"/>
        </w:rPr>
        <w:t>”</w:t>
      </w:r>
      <w:r>
        <w:rPr>
          <w:rFonts w:ascii="Times New Roman;sans-serif" w:hAnsi="Times New Roman;sans-serif"/>
          <w:b/>
          <w:i/>
          <w:color w:val="000000"/>
          <w:sz w:val="24"/>
        </w:rPr>
        <w:t xml:space="preserve">) by and </w:t>
      </w:r>
      <w:r>
        <w:rPr>
          <w:rFonts w:ascii="Times New Roman;sans-serif" w:hAnsi="Times New Roman;sans-serif"/>
          <w:b/>
          <w:i/>
          <w:color w:val="000000"/>
          <w:sz w:val="22"/>
        </w:rPr>
        <w:t xml:space="preserve">among, as applicable, the Employer and the </w:t>
      </w:r>
      <w:r>
        <w:rPr>
          <w:rFonts w:ascii="Times New Roman;sans-serif" w:hAnsi="Times New Roman;sans-serif"/>
          <w:b/>
          <w:i/>
          <w:color w:val="000000"/>
          <w:sz w:val="24"/>
        </w:rPr>
        <w:t xml:space="preserve">Mondelēz </w:t>
      </w:r>
      <w:r>
        <w:rPr>
          <w:rFonts w:ascii="Times New Roman;sans-serif" w:hAnsi="Times New Roman;sans-serif"/>
          <w:b/>
          <w:i/>
          <w:color w:val="000000"/>
          <w:sz w:val="22"/>
        </w:rPr>
        <w:t xml:space="preserve">Group for the exclusive purpose of implementing, administering and managing the </w:t>
      </w:r>
      <w:r>
        <w:rPr>
          <w:rFonts w:ascii="Times New Roman;sans-serif" w:hAnsi="Times New Roman;sans-serif"/>
          <w:b/>
          <w:i/>
          <w:color w:val="000000"/>
          <w:sz w:val="24"/>
        </w:rPr>
        <w:t xml:space="preserve">Participant’s participation in the Plan. </w:t>
      </w:r>
      <w:r>
        <w:rPr>
          <w:rFonts w:ascii="Times New Roman;sans-serif" w:hAnsi="Times New Roman;sans-serif"/>
          <w:b/>
          <w:i/>
          <w:color w:val="000000"/>
          <w:sz w:val="22"/>
        </w:rPr>
        <w:t>The Data is supplied by the Employer and also by the Participant through information collected in connection with the Agreement and the Plan.</w:t>
      </w:r>
    </w:p>
    <w:p>
      <w:pPr>
        <w:pStyle w:val="TextBody"/>
        <w:bidi w:val="0"/>
        <w:spacing w:before="4" w:after="283"/>
        <w:jc w:val="left"/>
        <w:rPr/>
      </w:pPr>
      <w:r>
        <w:rPr/>
      </w:r>
    </w:p>
    <w:p>
      <w:pPr>
        <w:pStyle w:val="TextBody"/>
        <w:bidi w:val="0"/>
        <w:spacing w:lineRule="auto" w:line="240"/>
        <w:jc w:val="both"/>
        <w:rPr/>
      </w:pPr>
      <w:r>
        <w:rPr>
          <w:rFonts w:ascii="Times New Roman;sans-serif" w:hAnsi="Times New Roman;sans-serif"/>
          <w:b/>
          <w:i/>
          <w:color w:val="000000"/>
          <w:sz w:val="22"/>
        </w:rPr>
        <w:t>The Participant understands that the Company and the Employer may hold certain personal information about the Participant, including, but not limit</w:t>
      </w:r>
      <w:r>
        <w:rPr>
          <w:rFonts w:ascii="Times New Roman;sans-serif" w:hAnsi="Times New Roman;sans-serif"/>
          <w:b/>
          <w:i/>
          <w:color w:val="000000"/>
          <w:sz w:val="24"/>
        </w:rPr>
        <w:t xml:space="preserve">ed to, the Participant’s name, home </w:t>
      </w:r>
      <w:r>
        <w:rPr>
          <w:rFonts w:ascii="Times New Roman;sans-serif" w:hAnsi="Times New Roman;sans-serif"/>
          <w:b/>
          <w:i/>
          <w:color w:val="000000"/>
          <w:sz w:val="22"/>
        </w:rPr>
        <w:t xml:space="preserve">address, email address and telephone number, date of birth, social insurance number, passport or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2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ans-serif" w:hAnsi="Times New Roman;sans-serif"/>
          <w:b/>
          <w:i/>
          <w:color w:val="000000"/>
          <w:sz w:val="22"/>
        </w:rPr>
        <w:t xml:space="preserve">other identification number, salary, nationality, job title, any shares of stock or directorships held in the Company, details of all LTI Grants or any other entitlement to shares of stock awarded, canceled, exercised, vested, </w:t>
      </w:r>
      <w:r>
        <w:rPr>
          <w:rFonts w:ascii="Times New Roman;sans-serif" w:hAnsi="Times New Roman;sans-serif"/>
          <w:b/>
          <w:i/>
          <w:color w:val="000000"/>
          <w:sz w:val="24"/>
        </w:rPr>
        <w:t xml:space="preserve">unvested or outstanding in the Participant’s </w:t>
      </w:r>
      <w:r>
        <w:rPr>
          <w:rFonts w:ascii="Times New Roman;sans-serif" w:hAnsi="Times New Roman;sans-serif"/>
          <w:b/>
          <w:i/>
          <w:color w:val="000000"/>
          <w:sz w:val="22"/>
        </w:rPr>
        <w:t>favor, for the exclusive purpose of implementing, administering and managing the Plan.</w:t>
      </w:r>
    </w:p>
    <w:p>
      <w:pPr>
        <w:pStyle w:val="TextBody"/>
        <w:bidi w:val="0"/>
        <w:spacing w:before="0" w:after="0"/>
        <w:jc w:val="left"/>
        <w:rPr/>
      </w:pPr>
      <w:r>
        <w:rPr/>
      </w:r>
    </w:p>
    <w:p>
      <w:pPr>
        <w:pStyle w:val="TextBody"/>
        <w:bidi w:val="0"/>
        <w:spacing w:lineRule="auto" w:line="264" w:before="2" w:after="283"/>
        <w:jc w:val="left"/>
        <w:rPr/>
      </w:pPr>
      <w:r>
        <w:rPr>
          <w:rFonts w:ascii="Times New Roman;sans-serif" w:hAnsi="Times New Roman;sans-serif"/>
          <w:b/>
          <w:i/>
          <w:color w:val="000000"/>
          <w:sz w:val="22"/>
        </w:rPr>
        <w:t xml:space="preserve">The Participant understands that Data will be transferred to Morgan Stanley Smith Barney, LLC </w:t>
      </w:r>
      <w:r>
        <w:rPr>
          <w:rFonts w:ascii="Times New Roman;sans-serif" w:hAnsi="Times New Roman;sans-serif"/>
          <w:b/>
          <w:i/>
          <w:color w:val="000000"/>
          <w:sz w:val="24"/>
        </w:rPr>
        <w:t>(“</w:t>
      </w:r>
      <w:r>
        <w:rPr>
          <w:rFonts w:ascii="Times New Roman;sans-serif" w:hAnsi="Times New Roman;sans-serif"/>
          <w:b/>
          <w:i/>
          <w:color w:val="000000"/>
          <w:sz w:val="22"/>
        </w:rPr>
        <w:t>Morgan Stanley</w:t>
      </w:r>
      <w:r>
        <w:rPr>
          <w:color w:val="000000"/>
        </w:rPr>
        <w:t>”</w:t>
      </w:r>
      <w:r>
        <w:rPr>
          <w:rFonts w:ascii="Times New Roman;sans-serif" w:hAnsi="Times New Roman;sans-serif"/>
          <w:b/>
          <w:i/>
          <w:color w:val="000000"/>
          <w:sz w:val="24"/>
        </w:rPr>
        <w:t>)</w:t>
      </w:r>
      <w:r>
        <w:rPr>
          <w:rFonts w:ascii="Times New Roman;sans-serif" w:hAnsi="Times New Roman;sans-serif"/>
          <w:b/>
          <w:i/>
          <w:color w:val="000000"/>
          <w:sz w:val="22"/>
        </w:rPr>
        <w:t xml:space="preserve">, or such other stock plan service provider as may be selected by the Company in the future, which is assisting the Company with the implementation, administration and management of the Plan. The Participant understands that Data may also </w:t>
      </w:r>
      <w:r>
        <w:rPr>
          <w:rFonts w:ascii="Times New Roman;sans-serif" w:hAnsi="Times New Roman;sans-serif"/>
          <w:b/>
          <w:i/>
          <w:color w:val="000000"/>
          <w:sz w:val="24"/>
        </w:rPr>
        <w:t xml:space="preserve">be transferred to the Company’s independent </w:t>
      </w:r>
      <w:r>
        <w:rPr>
          <w:rFonts w:ascii="Times New Roman;sans-serif" w:hAnsi="Times New Roman;sans-serif"/>
          <w:b/>
          <w:i/>
          <w:color w:val="000000"/>
          <w:sz w:val="22"/>
        </w:rPr>
        <w:t xml:space="preserve">registered public accounting firm, PricewaterhouseCoopers LLP, or such other public accounting firm that may be engaged by the Company in the future. The Participant understands that the recipients of the Data may be located in the United States or elsewhere, and </w:t>
      </w:r>
      <w:r>
        <w:rPr>
          <w:rFonts w:ascii="Times New Roman;sans-serif" w:hAnsi="Times New Roman;sans-serif"/>
          <w:b/>
          <w:i/>
          <w:color w:val="000000"/>
          <w:sz w:val="24"/>
        </w:rPr>
        <w:t xml:space="preserve">that the recipients’ country (e.g., the United </w:t>
      </w:r>
      <w:r>
        <w:rPr>
          <w:rFonts w:ascii="Times New Roman;sans-serif" w:hAnsi="Times New Roman;sans-serif"/>
          <w:b/>
          <w:i/>
          <w:color w:val="000000"/>
          <w:sz w:val="22"/>
        </w:rPr>
        <w:t>States) may have different data privacy laws and protections than the Participan</w:t>
      </w:r>
      <w:r>
        <w:rPr>
          <w:rFonts w:ascii="Times New Roman;sans-serif" w:hAnsi="Times New Roman;sans-serif"/>
          <w:b/>
          <w:i/>
          <w:color w:val="000000"/>
          <w:sz w:val="24"/>
        </w:rPr>
        <w:t xml:space="preserve">t’s country. The </w:t>
      </w:r>
      <w:r>
        <w:rPr>
          <w:rFonts w:ascii="Times New Roman;sans-serif" w:hAnsi="Times New Roman;sans-serif"/>
          <w:b/>
          <w:i/>
          <w:color w:val="000000"/>
          <w:sz w:val="22"/>
        </w:rPr>
        <w:t xml:space="preserve">Participant understands that the Participant may request a list with the names and addresses of any potential recipients of the Data by contacting </w:t>
      </w:r>
      <w:r>
        <w:rPr>
          <w:rFonts w:ascii="Times New Roman;sans-serif" w:hAnsi="Times New Roman;sans-serif"/>
          <w:b/>
          <w:i/>
          <w:color w:val="000000"/>
          <w:sz w:val="24"/>
        </w:rPr>
        <w:t xml:space="preserve">the Participant’s local human resources </w:t>
      </w:r>
      <w:r>
        <w:rPr>
          <w:rFonts w:ascii="Times New Roman;sans-serif" w:hAnsi="Times New Roman;sans-serif"/>
          <w:b/>
          <w:i/>
          <w:color w:val="000000"/>
          <w:sz w:val="22"/>
        </w:rPr>
        <w:t xml:space="preserve">representative at Mondelez Malaysia Sales Sdn Bhd, Lot 9.01 Level 9, 1 First Avenue, 2A, Dataran Bandar Utama, Bandar Utama Damasara, 47800 Petaling Jaya, Selangor, Malaysia. The Participant authorizes the Company, Morgan Stanley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w:t>
      </w:r>
      <w:r>
        <w:rPr>
          <w:rFonts w:ascii="Times New Roman;sans-serif" w:hAnsi="Times New Roman;sans-serif"/>
          <w:b/>
          <w:i/>
          <w:color w:val="000000"/>
          <w:sz w:val="24"/>
        </w:rPr>
        <w:t>managing the Participant’s participation in t</w:t>
      </w:r>
      <w:r>
        <w:rPr>
          <w:rFonts w:ascii="Times New Roman;sans-serif" w:hAnsi="Times New Roman;sans-serif"/>
          <w:b/>
          <w:i/>
          <w:color w:val="000000"/>
          <w:sz w:val="22"/>
        </w:rPr>
        <w:t xml:space="preserve">he Plan. The Participant understands that Data will be held only as long as is necessary to implement, administer and manage the </w:t>
      </w:r>
      <w:r>
        <w:rPr>
          <w:rFonts w:ascii="Times New Roman;sans-serif" w:hAnsi="Times New Roman;sans-serif"/>
          <w:b/>
          <w:i/>
          <w:color w:val="000000"/>
          <w:sz w:val="24"/>
        </w:rPr>
        <w:t xml:space="preserve">Participant’s participation in the Plan. The </w:t>
      </w:r>
      <w:r>
        <w:rPr>
          <w:rFonts w:ascii="Times New Roman;sans-serif" w:hAnsi="Times New Roman;sans-serif"/>
          <w:b/>
          <w:i/>
          <w:color w:val="000000"/>
          <w:sz w:val="22"/>
        </w:rPr>
        <w:t xml:space="preserve">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w:t>
      </w:r>
      <w:r>
        <w:rPr>
          <w:rFonts w:ascii="Times New Roman;sans-serif" w:hAnsi="Times New Roman;sans-serif"/>
          <w:b/>
          <w:i/>
          <w:color w:val="000000"/>
          <w:sz w:val="24"/>
        </w:rPr>
        <w:t xml:space="preserve">Participant’s local human resources </w:t>
      </w:r>
      <w:r>
        <w:rPr>
          <w:rFonts w:ascii="Times New Roman;sans-serif" w:hAnsi="Times New Roman;sans-serif"/>
          <w:b/>
          <w:i/>
          <w:color w:val="000000"/>
          <w:sz w:val="22"/>
        </w:rPr>
        <w:t xml:space="preserve">representative. </w:t>
      </w:r>
    </w:p>
    <w:p>
      <w:pPr>
        <w:pStyle w:val="TextBody"/>
        <w:bidi w:val="0"/>
        <w:spacing w:before="2" w:after="283"/>
        <w:jc w:val="left"/>
        <w:rPr/>
      </w:pPr>
      <w:r>
        <w:rPr/>
      </w:r>
    </w:p>
    <w:p>
      <w:pPr>
        <w:pStyle w:val="TextBody"/>
        <w:bidi w:val="0"/>
        <w:spacing w:lineRule="auto" w:line="276" w:before="2" w:after="283"/>
        <w:jc w:val="left"/>
        <w:rPr>
          <w:rFonts w:ascii="Times New Roman;sans-serif" w:hAnsi="Times New Roman;sans-serif"/>
          <w:b/>
          <w:i/>
          <w:color w:val="000000"/>
          <w:sz w:val="22"/>
        </w:rPr>
      </w:pPr>
      <w:r>
        <w:rPr>
          <w:rFonts w:ascii="Times New Roman;sans-serif" w:hAnsi="Times New Roman;sans-serif"/>
          <w:b/>
          <w:i/>
          <w:color w:val="000000"/>
          <w:sz w:val="22"/>
        </w:rPr>
        <w:t>Further, the Participant understands that he or she is providing the consents herein on a purely voluntary basis. If the Participant does not consent, or if the Participant later seeks to revoke his or her consent, his or her employment status or service and career with the Employer will not be adversely affected; the only consequence of refusing or withdrawing the Participant’s consent is that the Company would not be able to grant the Participant LTI Grants or other equity awards or administer or maintain such awards. The Participant also understands that the Company has no obligation to substitute other forms of awards or compensation in lieu of the LTI Grant as a consequence of the Participant’s refusal or withdrawal of his or her consent. Therefore, the Participant understands that refusing or withdrawing his or her consent may affect the Participant’s ability to participate in the Plan. For more information on the consequences of the Participant’s refusal to consent or withdrawal of consent, the Participant understands that he or she may contact his or her local human resources representative.</w:t>
      </w:r>
    </w:p>
    <w:p>
      <w:pPr>
        <w:pStyle w:val="TextBody"/>
        <w:bidi w:val="0"/>
        <w:spacing w:before="0" w:after="0"/>
        <w:jc w:val="left"/>
        <w:rPr/>
      </w:pPr>
      <w:r>
        <w:rPr/>
      </w:r>
    </w:p>
    <w:p>
      <w:pPr>
        <w:pStyle w:val="TextBody"/>
        <w:bidi w:val="0"/>
        <w:spacing w:lineRule="auto" w:line="264" w:before="0" w:after="0"/>
        <w:jc w:val="left"/>
        <w:rPr/>
      </w:pPr>
      <w:r>
        <w:rPr>
          <w:rFonts w:ascii="Times New Roman;sans-serif" w:hAnsi="Times New Roman;sans-serif"/>
          <w:b/>
          <w:i/>
          <w:color w:val="000000"/>
          <w:sz w:val="22"/>
        </w:rPr>
        <w:t xml:space="preserve">Peserta dengan ini secara eksplisit dan tanpa sebarang keraguan mengizinkan pengumpulan, penggunaan dan pemindahan, dalam bentuk elektronik atau lain-lain, data peribadi Peserta seperti yang diterangkan dalam Perjanjian ini serta mana-mana bahan-bahan Geran LTI </w:t>
      </w:r>
      <w:r>
        <w:rPr>
          <w:rFonts w:ascii="Times New Roman;sans-serif" w:hAnsi="Times New Roman;sans-serif"/>
          <w:b/>
          <w:i/>
          <w:color w:val="000000"/>
          <w:sz w:val="24"/>
        </w:rPr>
        <w:t>(“</w:t>
      </w:r>
      <w:r>
        <w:rPr>
          <w:rFonts w:ascii="Times New Roman;sans-serif" w:hAnsi="Times New Roman;sans-serif"/>
          <w:b/>
          <w:i/>
          <w:color w:val="000000"/>
          <w:sz w:val="22"/>
        </w:rPr>
        <w:t>Data</w:t>
      </w:r>
      <w:r>
        <w:rPr>
          <w:color w:val="000000"/>
        </w:rPr>
        <w:t>”</w:t>
      </w:r>
      <w:r>
        <w:rPr>
          <w:rFonts w:ascii="Times New Roman;sans-serif" w:hAnsi="Times New Roman;sans-serif"/>
          <w:b/>
          <w:i/>
          <w:color w:val="000000"/>
          <w:sz w:val="24"/>
        </w:rPr>
        <w:t xml:space="preserve">) oleh dan di antara, seperti mana yang </w:t>
      </w:r>
      <w:r>
        <w:rPr>
          <w:rFonts w:ascii="Times New Roman;sans-serif" w:hAnsi="Times New Roman;sans-serif"/>
          <w:b/>
          <w:i/>
          <w:color w:val="000000"/>
          <w:sz w:val="22"/>
        </w:rPr>
        <w:t>terpakai, Majikan serta Kumpulan Mondelez untuk tujuan ekslusif bagi melaksanakan, mentadbir dan menguruskan penyertaan Peserta dalam Pelan. Data telah dibekalkan oleh pihak Majikan dan juga oleh Peserta melalui informasi yang telah dikumpul berkaitan dengan Perjanjian dan Pelan.</w:t>
      </w:r>
    </w:p>
    <w:p>
      <w:pPr>
        <w:pStyle w:val="TextBody"/>
        <w:bidi w:val="0"/>
        <w:spacing w:before="4" w:after="283"/>
        <w:jc w:val="left"/>
        <w:rPr/>
      </w:pPr>
      <w:r>
        <w:rPr/>
      </w:r>
    </w:p>
    <w:p>
      <w:pPr>
        <w:pStyle w:val="TextBody"/>
        <w:bidi w:val="0"/>
        <w:spacing w:lineRule="auto" w:line="256"/>
        <w:jc w:val="left"/>
        <w:rPr>
          <w:rFonts w:ascii="Times New Roman;sans-serif" w:hAnsi="Times New Roman;sans-serif"/>
          <w:b/>
          <w:i/>
          <w:color w:val="000000"/>
          <w:sz w:val="22"/>
        </w:rPr>
      </w:pPr>
      <w:r>
        <w:rPr>
          <w:rFonts w:ascii="Times New Roman;sans-serif" w:hAnsi="Times New Roman;sans-serif"/>
          <w:b/>
          <w:i/>
          <w:color w:val="000000"/>
          <w:sz w:val="22"/>
        </w:rPr>
        <w:t xml:space="preserve">Peserta memahami bahawa Syarikat dan Majikan mungkin memegang maklumat peribadi tertentu tentang Peserta, termasuk, tetapi tidak terhad kepada, nama Peserta, alamat rumah dan nombor telefon, almat emal, tarikh lahir, insurans sosial, nombor pasport atau pengenalan lain, gaji, kewarganegaraan, jawatan, apa-apa syer dalam Saham atau jawatan pengarah yang dipegang dalam Syarikat, maklumat berkaitan semua Geran LTI atau apa-apa kelayakan lain untuk syer dalam saham yang dianugerahkan, dibatalkan, dilaksanakan, terletak hak, tidak diletak hak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2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Times New Roman;sans-serif" w:hAnsi="Times New Roman;sans-serif"/>
          <w:b/>
          <w:i/>
          <w:color w:val="000000"/>
          <w:sz w:val="22"/>
        </w:rPr>
      </w:pPr>
      <w:r>
        <w:rPr>
          <w:rFonts w:ascii="Times New Roman;sans-serif" w:hAnsi="Times New Roman;sans-serif"/>
          <w:b/>
          <w:i/>
          <w:color w:val="000000"/>
          <w:sz w:val="22"/>
        </w:rPr>
        <w:t>ataupun yang belum dijelaskan bagi faedah Peserta, untuk tujuan eksklusif bagi melaksanakan, mentadbir dan menguruskan Pelan tersebut.</w:t>
      </w:r>
    </w:p>
    <w:p>
      <w:pPr>
        <w:pStyle w:val="TextBody"/>
        <w:bidi w:val="0"/>
        <w:spacing w:before="0" w:after="0"/>
        <w:jc w:val="both"/>
        <w:rPr/>
      </w:pPr>
      <w:r>
        <w:rPr/>
      </w:r>
    </w:p>
    <w:p>
      <w:pPr>
        <w:pStyle w:val="TextBody"/>
        <w:bidi w:val="0"/>
        <w:spacing w:before="4" w:after="283"/>
        <w:jc w:val="left"/>
        <w:rPr/>
      </w:pPr>
      <w:r>
        <w:rPr/>
      </w:r>
    </w:p>
    <w:p>
      <w:pPr>
        <w:pStyle w:val="TextBody"/>
        <w:bidi w:val="0"/>
        <w:spacing w:lineRule="auto" w:line="259" w:before="0" w:after="0"/>
        <w:jc w:val="left"/>
        <w:rPr/>
      </w:pPr>
      <w:r>
        <w:rPr>
          <w:rFonts w:ascii="Times New Roman;sans-serif" w:hAnsi="Times New Roman;sans-serif"/>
          <w:b/>
          <w:i/>
          <w:color w:val="000000"/>
          <w:sz w:val="22"/>
        </w:rPr>
        <w:t xml:space="preserve">Peserta memahami bahawa Data tersebut akan dipindahkan ke Morgan Stanley Smith Barney, LLC </w:t>
      </w:r>
      <w:r>
        <w:rPr>
          <w:rFonts w:ascii="Times New Roman;sans-serif" w:hAnsi="Times New Roman;sans-serif"/>
          <w:b w:val="false"/>
          <w:i/>
          <w:color w:val="000000"/>
          <w:sz w:val="24"/>
        </w:rPr>
        <w:t>(“</w:t>
      </w:r>
      <w:r>
        <w:rPr>
          <w:rFonts w:ascii="Times New Roman;sans-serif" w:hAnsi="Times New Roman;sans-serif"/>
          <w:b/>
          <w:i/>
          <w:color w:val="000000"/>
          <w:sz w:val="22"/>
        </w:rPr>
        <w:t>Morgan Stanley</w:t>
      </w:r>
      <w:r>
        <w:rPr>
          <w:color w:val="000000"/>
        </w:rPr>
        <w:t>”</w:t>
      </w:r>
      <w:r>
        <w:rPr>
          <w:rFonts w:ascii="Times New Roman;sans-serif" w:hAnsi="Times New Roman;sans-serif"/>
          <w:b w:val="false"/>
          <w:i/>
          <w:color w:val="000000"/>
          <w:sz w:val="24"/>
        </w:rPr>
        <w:t xml:space="preserve">) </w:t>
      </w:r>
      <w:r>
        <w:rPr>
          <w:rFonts w:ascii="Times New Roman;sans-serif" w:hAnsi="Times New Roman;sans-serif"/>
          <w:b/>
          <w:i/>
          <w:color w:val="000000"/>
          <w:sz w:val="22"/>
        </w:rPr>
        <w:t>atau pembekal perkhidmatan pelan saham lain yang mungkin dipilih oleh Syarikat pada masa hadapan, yang membantu Syarikat melaksanakan, mentadbir dan menguruskan Pelan tersebut. Peserta memahami bahawa Data juga mungkin dipindahkan kepada firma akauntansi awamberdaftar bebas Syarikat, PricewaterhouseCoopers LLP, atau firma akauntansi awam lain yang mungkin digunakan oleh Syarikat pada masa hadapan. Peserta turut memahami bahawa penerima Data mungkin berada di Amerika Syarikat atau negara lain dan negara asal penerima Data (contohnya, Amerika Syarikat) mungkin mempunyai undang-undang data peribadi serta perlindungan yang berbeza daripada negara asal Peserta. Peserta memahami bahawa Peserta boleh meminta satu senarai yang mengandungi nama dan alamat penerima-penerima Data yang berpotensi dengan menghubungi wakil sumber manusia tempatan Peserta di Mondelez Malaysia Sales Sdn Bhd, Lot 9.01 Level 9, 1 First Avenue, 2A, Dataran Bandar Utama, Bandar Utama Damasara, 47800 Petaling Jaya, Selangor, Malaysia.</w:t>
      </w:r>
    </w:p>
    <w:p>
      <w:pPr>
        <w:pStyle w:val="TextBody"/>
        <w:bidi w:val="0"/>
        <w:spacing w:before="4" w:after="283"/>
        <w:jc w:val="left"/>
        <w:rPr/>
      </w:pPr>
      <w:r>
        <w:rPr/>
      </w:r>
    </w:p>
    <w:p>
      <w:pPr>
        <w:pStyle w:val="TextBody"/>
        <w:bidi w:val="0"/>
        <w:spacing w:lineRule="auto" w:line="271" w:before="0" w:after="0"/>
        <w:jc w:val="left"/>
        <w:rPr>
          <w:rFonts w:ascii="Times New Roman;sans-serif" w:hAnsi="Times New Roman;sans-serif"/>
          <w:b/>
          <w:i/>
          <w:color w:val="000000"/>
          <w:sz w:val="22"/>
        </w:rPr>
      </w:pPr>
      <w:r>
        <w:rPr>
          <w:rFonts w:ascii="Times New Roman;sans-serif" w:hAnsi="Times New Roman;sans-serif"/>
          <w:b/>
          <w:i/>
          <w:color w:val="000000"/>
          <w:sz w:val="22"/>
        </w:rPr>
        <w:t>Pesertadengan ini membenarkan Syarikat, Morgan Stanley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penyertaan Peserta dalam Pelan. Pesertamemahami bahawa Data hanya akan disimpan untuk tempoh yang diperlukan untuk melaksana, mentadbir, dan mengurus penyertaan Peserta dalam Pelan. Peserta memahami bahawa Peserta boleh, pada bila-bila masa, melihat Data, meminta maklumat tambahan mengenai penyimpanan dan pemprosesan Data, meminta bahawa pindaan-pindaan dilaksanakan ke atas Data atau menolak atau menarik balik persetujuan dalam ini, dalam mana-mana kes tanpa sebarang kos, dengan menghubungi secara bertulis wakil sumber manusia tempatannya. Selanjutnya, Peserta memahami bahawa Peserta memberikan persetujuan di sini secara sukarela. Jikalau, Peserta tidak bersetuju, atau sekiranaya Peserta kemudiannya membatalkan persetujuannya, status Pesertaan atau perkhidmatan dan kerjaya Peserta dengan Majikan tidak akan terjejas; satu-satunya akibat jika Peserta tidak bersetuju atau menarik balik persetujuan Peserta adalah bahawa Syarikat tidak akan dapat memberikan kepada Peserta opsyen atau anugerah-anugerah ekuiti yang lain atau mentadbir atau mengekalkan anugerah tersebut. Peserta turut memahami bahawa pihak Syarikat tidak mempunyai sebarang kewajiban untuk menggantikan bentuk anugerah yang lain atau memberikan sebarang bentuk kompensasi sebagai pengganti opsyen disebabkan keengganan atau penarikan balik persetujuan Peserta. Oleh kerana itu, Peserta memahami bahawa keengganan atau penarikan balik persetujuan Peserta boleh menjejaskan keupayaan Peserta untuk mengambil bahagian dalam Pelan. Untuk maklumat lanjut mengenai akibat keengganan Peserta untuk memberikan keizinan atau penarikan balik keizinan, Peserta memahami bahawa Peserta boleh menghubungi wakil sumber manusia tempatannya.</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9" w:after="283"/>
        <w:jc w:val="left"/>
        <w:rPr/>
      </w:pPr>
      <w:r>
        <w:rPr>
          <w:rFonts w:ascii="Times New Roman;sans-serif" w:hAnsi="Times New Roman;sans-serif"/>
          <w:b/>
          <w:color w:val="000000"/>
          <w:sz w:val="22"/>
        </w:rPr>
        <w:t xml:space="preserve">Director Notification Obligation. </w:t>
      </w:r>
      <w:r>
        <w:rPr>
          <w:rFonts w:ascii="Times New Roman;sans-serif" w:hAnsi="Times New Roman;sans-serif"/>
          <w:b w:val="false"/>
          <w:color w:val="000000"/>
          <w:sz w:val="22"/>
        </w:rPr>
        <w:t>If the Participant is a director of the Company’s Malaysian subsidiary or affiliate, the Participant is subject to certain notification requirements under the Malaysian Companies Act. Among these requirements is an obligation to notify the Malaysian subsidiary or affiliate in writing when the Participant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LTI Grants or shares of Common Stock) in the Company or any related company. Such notifications must be made within 14 days of receiving or disposing of any interest in the Company or any related company.</w:t>
      </w:r>
    </w:p>
    <w:p>
      <w:pPr>
        <w:pStyle w:val="TextBody"/>
        <w:bidi w:val="0"/>
        <w:spacing w:lineRule="auto" w:line="271" w:before="246" w:after="283"/>
        <w:jc w:val="center"/>
        <w:rPr/>
      </w:pPr>
      <w:r>
        <w:rPr>
          <w:rFonts w:ascii="Times New Roman;sans-serif" w:hAnsi="Times New Roman;sans-serif"/>
          <w:b/>
          <w:color w:val="000000"/>
          <w:sz w:val="22"/>
          <w:u w:val="single"/>
        </w:rPr>
        <w:t>MEXICO</w:t>
      </w:r>
      <w:r>
        <w:rPr>
          <w:color w:val="000000"/>
        </w:rPr>
        <w:t xml:space="preserve"> </w:t>
      </w:r>
    </w:p>
    <w:p>
      <w:pPr>
        <w:pStyle w:val="TextBody"/>
        <w:bidi w:val="0"/>
        <w:spacing w:lineRule="auto" w:line="271" w:before="241" w:after="130"/>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2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In participating in the Plan and receiving this LTI Grant, the Participant expressly recognizes that Mondelēz International, Inc., with registered offices at 905 West Fulton Market, Suite 200, Chicago, Illinois 60607, U.S.A., is solely responsible for the administration of the Plan and that the Participant’s participation in the Plan and acquisition of shares of Common Stock do not constitute an employment relationship between the Participant and Mondelēz International, Inc. since the Participant is participating in the Plan on a wholly commercial basis and his or her sole Employer is Mondelēz M</w:t>
      </w:r>
      <w:r>
        <w:rPr>
          <w:rFonts w:ascii="Times New Roman;sans-serif" w:hAnsi="Times New Roman;sans-serif"/>
          <w:b w:val="false"/>
          <w:color w:val="000000"/>
          <w:sz w:val="28"/>
        </w:rPr>
        <w:t>e</w:t>
      </w:r>
      <w:r>
        <w:rPr>
          <w:rFonts w:ascii="Times New Roman;sans-serif" w:hAnsi="Times New Roman;sans-serif"/>
          <w:b w:val="false"/>
          <w:color w:val="000000"/>
          <w:sz w:val="22"/>
        </w:rPr>
        <w:t>xico, S. de R.L. de C.V., located at Av. 18 de Noviembre 1028, Camino a Manzanilla, Heroica Puebla de Zaragoza, Puebla, C.P. 72304. Based on the foregoing, the Participant expressly recognizes that the Plan and the benefits that he or she may derive from participating in the Plan do not establish any rights between the Participant and the Employer, Mondelēz M</w:t>
      </w:r>
      <w:r>
        <w:rPr>
          <w:rFonts w:ascii="Times New Roman;sans-serif" w:hAnsi="Times New Roman;sans-serif"/>
          <w:b w:val="false"/>
          <w:color w:val="000000"/>
          <w:sz w:val="28"/>
        </w:rPr>
        <w:t>e</w:t>
      </w:r>
      <w:r>
        <w:rPr>
          <w:rFonts w:ascii="Times New Roman;sans-serif" w:hAnsi="Times New Roman;sans-serif"/>
          <w:b w:val="false"/>
          <w:color w:val="000000"/>
          <w:sz w:val="22"/>
        </w:rPr>
        <w:t>xico, S. de R.L. de C.V., and do not form part of the employment conditions and/or benefits provided by Mondelēz M</w:t>
      </w:r>
      <w:r>
        <w:rPr>
          <w:rFonts w:ascii="Times New Roman;sans-serif" w:hAnsi="Times New Roman;sans-serif"/>
          <w:b w:val="false"/>
          <w:color w:val="000000"/>
          <w:sz w:val="28"/>
        </w:rPr>
        <w:t>e</w:t>
      </w:r>
      <w:r>
        <w:rPr>
          <w:rFonts w:ascii="Times New Roman;sans-serif" w:hAnsi="Times New Roman;sans-serif"/>
          <w:b w:val="false"/>
          <w:color w:val="000000"/>
          <w:sz w:val="22"/>
        </w:rPr>
        <w:t>xico, S. de R.L. de C.V., and any modification of the Plan or its termination shall not constitute a change or impairment of the terms and conditions of the Participant’s employment.</w:t>
      </w:r>
    </w:p>
    <w:p>
      <w:pPr>
        <w:pStyle w:val="TextBody"/>
        <w:bidi w:val="0"/>
        <w:spacing w:lineRule="auto" w:line="276" w:before="241"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further understands that his or her participation in the Plan is as a result of a unilateral and discretionary decision of Mondelēz International, Inc.; therefore, Mondelēz International, Inc. reserves the absolute right to amend and/or discontinue the Participant’s participation at any time without any liability to the Participant.</w:t>
      </w:r>
    </w:p>
    <w:p>
      <w:pPr>
        <w:pStyle w:val="TextBody"/>
        <w:bidi w:val="0"/>
        <w:spacing w:lineRule="auto" w:line="278" w:before="232" w:after="283"/>
        <w:jc w:val="left"/>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By accepting the LTI Grant, the Participant acknowledges that he or she has received copies of the Plan, has reviewed the Plan and the Agreement in their entirety and fully understands and accepts all provisions of the Plan and the Agreement.</w:t>
      </w:r>
    </w:p>
    <w:p>
      <w:pPr>
        <w:pStyle w:val="TextBody"/>
        <w:bidi w:val="0"/>
        <w:spacing w:lineRule="auto" w:line="278" w:before="219"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by accepting the Agreement, the Participant further acknowledges that he or she has read and specifically and expressly approves the terms and conditions in paragraph 9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LTI Grant.</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Finally, the Participant hereby declares that he or she does not reserve to him- or herself any action or right to bring any claim against Mondelēz International, Inc. for any compensation or damages regarding any provision of the Plan or the benefits derived under the Plan, and the Participant therefore grants a full and broad release to Mondelēz International, Inc., its affiliates, branches, representation offices, its shareholders, officers, agents or legal representatives with respect to any claim that may arise.</w:t>
      </w:r>
    </w:p>
    <w:p>
      <w:pPr>
        <w:pStyle w:val="TextBody"/>
        <w:bidi w:val="0"/>
        <w:spacing w:lineRule="auto" w:line="276" w:before="239" w:after="283"/>
        <w:jc w:val="left"/>
        <w:rPr>
          <w:rFonts w:ascii="Times New Roman;sans-serif" w:hAnsi="Times New Roman;sans-serif"/>
          <w:b/>
          <w:i/>
          <w:color w:val="000000"/>
          <w:sz w:val="22"/>
        </w:rPr>
      </w:pPr>
      <w:r>
        <w:rPr>
          <w:rFonts w:ascii="Times New Roman;sans-serif" w:hAnsi="Times New Roman;sans-serif"/>
          <w:b/>
          <w:i/>
          <w:color w:val="000000"/>
          <w:sz w:val="22"/>
        </w:rPr>
        <w:t>TÉRMINOS Y CONDICIONES</w:t>
      </w:r>
    </w:p>
    <w:p>
      <w:pPr>
        <w:pStyle w:val="TextBody"/>
        <w:bidi w:val="0"/>
        <w:spacing w:lineRule="auto" w:line="242" w:before="235" w:after="283"/>
        <w:jc w:val="left"/>
        <w:rPr/>
      </w:pPr>
      <w:r>
        <w:rPr>
          <w:rFonts w:ascii="Times New Roman;sans-serif" w:hAnsi="Times New Roman;sans-serif"/>
          <w:b/>
          <w:color w:val="000000"/>
          <w:sz w:val="22"/>
        </w:rPr>
        <w:t xml:space="preserve">Política Laboral y Reconocimiento/Aceptación. </w:t>
      </w:r>
      <w:r>
        <w:rPr>
          <w:rFonts w:ascii="Times New Roman;sans-serif" w:hAnsi="Times New Roman;sans-serif"/>
          <w:b w:val="false"/>
          <w:color w:val="000000"/>
          <w:sz w:val="22"/>
        </w:rPr>
        <w:t>Al participar en el Plan LTI y recibir el Premio LTIP, el Participante expresamente reconoce que Mondelēz International, Inc., con domicilio registrado ubicado en 905 West Fulton Market, Suite 200, Chicago, Illinois 60607, U.S.A., es la única responsable por la administración del Plan LTI y que la participación del Participante en el Plan LTI y en su caso la adquisición de las Acciones no constituye ni podrá constituir en ningún momento una relación de trabajo entre el Participante y Mondelēz International, Inc., ya que el Participante participa en el Plan LTI en un marco totalmente comercial y su único Patrón lo es Mondelēz M</w:t>
      </w:r>
      <w:r>
        <w:rPr>
          <w:rFonts w:ascii="Times New Roman;sans-serif" w:hAnsi="Times New Roman;sans-serif"/>
          <w:b w:val="false"/>
          <w:color w:val="000000"/>
          <w:sz w:val="28"/>
        </w:rPr>
        <w:t>e</w:t>
      </w:r>
      <w:r>
        <w:rPr>
          <w:rFonts w:ascii="Times New Roman;sans-serif" w:hAnsi="Times New Roman;sans-serif"/>
          <w:b w:val="false"/>
          <w:color w:val="000000"/>
          <w:sz w:val="22"/>
        </w:rPr>
        <w:t xml:space="preserve">xico, S. de R.L. de C.V., con domicilio ubicado en Avenida Santa Fe 485, Piso 7, Colonia Cruz Manca, Mexico City, C.P. 05349 Mexico. Derivado de lo anterior, el Participante expresamente reconoce que el Plan LTI y los beneficios que pudieran derivar de la participación en el mismo no establecen derecho alguno entre el </w:t>
      </w:r>
      <w:r>
        <w:rPr>
          <w:rFonts w:ascii="Times New Roman;sans-serif" w:hAnsi="Times New Roman;sans-serif"/>
          <w:b w:val="false"/>
          <w:color w:val="000000"/>
          <w:sz w:val="23"/>
        </w:rPr>
        <w:t>Participante y el Patrón, Mondelēz M</w:t>
      </w:r>
      <w:r>
        <w:rPr>
          <w:rFonts w:ascii="Times New Roman;sans-serif" w:hAnsi="Times New Roman;sans-serif"/>
          <w:b w:val="false"/>
          <w:color w:val="000000"/>
          <w:sz w:val="28"/>
        </w:rPr>
        <w:t>e</w:t>
      </w:r>
      <w:r>
        <w:rPr>
          <w:rFonts w:ascii="Times New Roman;sans-serif" w:hAnsi="Times New Roman;sans-serif"/>
          <w:b w:val="false"/>
          <w:color w:val="000000"/>
          <w:sz w:val="23"/>
        </w:rPr>
        <w:t>xico, S. de R.L. de C.V., y no forma parte de las condiciones de trabajo y/o las prestaciones otorgadas por Mondelēz M</w:t>
      </w:r>
      <w:r>
        <w:rPr>
          <w:rFonts w:ascii="Times New Roman;sans-serif" w:hAnsi="Times New Roman;sans-serif"/>
          <w:b w:val="false"/>
          <w:color w:val="000000"/>
          <w:sz w:val="28"/>
        </w:rPr>
        <w:t>e</w:t>
      </w:r>
      <w:r>
        <w:rPr>
          <w:rFonts w:ascii="Times New Roman;sans-serif" w:hAnsi="Times New Roman;sans-serif"/>
          <w:b w:val="false"/>
          <w:color w:val="000000"/>
          <w:sz w:val="23"/>
        </w:rPr>
        <w:t xml:space="preserve">xico, S. de R.L. de C.V., y que cualquier modificación al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2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2" w:before="235" w:after="283"/>
        <w:jc w:val="left"/>
        <w:rPr>
          <w:rFonts w:ascii="Times New Roman;sans-serif" w:hAnsi="Times New Roman;sans-serif"/>
          <w:b w:val="false"/>
          <w:color w:val="000000"/>
          <w:sz w:val="23"/>
        </w:rPr>
      </w:pPr>
      <w:r>
        <w:rPr>
          <w:rFonts w:ascii="Times New Roman;sans-serif" w:hAnsi="Times New Roman;sans-serif"/>
          <w:b w:val="false"/>
          <w:color w:val="000000"/>
          <w:sz w:val="23"/>
        </w:rPr>
        <w:t>Plan LTI o su terminación no constituye un cambio o impedimento de los términos y condiciones de la relación de trabajo del Participante.</w:t>
      </w:r>
    </w:p>
    <w:p>
      <w:pPr>
        <w:pStyle w:val="TextBody"/>
        <w:bidi w:val="0"/>
        <w:spacing w:lineRule="auto" w:line="264" w:before="241" w:after="283"/>
        <w:jc w:val="left"/>
        <w:rPr>
          <w:rFonts w:ascii="Times New Roman;sans-serif" w:hAnsi="Times New Roman;sans-serif"/>
          <w:b w:val="false"/>
          <w:color w:val="000000"/>
          <w:sz w:val="23"/>
        </w:rPr>
      </w:pPr>
      <w:r>
        <w:rPr>
          <w:rFonts w:ascii="Times New Roman;sans-serif" w:hAnsi="Times New Roman;sans-serif"/>
          <w:b w:val="false"/>
          <w:color w:val="000000"/>
          <w:sz w:val="23"/>
        </w:rPr>
        <w:t>De igual manera, el Participante entiende que su participación en el Plan LTI es resultado de una decisión unilateral y discrecional de Mondelēz International, Inc.; por lo tanto, Mondelēz International, Inc. se reserva el absoluto derecho de modificar y/o terminar la participación del Participante en cualquier momento, sin responsabilidad alguna frente el Participante.</w:t>
      </w:r>
    </w:p>
    <w:p>
      <w:pPr>
        <w:pStyle w:val="TextBody"/>
        <w:bidi w:val="0"/>
        <w:spacing w:lineRule="auto" w:line="276" w:before="237" w:after="283"/>
        <w:jc w:val="left"/>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 aceptar el Premio LTIP, el Participante reconoce que ha recibido copias del Plan LTI, que ha revisado el Plan LTI y el Acuerdo en su totalidad y que entiende y acepta completamente todas las disposiciones contenidas en el Plan LTI y en el Acuerdo.</w:t>
      </w:r>
    </w:p>
    <w:p>
      <w:pPr>
        <w:pStyle w:val="TextBody"/>
        <w:bidi w:val="0"/>
        <w:spacing w:lineRule="auto" w:line="271" w:before="234" w:after="283"/>
        <w:jc w:val="left"/>
        <w:rPr/>
      </w:pPr>
      <w:r>
        <w:rPr>
          <w:rFonts w:ascii="Times New Roman;sans-serif" w:hAnsi="Times New Roman;sans-serif"/>
          <w:b w:val="false"/>
          <w:color w:val="000000"/>
          <w:sz w:val="22"/>
        </w:rPr>
        <w:t xml:space="preserve">Adicionalmente, al firmar el Acuerdo, el Participante reconoce que ha leído y que aprueba específica y expresamente los términos y condiciones contenidos en el párrafo 9 del Acuerdo ( </w:t>
      </w:r>
      <w:r>
        <w:rPr>
          <w:color w:val="000000"/>
        </w:rPr>
        <w:t>“</w:t>
      </w:r>
      <w:r>
        <w:rPr>
          <w:rFonts w:ascii="Times New Roman;sans-serif" w:hAnsi="Times New Roman;sans-serif"/>
          <w:b w:val="false"/>
          <w:color w:val="000000"/>
          <w:sz w:val="22"/>
        </w:rPr>
        <w:t>La Naturaleza del Otorgamiento</w:t>
      </w:r>
      <w:r>
        <w:rPr>
          <w:color w:val="000000"/>
        </w:rPr>
        <w:t>”</w:t>
      </w:r>
      <w:r>
        <w:rPr>
          <w:rFonts w:ascii="Times New Roman;sans-serif" w:hAnsi="Times New Roman;sans-serif"/>
          <w:b w:val="false"/>
          <w:color w:val="000000"/>
          <w:sz w:val="22"/>
        </w:rPr>
        <w:t xml:space="preserve">) en el cual se encuentra claramente descrito y establecido lo siguiente: (i) la participación en el Plan LTI no constituye un derecho adquirido; (ii) el Plan LTI y la participación en el mismo es ofrecido por </w:t>
      </w:r>
      <w:r>
        <w:rPr>
          <w:rFonts w:ascii="Times New Roman;sans-serif" w:hAnsi="Times New Roman;sans-serif"/>
          <w:b w:val="false"/>
          <w:color w:val="000000"/>
          <w:sz w:val="23"/>
        </w:rPr>
        <w:t>Mondelēz International, Inc.</w:t>
      </w:r>
      <w:r>
        <w:rPr>
          <w:rFonts w:ascii="Times New Roman;sans-serif" w:hAnsi="Times New Roman;sans-serif"/>
          <w:b w:val="false"/>
          <w:color w:val="000000"/>
          <w:sz w:val="22"/>
        </w:rPr>
        <w:t xml:space="preserve">de forma completamente discrecional; (iii) la participación en el Plan LTI es voluntaria; y (iv) ni </w:t>
      </w:r>
      <w:r>
        <w:rPr>
          <w:rFonts w:ascii="Times New Roman;sans-serif" w:hAnsi="Times New Roman;sans-serif"/>
          <w:b w:val="false"/>
          <w:color w:val="000000"/>
          <w:sz w:val="23"/>
        </w:rPr>
        <w:t xml:space="preserve">Mondelēz International, Inc. </w:t>
      </w:r>
      <w:r>
        <w:rPr>
          <w:rFonts w:ascii="Times New Roman;sans-serif" w:hAnsi="Times New Roman;sans-serif"/>
          <w:b w:val="false"/>
          <w:color w:val="000000"/>
          <w:sz w:val="22"/>
        </w:rPr>
        <w:t>ni de cualqiuer Sociedad controlante, Subsidiaria o Filial son responsables por ninguna disminución en el valor de las Acciones subyacentes del Plan LTI.</w:t>
      </w:r>
    </w:p>
    <w:p>
      <w:pPr>
        <w:pStyle w:val="TextBody"/>
        <w:bidi w:val="0"/>
        <w:spacing w:lineRule="auto" w:line="264" w:before="237" w:after="283"/>
        <w:jc w:val="left"/>
        <w:rPr>
          <w:rFonts w:ascii="Times New Roman;sans-serif" w:hAnsi="Times New Roman;sans-serif"/>
          <w:b w:val="false"/>
          <w:color w:val="000000"/>
          <w:sz w:val="23"/>
        </w:rPr>
      </w:pPr>
      <w:r>
        <w:rPr>
          <w:rFonts w:ascii="Times New Roman;sans-serif" w:hAnsi="Times New Roman;sans-serif"/>
          <w:b w:val="false"/>
          <w:color w:val="000000"/>
          <w:sz w:val="23"/>
        </w:rPr>
        <w:t>Finalmente, el Participante por este medio declara que no se reserve derecho o acción alguna que ejercitar en contra de Mondelēz International, Inc. por cualquier compensación o daño en relación con las disposiciones del Plan LTI o de los beneficios derivados del mismo y por lo tanto, el Participante otorga el más amplio finiquito que en derecho proceda a Mondelēz International, Inc., sus afiliadas, subsidiarias, oficinas de representación, sus accionistas, funcionarios, agentes o representantes legales en relación con cualquier demanda que pudiera surgir.</w:t>
      </w:r>
    </w:p>
    <w:p>
      <w:pPr>
        <w:pStyle w:val="TextBody"/>
        <w:bidi w:val="0"/>
        <w:spacing w:lineRule="auto" w:line="271" w:before="248"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1" w:before="228"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The LTI Grants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LTI Grants may not be publicly distributed in Mexico. These materials are addressed </w:t>
      </w:r>
      <w:r>
        <w:rPr>
          <w:rFonts w:ascii="Times New Roman;sans-serif" w:hAnsi="Times New Roman;sans-serif"/>
          <w:b w:val="false"/>
          <w:color w:val="000000"/>
          <w:sz w:val="23"/>
        </w:rPr>
        <w:t xml:space="preserve">to the Participant only because of the Participant’s existing </w:t>
      </w:r>
      <w:r>
        <w:rPr>
          <w:rFonts w:ascii="Times New Roman;sans-serif" w:hAnsi="Times New Roman;sans-serif"/>
          <w:b w:val="false"/>
          <w:color w:val="000000"/>
          <w:sz w:val="22"/>
        </w:rPr>
        <w:t>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w:t>
      </w:r>
      <w:r>
        <w:rPr>
          <w:rFonts w:ascii="Times New Roman;sans-serif" w:hAnsi="Times New Roman;sans-serif"/>
          <w:b w:val="false"/>
          <w:color w:val="000000"/>
          <w:sz w:val="23"/>
        </w:rPr>
        <w:t>ē</w:t>
      </w:r>
      <w:r>
        <w:rPr>
          <w:rFonts w:ascii="Times New Roman;sans-serif" w:hAnsi="Times New Roman;sans-serif"/>
          <w:b w:val="false"/>
          <w:color w:val="000000"/>
          <w:sz w:val="22"/>
        </w:rPr>
        <w:t>z México, S. de R.L. de C.V. made in accordance with the provisions of the Mexican Securities Market Law, and any rights under such offering shall not be assigned or transferred.</w:t>
      </w:r>
    </w:p>
    <w:p>
      <w:pPr>
        <w:pStyle w:val="TextBody"/>
        <w:bidi w:val="0"/>
        <w:spacing w:lineRule="auto" w:line="271" w:before="247" w:after="283"/>
        <w:jc w:val="center"/>
        <w:rPr/>
      </w:pPr>
      <w:r>
        <w:rPr>
          <w:rFonts w:ascii="Times New Roman;sans-serif" w:hAnsi="Times New Roman;sans-serif"/>
          <w:b/>
          <w:color w:val="000000"/>
          <w:sz w:val="22"/>
          <w:u w:val="single"/>
        </w:rPr>
        <w:t>MOROCCO</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5" w:after="283"/>
        <w:jc w:val="left"/>
        <w:rPr/>
      </w:pPr>
      <w:r>
        <w:rPr>
          <w:rFonts w:ascii="Times New Roman;sans-serif" w:hAnsi="Times New Roman;sans-serif"/>
          <w:b/>
          <w:color w:val="000000"/>
          <w:sz w:val="22"/>
        </w:rPr>
        <w:t xml:space="preserve">LTI Grant Payable Only in Cash.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w:t>
      </w:r>
    </w:p>
    <w:p>
      <w:pPr>
        <w:pStyle w:val="TextBody"/>
        <w:bidi w:val="0"/>
        <w:spacing w:lineRule="auto" w:line="276" w:before="11" w:after="283"/>
        <w:jc w:val="left"/>
        <w:rPr>
          <w:rFonts w:ascii="Times New Roman;sans-serif" w:hAnsi="Times New Roman;sans-serif"/>
          <w:b w:val="false"/>
          <w:color w:val="000000"/>
          <w:sz w:val="22"/>
        </w:rPr>
      </w:pPr>
      <w:r>
        <w:rPr>
          <w:rFonts w:ascii="Times New Roman;sans-serif" w:hAnsi="Times New Roman;sans-serif"/>
          <w:b w:val="false"/>
          <w:color w:val="000000"/>
          <w:sz w:val="22"/>
        </w:rPr>
        <w:t>right for the Participant to receive shares of Common Stock. The LTI Grant made to the Participant in Morocco shall be paid in cash in an amount equal to the cash equivalent value of the LTI Award Payout.</w:t>
      </w:r>
    </w:p>
    <w:p>
      <w:pPr>
        <w:pStyle w:val="TextBody"/>
        <w:bidi w:val="0"/>
        <w:spacing w:lineRule="auto" w:line="271" w:before="246" w:after="283"/>
        <w:jc w:val="center"/>
        <w:rPr/>
      </w:pPr>
      <w:r>
        <w:rPr>
          <w:rFonts w:ascii="Times New Roman;sans-serif" w:hAnsi="Times New Roman;sans-serif"/>
          <w:b/>
          <w:color w:val="000000"/>
          <w:sz w:val="22"/>
          <w:u w:val="single"/>
        </w:rPr>
        <w:t>NETHERLANDS</w:t>
      </w:r>
      <w:r>
        <w:rPr>
          <w:color w:val="000000"/>
        </w:rPr>
        <w:t xml:space="preserve"> </w: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2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741" w:after="283"/>
        <w:jc w:val="center"/>
        <w:rPr/>
      </w:pPr>
      <w:r>
        <w:rPr>
          <w:rFonts w:ascii="Times New Roman;sans-serif" w:hAnsi="Times New Roman;sans-serif"/>
          <w:b/>
          <w:color w:val="000000"/>
          <w:sz w:val="22"/>
          <w:u w:val="single"/>
        </w:rPr>
        <w:t>NIGERIA</w:t>
      </w:r>
      <w:r>
        <w:rPr>
          <w:color w:val="000000"/>
        </w:rPr>
        <w:t xml:space="preserve"> </w:t>
      </w:r>
    </w:p>
    <w:p>
      <w:pPr>
        <w:pStyle w:val="TextBody"/>
        <w:bidi w:val="0"/>
        <w:spacing w:lineRule="auto" w:line="276" w:before="235"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7" w:after="283"/>
        <w:jc w:val="center"/>
        <w:rPr/>
      </w:pPr>
      <w:r>
        <w:rPr>
          <w:rFonts w:ascii="Times New Roman;sans-serif" w:hAnsi="Times New Roman;sans-serif"/>
          <w:b/>
          <w:color w:val="000000"/>
          <w:sz w:val="22"/>
          <w:u w:val="single"/>
        </w:rPr>
        <w:t>NORWAY</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0"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bidi w:val="0"/>
        <w:spacing w:lineRule="auto" w:line="271" w:before="241" w:after="283"/>
        <w:jc w:val="center"/>
        <w:rPr/>
      </w:pPr>
      <w:r>
        <w:rPr>
          <w:rFonts w:ascii="Times New Roman;sans-serif" w:hAnsi="Times New Roman;sans-serif"/>
          <w:b/>
          <w:color w:val="000000"/>
          <w:sz w:val="22"/>
          <w:u w:val="single"/>
        </w:rPr>
        <w:t>PAKISTAN</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 xml:space="preserve">Forced Sale of Shares. </w:t>
      </w:r>
      <w:r>
        <w:rPr>
          <w:rFonts w:ascii="Times New Roman;sans-serif" w:hAnsi="Times New Roman;sans-serif"/>
          <w:b w:val="false"/>
          <w:color w:val="000000"/>
          <w:sz w:val="22"/>
        </w:rPr>
        <w:t>The Company reserves the right to force the immediate sale of the shares of Common Stock to be issued upon vesting and settlement of the LTI Award. If applicable, the Participant agrees that the Company is authorized to instruct its designated broker, on behalf of the Participant, to assist with the mandatory sale of such shares of Common Stock and the Participant expressly authorizes the Company’s designated broker to complete the sale of such shares of Common Stock. The Participant expressly acknowledges that the Company’s designated broker is under no obligation to arrange for the sale of shares of Common Stock at any particular price. Upon the sale of shares of Common Stock, the Participant shall receive the cash proceeds from the sale of shares of Common Stock, less any brokerage fees or commissions and subject to any obligation to satisfy Tax-Related Items. The Participant also acknowledges that the Participant is unaware of any material non-public information with respect to the Company or any securities of the Company as of the date of the Agreement.</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7"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is required immediately to repatriate to Pakistan the proceeds from the sale of any Common Stock acquired from participation in Plan, including the proceeds from the sale of Common Stock acquired upon the LTI Award Payout.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by filing a “Proceeds Realization Certificate” issued by the bank converting the proceeds with the SBP. The repatriated amounts cannot be credited to a foreign currency account. The Participant should consult his or her personal advisor prior to repatriation of the sale proceeds to ensure compliance with applicable exchange control regulations in Pakistan, as such regulations are subject to frequent change. The Participant is responsible for ensuring compliance with all exchange control laws in Pakistan.</w:t>
      </w:r>
    </w:p>
    <w:p>
      <w:pPr>
        <w:pStyle w:val="TextBody"/>
        <w:bidi w:val="0"/>
        <w:spacing w:lineRule="auto" w:line="271" w:before="247" w:after="283"/>
        <w:jc w:val="center"/>
        <w:rPr/>
      </w:pPr>
      <w:r>
        <w:rPr>
          <w:rFonts w:ascii="Times New Roman;sans-serif" w:hAnsi="Times New Roman;sans-serif"/>
          <w:b/>
          <w:color w:val="000000"/>
          <w:sz w:val="22"/>
          <w:u w:val="single"/>
        </w:rPr>
        <w:t>PERU</w:t>
      </w:r>
      <w:r>
        <w:rPr>
          <w:color w:val="000000"/>
        </w:rPr>
        <w:t xml:space="preserve"> </w:t>
      </w:r>
    </w:p>
    <w:p>
      <w:pPr>
        <w:pStyle w:val="TextBody"/>
        <w:bidi w:val="0"/>
        <w:spacing w:lineRule="auto" w:line="271" w:before="14"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9 of the Agreement:</w:t>
      </w:r>
    </w:p>
    <w:p>
      <w:pPr>
        <w:pStyle w:val="TextBody"/>
        <w:bidi w:val="0"/>
        <w:spacing w:lineRule="auto" w:line="276" w:before="237" w:after="283"/>
        <w:jc w:val="left"/>
        <w:rPr/>
      </w:pPr>
      <w:r>
        <w:rPr>
          <w:rFonts w:ascii="Times New Roman;sans-serif" w:hAnsi="Times New Roman;sans-serif"/>
          <w:b w:val="false"/>
          <w:color w:val="000000"/>
          <w:sz w:val="22"/>
        </w:rPr>
        <w:t xml:space="preserve">By accepting the LTI Grant, the Participant acknowledges, understands and agrees that the LTI Grant is granted </w:t>
      </w:r>
      <w:r>
        <w:rPr>
          <w:rFonts w:ascii="Times New Roman;sans-serif" w:hAnsi="Times New Roman;sans-serif"/>
          <w:b w:val="false"/>
          <w:i/>
          <w:color w:val="000000"/>
          <w:sz w:val="22"/>
        </w:rPr>
        <w:t xml:space="preserve">ex gratia </w:t>
      </w:r>
      <w:r>
        <w:rPr>
          <w:rFonts w:ascii="Times New Roman;sans-serif" w:hAnsi="Times New Roman;sans-serif"/>
          <w:b w:val="false"/>
          <w:color w:val="000000"/>
          <w:sz w:val="22"/>
        </w:rPr>
        <w:t>to the Participant.</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The LTI Grant is considered a private offering in Peru; therefore, it is not subject to registration. For more information concerning this offer, the Participant should refer to the Plan, the Agreement and any other grant documents made available by the Company. For more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2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2" w:after="283"/>
        <w:jc w:val="left"/>
        <w:rPr/>
      </w:pPr>
      <w:r>
        <w:rPr>
          <w:rFonts w:ascii="Times New Roman;sans-serif" w:hAnsi="Times New Roman;sans-serif"/>
          <w:b w:val="false"/>
          <w:color w:val="000000"/>
          <w:sz w:val="22"/>
        </w:rPr>
        <w:t>regarding the Company, the Participant may refer to the Company’s most recent annual report on Form 10-K and quarterly report on Form 10-Q available at</w:t>
      </w:r>
      <w:r>
        <w:rPr>
          <w:color w:val="0000FF"/>
          <w:u w:val="single"/>
        </w:rPr>
        <w:t xml:space="preserve"> </w:t>
      </w:r>
      <w:r>
        <w:rPr>
          <w:rFonts w:ascii="Times New Roman;sans-serif" w:hAnsi="Times New Roman;sans-serif"/>
          <w:b w:val="false"/>
          <w:color w:val="0000FF"/>
          <w:sz w:val="22"/>
          <w:u w:val="single"/>
        </w:rPr>
        <w:t xml:space="preserve">www.sec.gov. </w:t>
      </w:r>
    </w:p>
    <w:p>
      <w:pPr>
        <w:pStyle w:val="TextBody"/>
        <w:bidi w:val="0"/>
        <w:spacing w:lineRule="auto" w:line="271" w:before="245" w:after="283"/>
        <w:jc w:val="center"/>
        <w:rPr/>
      </w:pPr>
      <w:r>
        <w:rPr>
          <w:rFonts w:ascii="Times New Roman;sans-serif" w:hAnsi="Times New Roman;sans-serif"/>
          <w:b/>
          <w:color w:val="000000"/>
          <w:sz w:val="22"/>
          <w:u w:val="single"/>
        </w:rPr>
        <w:t>PHILIPPINES</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283"/>
        <w:jc w:val="left"/>
        <w:rPr/>
      </w:pPr>
      <w:r>
        <w:rPr>
          <w:rFonts w:ascii="Times New Roman;sans-serif" w:hAnsi="Times New Roman;sans-serif"/>
          <w:b/>
          <w:color w:val="000000"/>
          <w:sz w:val="22"/>
        </w:rPr>
        <w:t xml:space="preserve">LTI Grant Payable Only in Cash.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the Philippines shall be paid in cash in an amount equal to the cash equivalent value of the LTI Award Payout.</w:t>
      </w:r>
    </w:p>
    <w:p>
      <w:pPr>
        <w:pStyle w:val="TextBody"/>
        <w:bidi w:val="0"/>
        <w:spacing w:lineRule="auto" w:line="271" w:before="241" w:after="283"/>
        <w:jc w:val="center"/>
        <w:rPr/>
      </w:pPr>
      <w:r>
        <w:rPr>
          <w:rFonts w:ascii="Times New Roman;sans-serif" w:hAnsi="Times New Roman;sans-serif"/>
          <w:b/>
          <w:color w:val="000000"/>
          <w:sz w:val="22"/>
          <w:u w:val="single"/>
        </w:rPr>
        <w:t>POLAND</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24"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bidi w:val="0"/>
        <w:spacing w:lineRule="auto" w:line="271" w:before="247" w:after="283"/>
        <w:jc w:val="center"/>
        <w:rPr/>
      </w:pPr>
      <w:r>
        <w:rPr>
          <w:rFonts w:ascii="Times New Roman;sans-serif" w:hAnsi="Times New Roman;sans-serif"/>
          <w:b/>
          <w:color w:val="000000"/>
          <w:sz w:val="22"/>
          <w:u w:val="single"/>
        </w:rPr>
        <w:t>PORTUGAL</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5" w:after="283"/>
        <w:jc w:val="left"/>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Participant hereby expressly declares that he or she has full knowledge of the English language and has read, understood and fully accepted and agreed with the terms and conditions established in the Plan and the Agreement.</w:t>
      </w:r>
    </w:p>
    <w:p>
      <w:pPr>
        <w:pStyle w:val="TextBody"/>
        <w:bidi w:val="0"/>
        <w:spacing w:before="9" w:after="283"/>
        <w:jc w:val="left"/>
        <w:rPr/>
      </w:pPr>
      <w:r>
        <w:rPr/>
      </w:r>
    </w:p>
    <w:p>
      <w:pPr>
        <w:pStyle w:val="TextBody"/>
        <w:bidi w:val="0"/>
        <w:spacing w:lineRule="auto" w:line="276" w:before="9" w:after="283"/>
        <w:jc w:val="left"/>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w:t>
      </w:r>
    </w:p>
    <w:p>
      <w:pPr>
        <w:pStyle w:val="TextBody"/>
        <w:bidi w:val="0"/>
        <w:spacing w:lineRule="auto" w:line="271" w:before="242"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Participant acquires shares of Common Stock under the Plan and does not hold the shares of Common Stock with a Portuguese financial intermediary, he or she may need to file a report with the Portuguese Central Bank. If the shares of Common Stock are held by a Portuguese financial intermediary, it will file the report for the Participant.</w:t>
      </w:r>
    </w:p>
    <w:p>
      <w:pPr>
        <w:pStyle w:val="TextBody"/>
        <w:bidi w:val="0"/>
        <w:spacing w:lineRule="auto" w:line="271" w:before="246" w:after="283"/>
        <w:jc w:val="center"/>
        <w:rPr/>
      </w:pPr>
      <w:r>
        <w:rPr>
          <w:rFonts w:ascii="Times New Roman;sans-serif" w:hAnsi="Times New Roman;sans-serif"/>
          <w:b/>
          <w:color w:val="000000"/>
          <w:sz w:val="22"/>
          <w:u w:val="single"/>
        </w:rPr>
        <w:t>ROMANIA</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If the Participant deposits proceeds from the sale of Common Stock in a bank account in Romania, the Participant may be required to provide the Romanian bank assisting with the transaction with appropriate documentation explaining the source of the income.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2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should consult with a personal legal advisor to determine whether the Participant will be required to submit such documentation to the Romanian bank.</w:t>
      </w:r>
    </w:p>
    <w:p>
      <w:pPr>
        <w:pStyle w:val="TextBody"/>
        <w:bidi w:val="0"/>
        <w:spacing w:lineRule="auto" w:line="271" w:before="246" w:after="283"/>
        <w:jc w:val="center"/>
        <w:rPr/>
      </w:pPr>
      <w:r>
        <w:rPr>
          <w:rFonts w:ascii="Times New Roman;sans-serif" w:hAnsi="Times New Roman;sans-serif"/>
          <w:b/>
          <w:color w:val="000000"/>
          <w:sz w:val="22"/>
          <w:u w:val="single"/>
        </w:rPr>
        <w:t>RUSSIA</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27"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This Agreement, the Plan and all other materials that the Participant may receive concerning the LTI Grant and the Participant’s participation in the Plan do not constitute advertising or an offering of securities in Russia. The Common Stock to be issued upon the LTI Award Payout has not and will not be registered in Russia and, therefore, the Common Stock described in any Plan documents may not be offered or placed in public circulation in Russia. In no event will Common Stock to be issued upon the LTI Award Payout be delivered to the Participant in Russia. All Common Stock acquired under the Plan will be maintained on the Participant’s behalf outside of Russia. The Participant will not be permitted to sell Common Stock directly to a Russian legal entity or resident.</w:t>
      </w:r>
    </w:p>
    <w:p>
      <w:pPr>
        <w:pStyle w:val="TextBody"/>
        <w:bidi w:val="0"/>
        <w:spacing w:lineRule="auto" w:line="276" w:before="226" w:after="283"/>
        <w:jc w:val="left"/>
        <w:rPr/>
      </w:pPr>
      <w:r>
        <w:rPr>
          <w:rFonts w:ascii="Times New Roman;sans-serif" w:hAnsi="Times New Roman;sans-serif"/>
          <w:b/>
          <w:color w:val="000000"/>
          <w:sz w:val="22"/>
        </w:rPr>
        <w:t xml:space="preserve">Settlement of LTI Grant and Sale of Shares. </w:t>
      </w:r>
      <w:r>
        <w:rPr>
          <w:rFonts w:ascii="Times New Roman;sans-serif" w:hAnsi="Times New Roman;sans-serif"/>
          <w:b w:val="false"/>
          <w:color w:val="000000"/>
          <w:sz w:val="22"/>
        </w:rPr>
        <w:t>The Optionee understands that no shares of Common Stock will be issued upon vesting of the LTI Grant if the Company, in its sole discretion, determines that such issuance would not comply with applicable laws and regulations in Russia. Notwithstanding anything to the contrary in the Agreement, depending on the development of local regulatory requirements, the Participant acknowledges that the LTI Grant may be paid to the Participant in cash rather than shares of Common Stock. If shares of Common Stock are issued upon vesting of the LTI Grant, in the Company’s sole discretion, the shares may be required to be immediately sold. The Participant further agrees that the Company is authorized to instruct its designated broker to assist with any mandatory sale of such shares of Common Stock (on the Participant’s behalf pursuant to this authorization) and the Participant expressly authorizes the Company’s designated broker to complete the sale of such shares. Upon any such sale of the shares, the proceeds, less any Tax-Related Items and broker’s fees or commissions, will be remitted to the Participant in accordance with any applicable exchange control laws and regulations.</w:t>
      </w:r>
    </w:p>
    <w:p>
      <w:pPr>
        <w:pStyle w:val="TextBody"/>
        <w:bidi w:val="0"/>
        <w:spacing w:lineRule="auto" w:line="276" w:before="242" w:after="283"/>
        <w:jc w:val="left"/>
        <w:rPr/>
      </w:pPr>
      <w:r>
        <w:rPr>
          <w:rFonts w:ascii="Times New Roman;sans-serif" w:hAnsi="Times New Roman;sans-serif"/>
          <w:b/>
          <w:color w:val="000000"/>
          <w:sz w:val="22"/>
        </w:rPr>
        <w:t xml:space="preserve">Data Privacy. </w:t>
      </w:r>
      <w:r>
        <w:rPr>
          <w:rFonts w:ascii="Times New Roman;sans-serif" w:hAnsi="Times New Roman;sans-serif"/>
          <w:b w:val="false"/>
          <w:color w:val="000000"/>
          <w:sz w:val="22"/>
        </w:rPr>
        <w:t>The following provision supplements paragraph 10 of the Agreement:</w:t>
      </w:r>
    </w:p>
    <w:p>
      <w:pPr>
        <w:pStyle w:val="TextBody"/>
        <w:bidi w:val="0"/>
        <w:spacing w:before="10" w:after="283"/>
        <w:jc w:val="left"/>
        <w:rPr/>
      </w:pPr>
      <w:r>
        <w:rPr/>
      </w:r>
    </w:p>
    <w:p>
      <w:pPr>
        <w:pStyle w:val="TextBody"/>
        <w:bidi w:val="0"/>
        <w:spacing w:lineRule="auto" w:line="276" w:before="10" w:after="283"/>
        <w:jc w:val="left"/>
        <w:rPr/>
      </w:pPr>
      <w:r>
        <w:rPr>
          <w:rFonts w:ascii="Times New Roman;sans-serif" w:hAnsi="Times New Roman;sans-serif"/>
          <w:b w:val="false"/>
          <w:color w:val="000000"/>
          <w:sz w:val="22"/>
        </w:rPr>
        <w:t>The Participant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form to the Company. Further, the Participant understands and agrees that if the Participant does not complete and return a Consent form to the Company, the Company will not be able make an LTI Grant to the Participant or other grants or administer or maintain such grants. Finally, the Participant understands that the Company has no obligation to substitute other forms of grants or compensation in lieu of the LTI Grant if the Participant fails to complete and return the Consent. Therefore, the Participant understands that refusing to complete a Consent form or withdrawing his or her consent may affect the Participant’s ability to participate in the Plan.</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1"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Participant is responsible for complying with any and all Russian foreign exchange control requirements in connection with the LTI Grant, any shares of Common Stock acquired and funds remitted into Russia in connection with the Plan. This may include, in certain circumstances, reporting and repatriation requirements. The foreign exchange control rules and regulations in Russia are subject to frequent change. The Participant should contact their personal advisor to determine applicability of all repatriation, remittance or other exchange control requirements to ensure compliance with all applicable exchange control requirements prior to vesting of the LTI Grant and/or selling shares of Common Stock.</w:t>
      </w:r>
    </w:p>
    <w:p>
      <w:pPr>
        <w:pStyle w:val="TextBody"/>
        <w:bidi w:val="0"/>
        <w:spacing w:lineRule="auto" w:line="276" w:before="239" w:after="283"/>
        <w:jc w:val="left"/>
        <w:rPr/>
      </w:pPr>
      <w:r>
        <w:rPr>
          <w:rFonts w:ascii="Times New Roman;sans-serif" w:hAnsi="Times New Roman;sans-serif"/>
          <w:b/>
          <w:color w:val="000000"/>
          <w:sz w:val="22"/>
        </w:rPr>
        <w:t xml:space="preserve">Labor Law Information. </w:t>
      </w:r>
      <w:r>
        <w:rPr>
          <w:rFonts w:ascii="Times New Roman;sans-serif" w:hAnsi="Times New Roman;sans-serif"/>
          <w:b w:val="false"/>
          <w:color w:val="000000"/>
          <w:sz w:val="22"/>
        </w:rPr>
        <w:t>If the Participant continues to hold shares of Common Stock acquired at vesting of the LTI Grant after an involuntary termination of employment, the Participant will not be eligible to receive unemployment benefits in Russia.</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2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6"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 (including Common Stock) transactions in offshore accounts. Non-compliance with the reporting obligations could impact the Participant’s ability to vest, receive shares of Common Stock pursuant to the LTI Grant, maintain the account outside of Russia and participate in the Plan. The Participant should consult with their personal legal advisor to determine the applicability of these reporting requirements to any brokerage account opened in connection with participation in the Plan.</w:t>
      </w:r>
    </w:p>
    <w:p>
      <w:pPr>
        <w:pStyle w:val="TextBody"/>
        <w:bidi w:val="0"/>
        <w:spacing w:lineRule="auto" w:line="276" w:before="242" w:after="283"/>
        <w:jc w:val="left"/>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Participant should inform the Company if the Participant is covered by these laws because the Participant should not hold shares of Common Stock acquired under the Plan.</w:t>
      </w:r>
    </w:p>
    <w:p>
      <w:pPr>
        <w:pStyle w:val="TextBody"/>
        <w:bidi w:val="0"/>
        <w:spacing w:lineRule="auto" w:line="271" w:before="247"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SAUDI ARABIA</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9" w:after="283"/>
        <w:jc w:val="left"/>
        <w:rPr/>
      </w:pPr>
      <w:r>
        <w:rPr>
          <w:rFonts w:ascii="Times New Roman;sans-serif" w:hAnsi="Times New Roman;sans-serif"/>
          <w:b/>
          <w:color w:val="000000"/>
          <w:sz w:val="22"/>
        </w:rPr>
        <w:t xml:space="preserve">LTI Grant Payable Only in Cash.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Saudi Arabia shall be paid in cash in an amount equal to the cash equivalent value of the LTI Award Payout.</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This document may not be distributed in the Kingdom of Saudi Arabia except to such persons as are permitted under the Offer of Securities Regulations and Continuing Obligations issued by the Capital Market Authority.</w: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Participant does not understand the contents of this document he or she should consult an authorized financial advisor.</w:t>
      </w:r>
    </w:p>
    <w:p>
      <w:pPr>
        <w:pStyle w:val="TextBody"/>
        <w:bidi w:val="0"/>
        <w:spacing w:lineRule="auto" w:line="271" w:before="247" w:after="283"/>
        <w:jc w:val="center"/>
        <w:rPr/>
      </w:pPr>
      <w:r>
        <w:rPr>
          <w:rFonts w:ascii="Times New Roman;sans-serif" w:hAnsi="Times New Roman;sans-serif"/>
          <w:b/>
          <w:color w:val="000000"/>
          <w:sz w:val="22"/>
          <w:u w:val="single"/>
        </w:rPr>
        <w:t>SERBIA</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3"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Pursuant to the Law on Foreign Exchange Transactions, the Participant is permitted to acquire shares of Common Stock under the Plan and hold the shares and any proceeds from the sale of shares of Common Stock in a U.S. brokerage account or other foreign brokerage account. However, the Participant needs permission from the National Bank of Serbia to hold any proceeds from the sale of shares of Common Stock in an offshore bank account. Because the exchange control regulations in Serbia may change without notice, the Participant should consult with his or her personal advisor to ensure compliance with applicable exchange control laws.</w:t>
      </w:r>
    </w:p>
    <w:p>
      <w:pPr>
        <w:pStyle w:val="TextBody"/>
        <w:bidi w:val="0"/>
        <w:spacing w:lineRule="auto" w:line="271" w:before="246" w:after="283"/>
        <w:jc w:val="center"/>
        <w:rPr/>
      </w:pPr>
      <w:r>
        <w:rPr>
          <w:rFonts w:ascii="Times New Roman;sans-serif" w:hAnsi="Times New Roman;sans-serif"/>
          <w:b/>
          <w:color w:val="000000"/>
          <w:sz w:val="22"/>
          <w:u w:val="single"/>
        </w:rPr>
        <w:t>SINGAPORE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2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2" w:after="283"/>
        <w:jc w:val="left"/>
        <w:rPr/>
      </w:pPr>
      <w:r>
        <w:rPr>
          <w:rFonts w:ascii="Times New Roman;sans-serif" w:hAnsi="Times New Roman;sans-serif"/>
          <w:b/>
          <w:color w:val="000000"/>
          <w:sz w:val="22"/>
        </w:rPr>
        <w:t xml:space="preserve">Transfer Restrictions. </w:t>
      </w:r>
      <w:r>
        <w:rPr>
          <w:rFonts w:ascii="Times New Roman;sans-serif" w:hAnsi="Times New Roman;sans-serif"/>
          <w:b w:val="false"/>
          <w:color w:val="000000"/>
          <w:sz w:val="22"/>
        </w:rPr>
        <w:t>The Participant agrees that any shares of Common Stock acquired pursuant to the LTI Grant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0"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LTI Grant is being made pursuant to the “Qualifying Person” exemption under section 273(1)(f) of the SFA and is not made to the Participant with a view to the LTI Grant being subsequently offered for sale to any other party. The Plan has not been lodged or registered as a prospectus with the Monetary Authority of Singapore.</w:t>
      </w:r>
    </w:p>
    <w:p>
      <w:pPr>
        <w:pStyle w:val="TextBody"/>
        <w:bidi w:val="0"/>
        <w:spacing w:lineRule="auto" w:line="276" w:before="236" w:after="283"/>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LTI Grant,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when the shares of Common Stock are sold), or (iii) becoming a director, associate director or shadow director.</w:t>
      </w:r>
    </w:p>
    <w:p>
      <w:pPr>
        <w:pStyle w:val="TextBody"/>
        <w:bidi w:val="0"/>
        <w:spacing w:lineRule="auto" w:line="271" w:before="246"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0" w:after="0"/>
        <w:jc w:val="center"/>
        <w:rPr/>
      </w:pPr>
      <w:r>
        <w:rPr>
          <w:rFonts w:ascii="Times New Roman;sans-serif" w:hAnsi="Times New Roman;sans-serif"/>
          <w:b/>
          <w:color w:val="000000"/>
          <w:sz w:val="22"/>
          <w:u w:val="single"/>
        </w:rPr>
        <w:t>SLOVENIA</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2"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Participant should consult with his or her personal tax advisor to determine whether this requirement will be applicable to any accounts opened in connection with the Participant’s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Participant e’s brokerage account with the Company’s designated broker).</w:t>
      </w:r>
    </w:p>
    <w:p>
      <w:pPr>
        <w:pStyle w:val="TextBody"/>
        <w:bidi w:val="0"/>
        <w:spacing w:lineRule="auto" w:line="271" w:before="240"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8" w:after="283"/>
        <w:jc w:val="left"/>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In compliance with South African Securities Law, the documents listed below are available for the Participant’s review on the Company’s public site or intranet site, as applicable, as listed below:</w:t>
      </w:r>
    </w:p>
    <w:p>
      <w:pPr>
        <w:pStyle w:val="TextBody"/>
        <w:bidi w:val="0"/>
        <w:spacing w:lineRule="auto" w:line="276" w:before="242" w:after="283"/>
        <w:ind w:left="0" w:right="0" w:hanging="288"/>
        <w:jc w:val="left"/>
        <w:rPr/>
      </w:pPr>
      <w:r>
        <w:rPr>
          <w:rFonts w:ascii="Times New Roman;sans-serif" w:hAnsi="Times New Roman;sans-serif"/>
          <w:b w:val="false"/>
          <w:color w:val="000000"/>
          <w:sz w:val="22"/>
        </w:rPr>
        <w:t>1.The Company’s most recent Annual Report (Form 10-K): from the investor relations section of the Company’s website at</w:t>
      </w:r>
      <w:r>
        <w:rPr>
          <w:color w:val="0000FF"/>
          <w:u w:val="single"/>
        </w:rPr>
        <w:t xml:space="preserve"> </w:t>
      </w:r>
      <w:r>
        <w:rPr>
          <w:rFonts w:ascii="Times New Roman;sans-serif" w:hAnsi="Times New Roman;sans-serif"/>
          <w:b w:val="false"/>
          <w:color w:val="0000FF"/>
          <w:sz w:val="22"/>
          <w:u w:val="single"/>
        </w:rPr>
        <w:t>http://www.mondelezinternational.com/investors.</w:t>
      </w:r>
      <w:r>
        <w:rPr>
          <w:color w:val="0000FF"/>
        </w:rPr>
        <w:t xml:space="preserve"> </w:t>
      </w:r>
    </w:p>
    <w:p>
      <w:pPr>
        <w:pStyle w:val="TextBody"/>
        <w:bidi w:val="0"/>
        <w:spacing w:lineRule="auto" w:line="276" w:before="239" w:after="283"/>
        <w:ind w:left="0" w:right="0" w:hanging="288"/>
        <w:jc w:val="left"/>
        <w:rPr/>
      </w:pPr>
      <w:r>
        <w:rPr>
          <w:rFonts w:ascii="Times New Roman;sans-serif" w:hAnsi="Times New Roman;sans-serif"/>
          <w:b w:val="false"/>
          <w:color w:val="000000"/>
          <w:sz w:val="22"/>
        </w:rPr>
        <w:t>2.The Company’s most recent Plan prospectus: a copy of which can be found on the Company’s Intranet site located at:</w:t>
      </w:r>
      <w:r>
        <w:rPr>
          <w:color w:val="0000FF"/>
          <w:u w:val="single"/>
        </w:rPr>
        <w:t xml:space="preserve"> </w:t>
      </w:r>
      <w:r>
        <w:rPr>
          <w:rFonts w:ascii="Times New Roman;sans-serif" w:hAnsi="Times New Roman;sans-serif"/>
          <w:b w:val="false"/>
          <w:color w:val="0000FF"/>
          <w:sz w:val="22"/>
          <w:u w:val="single"/>
        </w:rPr>
        <w:t xml:space="preserve">https://intranet.mdlz.com/sites/globalhr/comp/Pages/Legal-Documents.aspx. </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Participant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2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7" w:after="283"/>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The following provision supplements paragraph 8 of the Agreement.</w:t>
      </w:r>
    </w:p>
    <w:p>
      <w:pPr>
        <w:pStyle w:val="TextBody"/>
        <w:bidi w:val="0"/>
        <w:spacing w:lineRule="auto" w:line="276" w:before="235"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participating in the Plan and receiving the LTI Grant, the Participant understands and acknowledges that he or she is required to notify the Employer of the amount of any gain realized upon vesting of the LTI Grant.</w:t>
      </w:r>
    </w:p>
    <w:p>
      <w:pPr>
        <w:pStyle w:val="TextBody"/>
        <w:bidi w:val="0"/>
        <w:spacing w:lineRule="auto" w:line="288" w:before="100" w:after="100"/>
        <w:jc w:val="left"/>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The Participant is solely responsible for complying with applicable South African exchange control regulations. In particular, the Participant may be required to obtain approval from the South African Reserve Bank for payments (including shares of Common Stock received pursuant to the Plan) that the Participant receives into accounts based outside of South Africa (e.g., a U.S. brokerage account). Since the exchange control regulations change frequently and without notice, the Participant should consult his or her legal advisor prior to the acquisition or sale of the shares of Common Stock under the Plan to ensure compliance with current regulations. As noted, it is the Participant’s responsibility to comply with South African exchange control laws, and neither the Company nor the Employer will be liable for any fines or penalties resulting from failure to comply with applicable laws.</w:t>
      </w:r>
    </w:p>
    <w:p>
      <w:pPr>
        <w:pStyle w:val="TextBody"/>
        <w:bidi w:val="0"/>
        <w:spacing w:before="100" w:after="10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283"/>
        <w:jc w:val="left"/>
        <w:rPr/>
      </w:pPr>
      <w:r>
        <w:rPr>
          <w:rFonts w:ascii="Times New Roman;sans-serif" w:hAnsi="Times New Roman;sans-serif"/>
          <w:b/>
          <w:color w:val="000000"/>
          <w:sz w:val="22"/>
        </w:rPr>
        <w:t>Domestic Broker Requirement for Selling Shares</w:t>
      </w:r>
      <w:r>
        <w:rPr>
          <w:rFonts w:ascii="Times New Roman;sans-serif" w:hAnsi="Times New Roman;sans-serif"/>
          <w:b/>
          <w:i/>
          <w:color w:val="000000"/>
          <w:sz w:val="22"/>
        </w:rPr>
        <w:t xml:space="preserve">. </w:t>
      </w:r>
      <w:r>
        <w:rPr>
          <w:rFonts w:ascii="Times New Roman;sans-serif" w:hAnsi="Times New Roman;sans-serif"/>
          <w:b w:val="false"/>
          <w:color w:val="000000"/>
          <w:sz w:val="22"/>
        </w:rPr>
        <w:t>Residents of South Korea are not permitted to sell foreign securities (such as shares of Common Stock acquired under the Plan) through non-Korean brokers (such as Morgan Stanley Smith Barney, LLC) or deposit funds resulting from the sale of shares of Common Stock in an account with an overseas financial institution. If the Participant wishes to sell shares of Common Stock acquired under the Plan, the Participant is required to personally transfer the shares of Common Stock receive pursuant to the Plan to a domestic investment broker in South Korea and to effect the sale through such broker. The Participant is solely responsible for (a) establishing and maintaining the Participant’s local brokerage account with a domestic broker in South Korea, and (b) all costs, fees and expenses associated with the establishment and maintenance of the Participant’s local brokerage account with the domestic broker in South Korea. The Participant’s non-compliance with the requirement to sell Shares through a domestic broker in South Korea can result in significant penalties.</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9"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KRW 500 million (or an equivalent amount in foreign currency) on any month-end date during a calendar year. The Participant should consult with his or her personal tax advisor to determine how to value the Participant’s foreign accounts for purposes of this reporting requirement and whether the Participant is required to file a report with respect to such accounts.</w:t>
      </w:r>
    </w:p>
    <w:p>
      <w:pPr>
        <w:pStyle w:val="TextBody"/>
        <w:bidi w:val="0"/>
        <w:spacing w:lineRule="auto" w:line="271" w:before="247" w:after="283"/>
        <w:jc w:val="center"/>
        <w:rPr/>
      </w:pPr>
      <w:r>
        <w:rPr>
          <w:rFonts w:ascii="Times New Roman;sans-serif" w:hAnsi="Times New Roman;sans-serif"/>
          <w:b/>
          <w:color w:val="000000"/>
          <w:sz w:val="22"/>
          <w:u w:val="single"/>
        </w:rPr>
        <w:t>SPAIN</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2" w:after="283"/>
        <w:jc w:val="left"/>
        <w:rPr/>
      </w:pPr>
      <w:r>
        <w:rPr>
          <w:rFonts w:ascii="Times New Roman;sans-serif" w:hAnsi="Times New Roman;sans-serif"/>
          <w:b/>
          <w:color w:val="000000"/>
          <w:sz w:val="22"/>
        </w:rPr>
        <w:t xml:space="preserve">Nature of Grant. </w:t>
      </w:r>
      <w:r>
        <w:rPr>
          <w:rFonts w:ascii="Times New Roman;sans-serif" w:hAnsi="Times New Roman;sans-serif"/>
          <w:b w:val="false"/>
          <w:color w:val="000000"/>
          <w:sz w:val="22"/>
        </w:rPr>
        <w:t>The following provision supplements paragraph 9 of the Agreement:</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accepting the LTI Grant, the Participant consents to participation in the Plan and acknowledges that he or she has received a copy of the Plan.</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Participant understands and agrees that, as a condition of the grant of the LTI Grant, except as provided for in paragraph 3 of the Agreement, the termination of the Participant’s employment for any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2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reason (including for the reasons listed below) will automatically result in the loss of the LTI Grant that may have been granted to the Participant and that have not vested on the date of termination.</w:t>
      </w:r>
    </w:p>
    <w:p>
      <w:pPr>
        <w:pStyle w:val="TextBody"/>
        <w:bidi w:val="0"/>
        <w:spacing w:before="2" w:after="283"/>
        <w:jc w:val="left"/>
        <w:rPr/>
      </w:pPr>
      <w:r>
        <w:rPr/>
      </w:r>
    </w:p>
    <w:p>
      <w:pPr>
        <w:pStyle w:val="TextBody"/>
        <w:bidi w:val="0"/>
        <w:spacing w:lineRule="auto" w:line="276" w:before="2" w:after="283"/>
        <w:jc w:val="left"/>
        <w:rPr/>
      </w:pPr>
      <w:r>
        <w:rPr>
          <w:rFonts w:ascii="Times New Roman;sans-serif" w:hAnsi="Times New Roman;sans-serif"/>
          <w:b w:val="false"/>
          <w:color w:val="000000"/>
          <w:sz w:val="22"/>
        </w:rPr>
        <w:t>In particular, the Participant understands and agrees that any unvested LTI Grants as of Participant’s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subject to a “</w:t>
      </w:r>
      <w:r>
        <w:rPr>
          <w:rFonts w:ascii="Times New Roman;sans-serif" w:hAnsi="Times New Roman;sans-serif"/>
          <w:b w:val="false"/>
          <w:i/>
          <w:color w:val="000000"/>
          <w:sz w:val="22"/>
        </w:rPr>
        <w:t>despido improcedente</w:t>
      </w:r>
      <w:r>
        <w:rPr>
          <w:color w:val="000000"/>
        </w:rPr>
        <w:t>”</w:t>
      </w:r>
      <w:r>
        <w:rPr>
          <w:rFonts w:ascii="Times New Roman;sans-serif" w:hAnsi="Times New Roman;sans-serif"/>
          <w:b w:val="false"/>
          <w:color w:val="000000"/>
          <w:sz w:val="22"/>
        </w:rPr>
        <w:t>),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Furthermore, the Participant understands that the Company has unilaterally, gratuitously and</w:t>
      </w:r>
    </w:p>
    <w:p>
      <w:pPr>
        <w:pStyle w:val="TextBody"/>
        <w:bidi w:val="0"/>
        <w:spacing w:lineRule="auto" w:line="27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discretionally decided to make the LTI Grant under the Plan to individuals who may be Participants of the Mondelēz Group. The decision is a limited decision that is entered into upon the express assumption and condition that any LTI Grant will not economically or otherwise bind the Mondelēz Group on an ongoing basis other than to the extent set forth in the Agreement. Consequently, the Participant understands that the LTI Grant is made on the assumption and condition that the LTI Grant and the shares of Common Stock issued shall not become a part of any employment or contract (with the Mondelēz Group, including the Employer) and shall not be considered a mandatory benefit, salary for any purposes (including severance compensation) or any other right whatsoever. Furthermore, the Participant understands and freely accepts that there is no guarantee that any benefit whatsoever will arise from the LTI Grant, which is gratuitous and discretionary, since the future value of the underlying shares of Common Stock is unknown and unpredictable. In addition, the Participant understands that the LTI Grant would not be made to the Participant but for the assumptions and conditions referred to above; thus, the Participant acknowledges and freely accepts that should any or all of the assumptions be mistaken or should any of the conditions not be met for any reason, then the LTI Grant made to the Participant shall be null and void.</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bidi w:val="0"/>
        <w:spacing w:lineRule="auto" w:line="276" w:before="233"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Participant by the Company) depending on the value of such accounts and instruments and the amount of the transactions during the relevant year as of December 31 of the relevant year.</w:t>
      </w:r>
    </w:p>
    <w:p>
      <w:pPr>
        <w:pStyle w:val="TextBody"/>
        <w:bidi w:val="0"/>
        <w:spacing w:lineRule="auto" w:line="276" w:before="230" w:after="283"/>
        <w:jc w:val="left"/>
        <w:rPr/>
      </w:pPr>
      <w:r>
        <w:rPr>
          <w:rFonts w:ascii="Times New Roman;sans-serif" w:hAnsi="Times New Roman;sans-serif"/>
          <w:b/>
          <w:color w:val="000000"/>
          <w:sz w:val="22"/>
        </w:rPr>
        <w:t xml:space="preserve">Foreign Asset/Accounting Reporting Information. </w:t>
      </w:r>
      <w:r>
        <w:rPr>
          <w:rFonts w:ascii="Times New Roman;sans-serif" w:hAnsi="Times New Roman;sans-serif"/>
          <w:b w:val="false"/>
          <w:color w:val="000000"/>
          <w:sz w:val="22"/>
        </w:rPr>
        <w:t>If the Participant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cash, etc.) as of December 31 each year, the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Participant should consult his or her personal tax advisor for details regarding this requirement.</w:t>
      </w:r>
    </w:p>
    <w:p>
      <w:pPr>
        <w:pStyle w:val="TextBody"/>
        <w:bidi w:val="0"/>
        <w:spacing w:before="14" w:after="283"/>
        <w:jc w:val="center"/>
        <w:rPr/>
      </w:pPr>
      <w:r>
        <w:rPr/>
      </w:r>
    </w:p>
    <w:p>
      <w:pPr>
        <w:pStyle w:val="TextBody"/>
        <w:bidi w:val="0"/>
        <w:spacing w:lineRule="auto" w:line="240"/>
        <w:jc w:val="center"/>
        <w:rPr/>
      </w:pPr>
      <w:r>
        <w:rPr>
          <w:rFonts w:ascii="Times New Roman;sans-serif" w:hAnsi="Times New Roman;sans-serif"/>
          <w:b/>
          <w:color w:val="000000"/>
          <w:sz w:val="22"/>
          <w:u w:val="single"/>
        </w:rPr>
        <w:t>SWEDEN</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2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The following provision supplements paragraph 8 of the Agreement:</w: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8 of the Agreement, by accepting the LTI Grants,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pStyle w:val="TextBody"/>
        <w:bidi w:val="0"/>
        <w:spacing w:lineRule="auto" w:line="271" w:before="246" w:after="283"/>
        <w:jc w:val="center"/>
        <w:rPr>
          <w:rFonts w:ascii="Times New Roman;sans-serif" w:hAnsi="Times New Roman;sans-serif"/>
          <w:b/>
          <w:color w:val="000000"/>
          <w:sz w:val="22"/>
        </w:rPr>
      </w:pPr>
      <w:r>
        <w:rPr>
          <w:rFonts w:ascii="Times New Roman;sans-serif" w:hAnsi="Times New Roman;sans-serif"/>
          <w:b/>
          <w:color w:val="000000"/>
          <w:sz w:val="22"/>
        </w:rPr>
        <w:t>SWITZERLAND</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7"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Neither this document nor any other materials relating to the LTI Grant (i) constitutes a prospectus according 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bidi w:val="0"/>
        <w:spacing w:lineRule="auto" w:line="271" w:before="241" w:after="283"/>
        <w:jc w:val="center"/>
        <w:rPr/>
      </w:pPr>
      <w:r>
        <w:rPr>
          <w:rFonts w:ascii="Times New Roman;sans-serif" w:hAnsi="Times New Roman;sans-serif"/>
          <w:b/>
          <w:color w:val="000000"/>
          <w:sz w:val="22"/>
          <w:u w:val="single"/>
        </w:rPr>
        <w:t>TAIWAN</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28" w:after="283"/>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Participant hereby acknowledges that he or she has read and understood the terms regarding collection, processing and transfer of Data contained in paragraph 10 of the Agreement and by participating in the Plan, the Participant agrees to such terms. In this regard, upon request of the Company or the Employer, the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the Participant’s country, either now or in the future. The Participant understands he or she will not be able to participate in the Plan if the Participant fails to execute any such consent or agreement.</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LTI Grant and the shares of Common Stock to be issued pursuant to the Plan are available only to Participants of the Mondelēz Group. The LTI Grant does not constitute a public offer of securities.</w:t>
      </w:r>
    </w:p>
    <w:p>
      <w:pPr>
        <w:pStyle w:val="TextBody"/>
        <w:bidi w:val="0"/>
        <w:spacing w:lineRule="auto" w:line="276" w:before="232"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may acquire and remit foreign currency (including proceeds from the sale of shares of Common Stock) into and out of Taiwan up to US$5,000,000 per year. If the transaction amount is TWD$500,000 or more in a single transaction, the Participant must submit a foreign exchange transaction form and also provide supporting documentation to the satisfaction of the remitting bank. The Participant should consult his or her personal advisor to ensure compliance with applicable exchange control laws in Taiwan.</w:t>
      </w:r>
    </w:p>
    <w:p>
      <w:pPr>
        <w:pStyle w:val="TextBody"/>
        <w:bidi w:val="0"/>
        <w:spacing w:before="14" w:after="283"/>
        <w:jc w:val="center"/>
        <w:rPr/>
      </w:pPr>
      <w:r>
        <w:rPr/>
      </w:r>
    </w:p>
    <w:p>
      <w:pPr>
        <w:pStyle w:val="TextBody"/>
        <w:bidi w:val="0"/>
        <w:spacing w:lineRule="auto" w:line="271" w:before="14" w:after="283"/>
        <w:jc w:val="center"/>
        <w:rPr/>
      </w:pPr>
      <w:r>
        <w:rPr>
          <w:rFonts w:ascii="Times New Roman;sans-serif" w:hAnsi="Times New Roman;sans-serif"/>
          <w:b/>
          <w:color w:val="000000"/>
          <w:sz w:val="22"/>
          <w:u w:val="single"/>
        </w:rPr>
        <w:t>THAILAND</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If the Participant receives proceeds from the sale of shares of Common Stock or cash dividends in relation to the shares of Common Stock in excess of US$1,000,000 in a single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2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transaction, the Participant must immediately repatriate the funds to Thailand (or utilize such funds offshore for permissible purposes) and convert the funds to Thai Baht within 360 days of repatriation or deposit the funds in an authorized foreign exchange account in Thailand. The Participant is also required to provide details of the transaction (i.e., identification information and purpose of the transaction) to the receiving bank.</w:t>
      </w:r>
    </w:p>
    <w:p>
      <w:pPr>
        <w:pStyle w:val="TextBody"/>
        <w:bidi w:val="0"/>
        <w:spacing w:lineRule="auto" w:line="276" w:before="237" w:after="283"/>
        <w:jc w:val="both"/>
        <w:rPr/>
      </w:pPr>
      <w:r>
        <w:rPr>
          <w:rFonts w:ascii="Times New Roman;sans-serif" w:hAnsi="Times New Roman;sans-serif"/>
          <w:b w:val="false"/>
          <w:color w:val="000000"/>
          <w:sz w:val="22"/>
        </w:rPr>
        <w:t>If the Participant does not repatriate such funds and utilizes them offshore for permissible purposes (</w:t>
      </w:r>
      <w:r>
        <w:rPr>
          <w:rFonts w:ascii="Times New Roman;sans-serif" w:hAnsi="Times New Roman;sans-serif"/>
          <w:b w:val="false"/>
          <w:i/>
          <w:color w:val="000000"/>
          <w:sz w:val="22"/>
        </w:rPr>
        <w:t>i.e.</w:t>
      </w:r>
      <w:r>
        <w:rPr>
          <w:rFonts w:ascii="Times New Roman;sans-serif" w:hAnsi="Times New Roman;sans-serif"/>
          <w:b w:val="false"/>
          <w:color w:val="000000"/>
          <w:sz w:val="22"/>
        </w:rPr>
        <w:t>, purposes not listed in the negative list prescribed by the Bank of Thailand), the Participant must obtain a waiver of the repatriation requirement from a commercial bank in Thailand by submitting an application and supporting documents evidencing that such funds will be utilized offshore for permissible purposes.</w:t>
      </w:r>
    </w:p>
    <w:p>
      <w:pPr>
        <w:pStyle w:val="TextBody"/>
        <w:bidi w:val="0"/>
        <w:spacing w:lineRule="auto" w:line="276" w:before="236"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Participant should consult his or her personal advisor prior to taking any action with respect to remittance of proceeds from the sale of shares of Common Stock into Thailand. The Participant is responsible for ensuring compliance with all exchange control laws in Thailand.</w:t>
      </w:r>
    </w:p>
    <w:p>
      <w:pPr>
        <w:pStyle w:val="TextBody"/>
        <w:bidi w:val="0"/>
        <w:spacing w:lineRule="auto" w:line="271" w:before="247" w:after="283"/>
        <w:jc w:val="center"/>
        <w:rPr/>
      </w:pPr>
      <w:r>
        <w:rPr>
          <w:rFonts w:ascii="Times New Roman;sans-serif" w:hAnsi="Times New Roman;sans-serif"/>
          <w:b/>
          <w:color w:val="000000"/>
          <w:sz w:val="22"/>
          <w:u w:val="single"/>
        </w:rPr>
        <w:t>TÜRKIYE</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Participant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bidi w:val="0"/>
        <w:spacing w:lineRule="auto" w:line="276" w:before="233"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Participant may be required to engage a Turkish financial intermediary to assist with the sale of shares of Common Stock acquired under the Plan. To the extent a Turkish financial intermediary is required in connection with the sale of any shares of Common Stock acquired under the Plan, the Participant is solely responsible for engaging such Turkish financial intermediary. The Participant should consult his or her personal legal advisor prior to the vesting of the LTI Grant or any sale of shares of Common Stock to ensure compliance with the current requirements.</w:t>
      </w:r>
    </w:p>
    <w:p>
      <w:pPr>
        <w:pStyle w:val="TextBody"/>
        <w:bidi w:val="0"/>
        <w:spacing w:lineRule="auto" w:line="271" w:before="246" w:after="283"/>
        <w:jc w:val="center"/>
        <w:rPr/>
      </w:pPr>
      <w:r>
        <w:rPr>
          <w:rFonts w:ascii="Times New Roman;sans-serif" w:hAnsi="Times New Roman;sans-serif"/>
          <w:b/>
          <w:color w:val="000000"/>
          <w:sz w:val="22"/>
          <w:u w:val="single"/>
        </w:rPr>
        <w:t>UKRAINE</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1" w:after="283"/>
        <w:jc w:val="left"/>
        <w:rPr/>
      </w:pPr>
      <w:r>
        <w:rPr>
          <w:rFonts w:ascii="Times New Roman;sans-serif" w:hAnsi="Times New Roman;sans-serif"/>
          <w:b/>
          <w:color w:val="000000"/>
          <w:sz w:val="22"/>
        </w:rPr>
        <w:t xml:space="preserve">LTI Grant Payable Only in Cash.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the Ukraine shall be paid in cash in an amount equal to the cash equivalent value of the LTI Award Payout.</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Participant is solely responsible for complying with applicable Ukraine exchange control regulations. Since the exchange control regulations change frequently and without notice, the Participant should consult his or her legal advisor prior to the acquisition or sale of shares of Common Stock under the Plan to ensure compliance with current regulations. As noted, it is the Participant’s responsibility to comply with the Ukraine exchange control laws, and the Mondelēz Group will not be liable for any fines or penalties resulting from the Participant ‘s failure to comply with applicable laws.</w:t>
      </w:r>
    </w:p>
    <w:p>
      <w:pPr>
        <w:pStyle w:val="TextBody"/>
        <w:bidi w:val="0"/>
        <w:spacing w:before="100" w:after="10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2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6"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Participation in the Plan is being offered only to selected Participants and is in the nature of providing equity incentives to Participants in the United Arab Emirates. The Plan and the Agreement are intended for distribution only to such Participants and must not be delivered to, or relied on by, any other person. Prospective purchasers of the securities offered should conduct their own due diligence on the securities.</w:t>
      </w:r>
    </w:p>
    <w:p>
      <w:pPr>
        <w:pStyle w:val="TextBody"/>
        <w:bidi w:val="0"/>
        <w:spacing w:lineRule="auto" w:line="276" w:before="233"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the Participant does not understand the contents of the Plan and the Agreement, the Participant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pStyle w:val="TextBody"/>
        <w:bidi w:val="0"/>
        <w:spacing w:lineRule="auto" w:line="271" w:before="246"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The following provision supplements paragraph 8 of the Agreement:</w:t>
      </w:r>
    </w:p>
    <w:p>
      <w:pPr>
        <w:pStyle w:val="TextBody"/>
        <w:bidi w:val="0"/>
        <w:spacing w:lineRule="auto" w:line="276" w:before="232" w:after="283"/>
        <w:jc w:val="left"/>
        <w:rPr/>
      </w:pPr>
      <w:r>
        <w:rPr>
          <w:rFonts w:ascii="Times New Roman;sans-serif" w:hAnsi="Times New Roman;sans-serif"/>
          <w:b w:val="false"/>
          <w:color w:val="000000"/>
          <w:sz w:val="22"/>
        </w:rPr>
        <w:t>Without limitation to paragraph 8 of the Agreement, the Participant hereby agrees that he or she is liable for all Tax-Related Items and hereby covenants to pay all such Tax-Related Items, as and when requested by the Company or the Employer, as applicable, or by HM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Participant also hereby agrees to indemnify and keep indemnified the Company and the Employer, as applicable, against any Tax-Related Items that they are required to pay or withhold or have paid or will pay on the Participant’s behalf to HMRC (or any other tax authority or any other relevant authority).</w:t>
      </w:r>
    </w:p>
    <w:p>
      <w:pPr>
        <w:pStyle w:val="TextBody"/>
        <w:bidi w:val="0"/>
        <w:spacing w:lineRule="auto" w:line="276" w:before="23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foregoing, if the Participant is a director or executive officer of the Company (within the meaning of Section 13(k) of the U.S. Securities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Participant by any of the means referred to in paragraph 8 of the Agreement.</w:t>
      </w:r>
    </w:p>
    <w:p>
      <w:pPr>
        <w:pStyle w:val="TextBody"/>
        <w:bidi w:val="0"/>
        <w:spacing w:before="12" w:after="283"/>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Participant agrees that the Company and/or the Employer may calculate the Tax-Related Items to be withheld and accounted for by reference to the maximum applicable rates, without prejudice to any right the Participant may have to recover any overpayment from the relevant tax authorities.</w:t>
      </w:r>
    </w:p>
    <w:p>
      <w:pPr>
        <w:pStyle w:val="TextBody"/>
        <w:bidi w:val="0"/>
        <w:spacing w:lineRule="auto" w:line="271" w:before="242"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STATES</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2" w:after="283"/>
        <w:jc w:val="left"/>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10 of the Agreement:</w:t>
      </w:r>
    </w:p>
    <w:p>
      <w:pPr>
        <w:pStyle w:val="TextBody"/>
        <w:bidi w:val="0"/>
        <w:spacing w:lineRule="auto" w:line="268" w:before="254"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Pursuant to applicable data protection laws, the Participant is hereby notified that the Company collects, processes, uses and transfers certain personally-identifiable information about the Participant for the exclusive legitimate purpose of administering the Plan and implementing, administering and managing your participation in the Plan. For California residents, the categories of personal,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2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54" w:after="283"/>
        <w:jc w:val="left"/>
        <w:rPr/>
      </w:pPr>
      <w:r>
        <w:rPr>
          <w:rFonts w:ascii="Times New Roman;sans-serif" w:hAnsi="Times New Roman;sans-serif"/>
          <w:b w:val="false"/>
          <w:color w:val="000000"/>
          <w:sz w:val="22"/>
        </w:rPr>
        <w:t xml:space="preserve">of being associated with a particular individual. The Company does not sell the Participant's Personal Data or share it for cross-context behavioral advertising. If the Participant would like a copy of </w:t>
      </w:r>
      <w:r>
        <w:rPr>
          <w:rFonts w:ascii="Times New Roman;sans-serif" w:hAnsi="Times New Roman;sans-serif"/>
          <w:b w:val="false"/>
          <w:color w:val="000000"/>
          <w:sz w:val="23"/>
        </w:rPr>
        <w:t>the Company’s privacy policy, please contact a local human resources representative.</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1" w:before="237" w:after="283"/>
        <w:jc w:val="left"/>
        <w:rPr/>
      </w:pPr>
      <w:r>
        <w:rPr>
          <w:rFonts w:ascii="Times New Roman;sans-serif" w:hAnsi="Times New Roman;sans-serif"/>
          <w:b/>
          <w:color w:val="000000"/>
          <w:sz w:val="22"/>
        </w:rPr>
        <w:t>Foreign Asset/Accounting Reporting Information</w:t>
      </w:r>
      <w:r>
        <w:rPr>
          <w:rFonts w:ascii="Times New Roman;sans-serif" w:hAnsi="Times New Roman;sans-serif"/>
          <w:b w:val="false"/>
          <w:color w:val="000000"/>
          <w:sz w:val="22"/>
        </w:rPr>
        <w:t xml:space="preserve">. </w:t>
      </w:r>
      <w:r>
        <w:rPr>
          <w:rFonts w:ascii="Times New Roman;sans-serif" w:hAnsi="Times New Roman;sans-serif"/>
          <w:b w:val="false"/>
          <w:color w:val="000000"/>
          <w:sz w:val="23"/>
        </w:rPr>
        <w:t>If the Participant holds assets (</w:t>
      </w:r>
      <w:r>
        <w:rPr>
          <w:rFonts w:ascii="Times New Roman;sans-serif" w:hAnsi="Times New Roman;sans-serif"/>
          <w:b w:val="false"/>
          <w:i/>
          <w:color w:val="000000"/>
          <w:sz w:val="22"/>
        </w:rPr>
        <w:t>e</w:t>
      </w:r>
      <w:r>
        <w:rPr>
          <w:rFonts w:ascii="Times New Roman;sans-serif" w:hAnsi="Times New Roman;sans-serif"/>
          <w:b w:val="false"/>
          <w:color w:val="000000"/>
          <w:sz w:val="23"/>
        </w:rPr>
        <w:t>.</w:t>
      </w:r>
      <w:r>
        <w:rPr>
          <w:rFonts w:ascii="Times New Roman;sans-serif" w:hAnsi="Times New Roman;sans-serif"/>
          <w:b w:val="false"/>
          <w:i/>
          <w:color w:val="000000"/>
          <w:sz w:val="22"/>
        </w:rPr>
        <w:t>g</w:t>
      </w:r>
      <w:r>
        <w:rPr>
          <w:rFonts w:ascii="Times New Roman;sans-serif" w:hAnsi="Times New Roman;sans-serif"/>
          <w:b w:val="false"/>
          <w:color w:val="000000"/>
          <w:sz w:val="23"/>
        </w:rPr>
        <w:t>., Common Stock) or other financial assets in an account outside the United States and the aggregate amount of said assets is US$10,000 or more, the Participant is required to submit a report of Foreign Bank and Financial Account with the United States Internal Revenue Service by June 30 of the year following the year in which the assets in the Participant’s account meet the US$10,000 threshold.</w:t>
      </w:r>
    </w:p>
    <w:p>
      <w:pPr>
        <w:pStyle w:val="TextBody"/>
        <w:bidi w:val="0"/>
        <w:spacing w:lineRule="auto" w:line="271" w:before="241" w:after="283"/>
        <w:jc w:val="center"/>
        <w:rPr/>
      </w:pPr>
      <w:r>
        <w:rPr>
          <w:rFonts w:ascii="Times New Roman;sans-serif" w:hAnsi="Times New Roman;sans-serif"/>
          <w:b/>
          <w:color w:val="000000"/>
          <w:sz w:val="22"/>
          <w:u w:val="single"/>
        </w:rPr>
        <w:t>URUGUAY</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68" w:before="242" w:after="283"/>
        <w:jc w:val="left"/>
        <w:rPr/>
      </w:pPr>
      <w:r>
        <w:rPr>
          <w:rFonts w:ascii="Times New Roman;sans-serif" w:hAnsi="Times New Roman;sans-serif"/>
          <w:b/>
          <w:color w:val="000000"/>
          <w:sz w:val="22"/>
        </w:rPr>
        <w:t>Data Privacy Consent</w:t>
      </w:r>
      <w:r>
        <w:rPr>
          <w:rFonts w:ascii="Times New Roman;sans-serif" w:hAnsi="Times New Roman;sans-serif"/>
          <w:b w:val="false"/>
          <w:color w:val="000000"/>
          <w:sz w:val="22"/>
        </w:rPr>
        <w:t xml:space="preserve">. The </w:t>
      </w:r>
      <w:r>
        <w:rPr>
          <w:rFonts w:ascii="Times New Roman;sans-serif" w:hAnsi="Times New Roman;sans-serif"/>
          <w:b w:val="false"/>
          <w:color w:val="000000"/>
          <w:sz w:val="23"/>
        </w:rPr>
        <w:t xml:space="preserve">Participant </w:t>
      </w:r>
      <w:r>
        <w:rPr>
          <w:rFonts w:ascii="Times New Roman;sans-serif" w:hAnsi="Times New Roman;sans-serif"/>
          <w:b w:val="false"/>
          <w:color w:val="000000"/>
          <w:sz w:val="22"/>
        </w:rPr>
        <w:t xml:space="preserve">understands that the Data will be collected by the Employer and will be transferred to the Company at 905 West Fulton Market, Suite 200, Chicago, Illinois 60607, U.S.A. and/or any financial institutions or brokers involved in the management and administration of the Plan. The </w:t>
      </w:r>
      <w:r>
        <w:rPr>
          <w:rFonts w:ascii="Times New Roman;sans-serif" w:hAnsi="Times New Roman;sans-serif"/>
          <w:b w:val="false"/>
          <w:color w:val="000000"/>
          <w:sz w:val="23"/>
        </w:rPr>
        <w:t xml:space="preserve">Participant </w:t>
      </w:r>
      <w:r>
        <w:rPr>
          <w:rFonts w:ascii="Times New Roman;sans-serif" w:hAnsi="Times New Roman;sans-serif"/>
          <w:b w:val="false"/>
          <w:color w:val="000000"/>
          <w:sz w:val="22"/>
        </w:rPr>
        <w:t xml:space="preserve">further understands that any of these entities may store the Data for purposes of administering the </w:t>
      </w:r>
      <w:r>
        <w:rPr>
          <w:rFonts w:ascii="Times New Roman;sans-serif" w:hAnsi="Times New Roman;sans-serif"/>
          <w:b w:val="false"/>
          <w:color w:val="000000"/>
          <w:sz w:val="23"/>
        </w:rPr>
        <w:t>Participant’</w:t>
      </w:r>
      <w:r>
        <w:rPr>
          <w:rFonts w:ascii="Times New Roman;sans-serif" w:hAnsi="Times New Roman;sans-serif"/>
          <w:b w:val="false"/>
          <w:color w:val="000000"/>
          <w:sz w:val="22"/>
        </w:rPr>
        <w:t>s participation in the Plan.</w:t>
      </w:r>
    </w:p>
    <w:p>
      <w:pPr>
        <w:pStyle w:val="TextBody"/>
        <w:bidi w:val="0"/>
        <w:spacing w:lineRule="auto" w:line="271" w:before="241" w:after="283"/>
        <w:jc w:val="center"/>
        <w:rPr/>
      </w:pPr>
      <w:r>
        <w:rPr>
          <w:rFonts w:ascii="Times New Roman;sans-serif" w:hAnsi="Times New Roman;sans-serif"/>
          <w:b/>
          <w:color w:val="000000"/>
          <w:sz w:val="22"/>
          <w:u w:val="single"/>
        </w:rPr>
        <w:t>VENEZUELA</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 xml:space="preserve">Investment Representation. </w:t>
      </w:r>
      <w:r>
        <w:rPr>
          <w:rFonts w:ascii="Times New Roman;sans-serif" w:hAnsi="Times New Roman;sans-serif"/>
          <w:b w:val="false"/>
          <w:color w:val="000000"/>
          <w:sz w:val="22"/>
        </w:rPr>
        <w:t>As a condition of the LTI Grant, the Participant acknowledges and agrees that any shares of Common Stock the Participant may acquire upon the settlement of the LTI Grant are acquired as and intended to be an investment rather than for the resale of the shares of Common Stock and conversion of shares into foreign currency.</w:t>
      </w:r>
    </w:p>
    <w:p>
      <w:pPr>
        <w:pStyle w:val="TextBody"/>
        <w:bidi w:val="0"/>
        <w:spacing w:lineRule="auto" w:line="276" w:before="238"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vest in the LTI Grant or remit funds into Venezuela following the receipt of the cash proceeds from the sale of shares of</w:t>
      </w:r>
      <w:r>
        <w:rPr>
          <w:color w:val="000000"/>
        </w:rPr>
        <w:t xml:space="preserve"> </w:t>
      </w:r>
      <w:r>
        <w:rPr>
          <w:rFonts w:ascii="Times New Roman;sans-serif" w:hAnsi="Times New Roman;sans-serif"/>
          <w:b w:val="false"/>
          <w:color w:val="000000"/>
          <w:sz w:val="22"/>
        </w:rPr>
        <w:t>Common Stock acquired upon settlement of the LTI Grant under the Plan. The Company reserves the right to further restrict the settlement of the LTI Grant, or to amend or cancel the LTI Grant at any time, in order to comply with the applicable exchange control laws in Venezuela. The Participant is responsible for complying with exchange control laws in Venezuela and neither the Company nor the Employer will be liable for any fines or penalties resulting from the Participant’s failure to comply with applicable laws. Because exchange control laws and regulations change frequently and without notice, the Participant should consult with his or her personal legal advisor before accepting the LTI Grant to ensure compliance with current regulations.</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LTI Grant granted under the Plan and the shares of Common Stock issued under the Plan are offered as a personal, private, exclusive transaction and are not subject to Venezuelan government securities regulations. The LTI Grant granted under the Plan does not qualify as a public offering under the laws of the Bolivarian Republic of Venezuela and, therefore, it is not required to request the previous authorization of the National Superintendent of Securities.</w:t>
      </w:r>
    </w:p>
    <w:p>
      <w:pPr>
        <w:pStyle w:val="TextBody"/>
        <w:bidi w:val="0"/>
        <w:spacing w:lineRule="auto" w:line="271" w:before="247" w:after="283"/>
        <w:jc w:val="center"/>
        <w:rPr/>
      </w:pPr>
      <w:r>
        <w:rPr>
          <w:rFonts w:ascii="Times New Roman;sans-serif" w:hAnsi="Times New Roman;sans-serif"/>
          <w:b/>
          <w:color w:val="000000"/>
          <w:sz w:val="22"/>
          <w:u w:val="single"/>
        </w:rPr>
        <w:t>VIETNAM</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2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7" w:after="6222"/>
        <w:jc w:val="left"/>
        <w:rPr/>
      </w:pPr>
      <w:r>
        <w:rPr>
          <w:rFonts w:ascii="Times New Roman;sans-serif" w:hAnsi="Times New Roman;sans-serif"/>
          <w:b/>
          <w:color w:val="000000"/>
          <w:sz w:val="22"/>
        </w:rPr>
        <w:t xml:space="preserve">LTI Grant Payable Only in Cash. </w:t>
      </w:r>
      <w:r>
        <w:rPr>
          <w:rFonts w:ascii="Times New Roman;sans-serif" w:hAnsi="Times New Roman;sans-serif"/>
          <w:b w:val="false"/>
          <w:color w:val="000000"/>
          <w:sz w:val="22"/>
        </w:rPr>
        <w:t>Notwithstanding any discretion in the Plan or anything to the contrary in the Agreement (including paragraph 4 of the Agreement), the LTI Grant does not provide any right for the Participant to receive shares of Common Stock. The LTI Grant made to the Participant in Vietnam shall be paid in cash in an amount equal to the cash equivalent value of the LTI Award Payout.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10.4</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2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6" w:before="14" w:after="283"/>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2005 PERFORMANCE INCENTIVE PLAN</w:t>
      </w:r>
    </w:p>
    <w:p>
      <w:pPr>
        <w:pStyle w:val="TextBody"/>
        <w:bidi w:val="0"/>
        <w:spacing w:lineRule="auto" w:line="276" w:before="0" w:after="0"/>
        <w:jc w:val="center"/>
        <w:rPr>
          <w:rFonts w:ascii="Times New Roman;sans-serif" w:hAnsi="Times New Roman;sans-serif"/>
          <w:b/>
          <w:color w:val="000000"/>
          <w:sz w:val="22"/>
        </w:rPr>
      </w:pPr>
      <w:r>
        <w:rPr>
          <w:rFonts w:ascii="Times New Roman;sans-serif" w:hAnsi="Times New Roman;sans-serif"/>
          <w:b/>
          <w:color w:val="000000"/>
          <w:sz w:val="22"/>
        </w:rPr>
        <w:t>(Amended and Restated as of February 3, 2017)</w:t>
      </w:r>
    </w:p>
    <w:p>
      <w:pPr>
        <w:pStyle w:val="TextBody"/>
        <w:bidi w:val="0"/>
        <w:spacing w:lineRule="auto" w:line="276" w:before="495" w:after="283"/>
        <w:jc w:val="center"/>
        <w:rPr>
          <w:rFonts w:ascii="Times New Roman;sans-serif" w:hAnsi="Times New Roman;sans-serif"/>
          <w:b/>
          <w:color w:val="000000"/>
          <w:sz w:val="22"/>
        </w:rPr>
      </w:pPr>
      <w:r>
        <w:rPr>
          <w:rFonts w:ascii="Times New Roman;sans-serif" w:hAnsi="Times New Roman;sans-serif"/>
          <w:b/>
          <w:color w:val="000000"/>
          <w:sz w:val="22"/>
        </w:rPr>
        <w:t>GLOBAL DEFERRED STOCK UNIT AGREEMENT</w:t>
      </w:r>
    </w:p>
    <w:p>
      <w:pPr>
        <w:pStyle w:val="TextBody"/>
        <w:bidi w:val="0"/>
        <w:spacing w:lineRule="auto" w:line="276" w:before="226" w:after="283"/>
        <w:ind w:left="0" w:right="0" w:firstLine="720"/>
        <w:jc w:val="left"/>
        <w:rPr/>
      </w:pPr>
      <w:r>
        <w:rPr>
          <w:rFonts w:ascii="Times New Roman;sans-serif" w:hAnsi="Times New Roman;sans-serif"/>
          <w:b w:val="false"/>
          <w:color w:val="000000"/>
          <w:sz w:val="22"/>
        </w:rPr>
        <w:t>MONDELĒZ INTERNATIONAL, INC., a Virginia corporation (the “</w:t>
      </w:r>
      <w:r>
        <w:rPr>
          <w:rFonts w:ascii="Times New Roman;sans-serif" w:hAnsi="Times New Roman;sans-serif"/>
          <w:b w:val="false"/>
          <w:color w:val="000000"/>
          <w:sz w:val="22"/>
          <w:u w:val="single"/>
        </w:rPr>
        <w:t>Company</w:t>
      </w:r>
      <w:r>
        <w:rPr>
          <w:color w:val="000000"/>
        </w:rPr>
        <w:t>”</w:t>
      </w:r>
      <w:r>
        <w:rPr>
          <w:rFonts w:ascii="Times New Roman;sans-serif" w:hAnsi="Times New Roman;sans-serif"/>
          <w:b w:val="false"/>
          <w:color w:val="000000"/>
          <w:sz w:val="22"/>
        </w:rPr>
        <w:t>), hereby grants to the employee (the “</w:t>
      </w:r>
      <w:r>
        <w:rPr>
          <w:rFonts w:ascii="Times New Roman;sans-serif" w:hAnsi="Times New Roman;sans-serif"/>
          <w:b w:val="false"/>
          <w:color w:val="000000"/>
          <w:sz w:val="22"/>
          <w:u w:val="single"/>
        </w:rPr>
        <w:t>Employee</w:t>
      </w:r>
      <w:r>
        <w:rPr>
          <w:color w:val="000000"/>
        </w:rPr>
        <w:t>”</w:t>
      </w:r>
      <w:r>
        <w:rPr>
          <w:rFonts w:ascii="Times New Roman;sans-serif" w:hAnsi="Times New Roman;sans-serif"/>
          <w:b w:val="false"/>
          <w:color w:val="000000"/>
          <w:sz w:val="22"/>
        </w:rPr>
        <w:t>) named in the award statement provided to the Employee (the “</w:t>
      </w:r>
      <w:r>
        <w:rPr>
          <w:rFonts w:ascii="Times New Roman;sans-serif" w:hAnsi="Times New Roman;sans-serif"/>
          <w:b w:val="false"/>
          <w:color w:val="000000"/>
          <w:sz w:val="22"/>
          <w:u w:val="single"/>
        </w:rPr>
        <w:t>Award</w:t>
      </w:r>
      <w:r>
        <w:rPr>
          <w:color w:val="000000"/>
        </w:rPr>
        <w:t xml:space="preserve"> </w:t>
      </w:r>
      <w:r>
        <w:rPr>
          <w:rFonts w:ascii="Times New Roman;sans-serif" w:hAnsi="Times New Roman;sans-serif"/>
          <w:b w:val="false"/>
          <w:color w:val="000000"/>
          <w:sz w:val="22"/>
          <w:u w:val="single"/>
        </w:rPr>
        <w:t>Statement</w:t>
      </w:r>
      <w:r>
        <w:rPr>
          <w:color w:val="000000"/>
        </w:rPr>
        <w:t>”</w:t>
      </w:r>
      <w:r>
        <w:rPr>
          <w:rFonts w:ascii="Times New Roman;sans-serif" w:hAnsi="Times New Roman;sans-serif"/>
          <w:b w:val="false"/>
          <w:color w:val="000000"/>
          <w:sz w:val="22"/>
        </w:rPr>
        <w:t>) as of the date set forth in the Award Statement (the “</w:t>
      </w:r>
      <w:r>
        <w:rPr>
          <w:rFonts w:ascii="Times New Roman;sans-serif" w:hAnsi="Times New Roman;sans-serif"/>
          <w:b w:val="false"/>
          <w:color w:val="000000"/>
          <w:sz w:val="22"/>
          <w:u w:val="single"/>
        </w:rPr>
        <w:t>Grant Date</w:t>
      </w:r>
      <w:r>
        <w:rPr>
          <w:color w:val="000000"/>
        </w:rPr>
        <w:t>”</w:t>
      </w:r>
      <w:r>
        <w:rPr>
          <w:rFonts w:ascii="Times New Roman;sans-serif" w:hAnsi="Times New Roman;sans-serif"/>
          <w:b w:val="false"/>
          <w:color w:val="000000"/>
          <w:sz w:val="22"/>
        </w:rPr>
        <w:t>) pursuant to the provisions of the Mondelēz International, Inc. Amended and Restated 2005 Performance Incentive Plan, as amended from time to time (the “</w:t>
      </w:r>
      <w:r>
        <w:rPr>
          <w:rFonts w:ascii="Times New Roman;sans-serif" w:hAnsi="Times New Roman;sans-serif"/>
          <w:b w:val="false"/>
          <w:color w:val="000000"/>
          <w:sz w:val="22"/>
          <w:u w:val="single"/>
        </w:rPr>
        <w:t>Plan</w:t>
      </w:r>
      <w:r>
        <w:rPr>
          <w:color w:val="000000"/>
        </w:rPr>
        <w:t>”</w:t>
      </w:r>
      <w:r>
        <w:rPr>
          <w:rFonts w:ascii="Times New Roman;sans-serif" w:hAnsi="Times New Roman;sans-serif"/>
          <w:b w:val="false"/>
          <w:color w:val="000000"/>
          <w:sz w:val="22"/>
        </w:rPr>
        <w:t>), Deferred Stock Units (the “</w:t>
      </w:r>
      <w:r>
        <w:rPr>
          <w:rFonts w:ascii="Times New Roman;sans-serif" w:hAnsi="Times New Roman;sans-serif"/>
          <w:b w:val="false"/>
          <w:color w:val="000000"/>
          <w:sz w:val="22"/>
          <w:u w:val="single"/>
        </w:rPr>
        <w:t>Grant</w:t>
      </w:r>
      <w:r>
        <w:rPr>
          <w:color w:val="000000"/>
        </w:rPr>
        <w:t>”</w:t>
      </w:r>
      <w:r>
        <w:rPr>
          <w:rFonts w:ascii="Times New Roman;sans-serif" w:hAnsi="Times New Roman;sans-serif"/>
          <w:b w:val="false"/>
          <w:color w:val="000000"/>
          <w:sz w:val="22"/>
        </w:rPr>
        <w:t>) representing a right to receive a corresponding number of shares of Common Stock of the Company set forth in the Award Statement, upon and subject to the restrictions, terms and conditions set forth below (including the country-specific terms set forth in the attached Appendix A), in the Award Statement and in the Plan. Capitalized terms not otherwise defined in this Global Deferred Stock Unit Agreement (this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shall have the same meaning as defined under the Plan. All references to action of or approval by the Committee shall be deemed to include action of or approval by any other person(s) to whom the Committee has delegated authority to act.</w:t>
      </w:r>
    </w:p>
    <w:p>
      <w:pPr>
        <w:pStyle w:val="TextBody"/>
        <w:bidi w:val="0"/>
        <w:spacing w:lineRule="auto" w:line="283" w:before="229"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Grant is subject to the following terms and conditions (including the country-specific terms set forth in Appendix A to this Agreement):</w:t>
      </w:r>
    </w:p>
    <w:p>
      <w:pPr>
        <w:pStyle w:val="TextBody"/>
        <w:bidi w:val="0"/>
        <w:spacing w:lineRule="auto" w:line="276" w:before="232" w:after="283"/>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Employee must either execute and deliver an acceptance of the terms set forth in this Agreement or electronically accept the terms set forth in this Agreement, in the manner and within a period specified by the Committee. The Committee may, in its sole discretion, cancel the Deferred Stock Units if the Employee fails to accept this Agreement and related documents within the specified period or using the procedures for acceptance established by the Committee.</w:t>
      </w:r>
    </w:p>
    <w:p>
      <w:pPr>
        <w:pStyle w:val="TextBody"/>
        <w:bidi w:val="0"/>
        <w:spacing w:lineRule="auto" w:line="276" w:before="237" w:after="283"/>
        <w:ind w:left="0" w:right="0" w:firstLine="720"/>
        <w:jc w:val="left"/>
        <w:rPr/>
      </w:pPr>
      <w:r>
        <w:rPr>
          <w:rFonts w:ascii="Times New Roman;sans-serif" w:hAnsi="Times New Roman;sans-serif"/>
          <w:b w:val="false"/>
          <w:color w:val="000000"/>
          <w:sz w:val="22"/>
        </w:rPr>
        <w:t>1.</w:t>
      </w:r>
      <w:r>
        <w:rPr>
          <w:rFonts w:ascii="Times New Roman;sans-serif" w:hAnsi="Times New Roman;sans-serif"/>
          <w:b w:val="false"/>
          <w:color w:val="000000"/>
          <w:sz w:val="22"/>
          <w:u w:val="single"/>
        </w:rPr>
        <w:t>Restrictions</w:t>
      </w:r>
      <w:r>
        <w:rPr>
          <w:rFonts w:ascii="Times New Roman;sans-serif" w:hAnsi="Times New Roman;sans-serif"/>
          <w:b w:val="false"/>
          <w:color w:val="000000"/>
          <w:sz w:val="22"/>
        </w:rPr>
        <w:t>. Except as expressly provided in this Agreement, the restrictions on the Deferred Stock Units shall lapse and the Deferred Stock Units shall vest on the Vesting Date shown in the Award Statement (the “</w:t>
      </w:r>
      <w:r>
        <w:rPr>
          <w:rFonts w:ascii="Times New Roman;sans-serif" w:hAnsi="Times New Roman;sans-serif"/>
          <w:b w:val="false"/>
          <w:color w:val="000000"/>
          <w:sz w:val="22"/>
          <w:u w:val="single"/>
        </w:rPr>
        <w:t>Vesting Date</w:t>
      </w:r>
      <w:r>
        <w:rPr>
          <w:color w:val="000000"/>
        </w:rPr>
        <w:t>”</w:t>
      </w:r>
      <w:r>
        <w:rPr>
          <w:rFonts w:ascii="Times New Roman;sans-serif" w:hAnsi="Times New Roman;sans-serif"/>
          <w:b w:val="false"/>
          <w:color w:val="000000"/>
          <w:sz w:val="22"/>
        </w:rPr>
        <w:t>), provided that the Employee remains an active employee of the Mondelēz Group during the entire period commencing on the Grant Date and ending on the Vesting Date.</w:t>
      </w:r>
    </w:p>
    <w:p>
      <w:pPr>
        <w:pStyle w:val="TextBody"/>
        <w:bidi w:val="0"/>
        <w:spacing w:lineRule="auto" w:line="276" w:before="232" w:after="283"/>
        <w:ind w:left="0" w:right="0" w:firstLine="720"/>
        <w:jc w:val="left"/>
        <w:rPr/>
      </w:pPr>
      <w:r>
        <w:rPr>
          <w:rFonts w:ascii="Times New Roman;sans-serif" w:hAnsi="Times New Roman;sans-serif"/>
          <w:b w:val="false"/>
          <w:color w:val="000000"/>
          <w:sz w:val="22"/>
        </w:rPr>
        <w:t>2.</w:t>
      </w:r>
      <w:r>
        <w:rPr>
          <w:rFonts w:ascii="Times New Roman;sans-serif" w:hAnsi="Times New Roman;sans-serif"/>
          <w:b w:val="false"/>
          <w:color w:val="000000"/>
          <w:sz w:val="22"/>
          <w:u w:val="single"/>
        </w:rPr>
        <w:t>Termination of Employment Before Vesting Date</w:t>
      </w:r>
      <w:r>
        <w:rPr>
          <w:rFonts w:ascii="Times New Roman;sans-serif" w:hAnsi="Times New Roman;sans-serif"/>
          <w:b w:val="false"/>
          <w:color w:val="000000"/>
          <w:sz w:val="22"/>
        </w:rPr>
        <w:t>. Unless determined otherwise by the Committee or except as expressly provided in this Agreement, if the Employee terminated employment with the Mondelēz Group prior to the Vesting Date, the Employee shall forfeit all rights to the Deferred Stock Units and the shares of Common Stock underlying the Deferred Stock Units. If the Employee terminates employment with the Mondelēz Group prior to the Vesting Date due to:</w:t>
      </w:r>
    </w:p>
    <w:p>
      <w:pPr>
        <w:pStyle w:val="TextBody"/>
        <w:bidi w:val="0"/>
        <w:spacing w:lineRule="auto" w:line="276" w:before="237"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(a)the Employee’s death or Disability (as defined below in paragraph 21), the restrictions on the Deferred Stock Units shall lapse and the Deferred Stock Units shall become fully vested on the date of the Employee’s death or termination due to Disability; or</w:t>
      </w:r>
    </w:p>
    <w:p>
      <w:pPr>
        <w:pStyle w:val="TextBody"/>
        <w:bidi w:val="0"/>
        <w:spacing w:lineRule="auto" w:line="276" w:before="232" w:after="283"/>
        <w:ind w:left="0" w:right="0" w:firstLine="1440"/>
        <w:jc w:val="left"/>
        <w:rPr/>
      </w:pPr>
      <w:r>
        <w:rPr>
          <w:rFonts w:ascii="Times New Roman;sans-serif" w:hAnsi="Times New Roman;sans-serif"/>
          <w:b w:val="false"/>
          <w:color w:val="000000"/>
          <w:sz w:val="22"/>
        </w:rPr>
        <w:t>(b)</w:t>
      </w:r>
      <w:r>
        <w:rPr>
          <w:rFonts w:ascii="Times New Roman;sans-serif" w:hAnsi="Times New Roman;sans-serif"/>
          <w:b w:val="false"/>
          <w:color w:val="000000"/>
          <w:sz w:val="22"/>
        </w:rPr>
        <w:t>the Employee’s Retirement (as defined below in paragraph 21), or as otherwise determined by the Committee, and provided that (i) the Deferred Stock Units are not otherwise accounted for, or included in, the Employee’s severance or retirement arrangement with the Mondelēz Group; (ii) the Employee timely executes a general release and waiver of claims in a form and manner determined by the Company in its sole discretion; and (iii) the Retirement date occurs on or after the 181st day following the Grant Date then:</w:t>
      </w:r>
    </w:p>
    <w:p>
      <w:pPr>
        <w:pStyle w:val="TextBody"/>
        <w:bidi w:val="0"/>
        <w:spacing w:lineRule="auto" w:line="271" w:before="729"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9"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(1)in the event that the Employee's Retirement occurs because the Employee is age 65 or older with at least five (5) or more years of active continuous employment with the Mondelēz Group, the restrictions on the Deferred Stock Units shall lapse and the Deferred Stock Units shall become fully vested on the date of the Employee’s Retirement;</w:t>
      </w:r>
    </w:p>
    <w:p>
      <w:pPr>
        <w:pStyle w:val="TextBody"/>
        <w:bidi w:val="0"/>
        <w:spacing w:lineRule="auto" w:line="276" w:before="240"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(2)in the event that the Employee's Retirement occurs because the Employee is age 55 or older with at least ten (10) or more years of active continuous employment with the Mondelēz Group, the Deferred Stock Units will vest on a pro-rata basis. The proration amount will be a fraction, the numerator of which is the number of months (excluding the month of the Grant Date and including partial months thereafter, rounded up to the next whole month) the Employee was actively employed by the Mondelēz Group during the vesting period and the denominator of which is the total number of months in the vesting period.</w:t>
      </w:r>
    </w:p>
    <w:p>
      <w:pPr>
        <w:pStyle w:val="TextBody"/>
        <w:bidi w:val="0"/>
        <w:spacing w:lineRule="auto" w:line="276" w:before="239"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clarity, in the event any of (i), (ii) or (iii) of this subsection 2(b) are not met then, unless determined otherwise by the Committee, the Employee shall forfeit all rights to the Deferred Stock Units and the shares of Common Stock underlying the Deferred Stock Units.</w:t>
      </w:r>
    </w:p>
    <w:p>
      <w:pPr>
        <w:pStyle w:val="TextBody"/>
        <w:bidi w:val="0"/>
        <w:spacing w:lineRule="auto" w:line="276" w:before="237"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For purposes of this Agreement, the Employee’s employment shall be deemed to be terminated when he or she is no longer actively employed by the Mondelēz Group (regardless of the reason for such termination and whether or not later found to be invalid or in breach of employment laws in the jurisdiction where the Employee is employed or the terms of the Employee’s employment agreement, if any). The Employee shall not be considered actively employed during any period for which he or she is receiving, or is eligible to receive, salary continuation, notice period or garden leave payments, or other comparable benefits or through other such arrangements that may be entered into that give rise to separation or notice pay. The Committee shall have the exclusive discretion to determine when the Employee is no longer actively employed for purposes of the Deferred Stock Units. Unless otherwise determined by the Committee, leaves of absence shall not constitute a termination of employment for purposes of this Agreement.</w:t>
      </w:r>
    </w:p>
    <w:p>
      <w:pPr>
        <w:pStyle w:val="TextBody"/>
        <w:bidi w:val="0"/>
        <w:spacing w:lineRule="auto" w:line="276" w:before="236" w:after="283"/>
        <w:ind w:left="0" w:right="0" w:firstLine="720"/>
        <w:jc w:val="left"/>
        <w:rPr/>
      </w:pPr>
      <w:r>
        <w:rPr>
          <w:rFonts w:ascii="Times New Roman;sans-serif" w:hAnsi="Times New Roman;sans-serif"/>
          <w:b w:val="false"/>
          <w:color w:val="000000"/>
          <w:sz w:val="22"/>
        </w:rPr>
        <w:t>3.</w:t>
      </w:r>
      <w:r>
        <w:rPr>
          <w:rFonts w:ascii="Times New Roman;sans-serif" w:hAnsi="Times New Roman;sans-serif"/>
          <w:b w:val="false"/>
          <w:color w:val="000000"/>
          <w:sz w:val="22"/>
          <w:u w:val="single"/>
        </w:rPr>
        <w:t>Voting and Dividend Rights</w:t>
      </w:r>
      <w:r>
        <w:rPr>
          <w:rFonts w:ascii="Times New Roman;sans-serif" w:hAnsi="Times New Roman;sans-serif"/>
          <w:b w:val="false"/>
          <w:color w:val="000000"/>
          <w:sz w:val="22"/>
        </w:rPr>
        <w:t>. The Employee does not have the right to vote the Deferred Stock Units or receive dividends or dividend equivalents prior to the date, if any, such Deferred Stock Units vest and are paid to the Employee in the form of Common Stock pursuant to the terms hereof. However, the Employee shall be eligible to receive cash payments (less applicable Tax-Related Items (as defined below)) in lieu of dividends otherwise payable with respect to shares of Common Stock equal in number to the unpaid Deferred Stock Units that have not been forfeited, which shall be subject to the same vesting restrictions as the underlying Deferred Stock Units and be paid following the vesting of such Deferred Stock Units within the timeframe set forth in Section 7 below.</w:t>
      </w:r>
    </w:p>
    <w:p>
      <w:pPr>
        <w:pStyle w:val="TextBody"/>
        <w:bidi w:val="0"/>
        <w:spacing w:lineRule="auto" w:line="276" w:before="243" w:after="283"/>
        <w:ind w:left="0" w:right="0" w:firstLine="720"/>
        <w:jc w:val="left"/>
        <w:rPr/>
      </w:pPr>
      <w:r>
        <w:rPr>
          <w:rFonts w:ascii="Times New Roman;sans-serif" w:hAnsi="Times New Roman;sans-serif"/>
          <w:b w:val="false"/>
          <w:color w:val="000000"/>
          <w:sz w:val="22"/>
        </w:rPr>
        <w:t>4.</w:t>
      </w:r>
      <w:r>
        <w:rPr>
          <w:rFonts w:ascii="Times New Roman;sans-serif" w:hAnsi="Times New Roman;sans-serif"/>
          <w:b w:val="false"/>
          <w:color w:val="000000"/>
          <w:sz w:val="22"/>
          <w:u w:val="single"/>
        </w:rPr>
        <w:t>Transfer Restrictions</w:t>
      </w:r>
      <w:r>
        <w:rPr>
          <w:rFonts w:ascii="Times New Roman;sans-serif" w:hAnsi="Times New Roman;sans-serif"/>
          <w:b w:val="false"/>
          <w:color w:val="000000"/>
          <w:sz w:val="22"/>
        </w:rPr>
        <w:t>. This Grant and the Deferred Stock Units are non-transferable and may not be assigned, hypothecated or otherwise pledged and shall not be subject to execution, attachment or similar process. Upon any attempt to effect any such disposition, or upon the levy of any such process, the Grant shall immediately become null and void and the Deferred Stock Units shall be forfeited. These restrictions shall not apply, however, to any payments received pursuant to paragraph 7 below.</w:t>
      </w:r>
    </w:p>
    <w:p>
      <w:pPr>
        <w:pStyle w:val="TextBody"/>
        <w:bidi w:val="0"/>
        <w:spacing w:lineRule="auto" w:line="276" w:before="235" w:after="283"/>
        <w:ind w:left="0" w:right="0" w:firstLine="720"/>
        <w:jc w:val="left"/>
        <w:rPr/>
      </w:pPr>
      <w:r>
        <w:rPr>
          <w:rFonts w:ascii="Times New Roman;sans-serif" w:hAnsi="Times New Roman;sans-serif"/>
          <w:b w:val="false"/>
          <w:color w:val="000000"/>
          <w:sz w:val="22"/>
        </w:rPr>
        <w:t>5.</w:t>
      </w:r>
      <w:r>
        <w:rPr>
          <w:rFonts w:ascii="Times New Roman;sans-serif" w:hAnsi="Times New Roman;sans-serif"/>
          <w:b w:val="false"/>
          <w:color w:val="000000"/>
          <w:sz w:val="22"/>
          <w:u w:val="single"/>
        </w:rPr>
        <w:t>Withholding Taxes</w:t>
      </w:r>
      <w:r>
        <w:rPr>
          <w:rFonts w:ascii="Times New Roman;sans-serif" w:hAnsi="Times New Roman;sans-serif"/>
          <w:b w:val="false"/>
          <w:color w:val="000000"/>
          <w:sz w:val="22"/>
        </w:rPr>
        <w:t>. The Employee acknowledges that regardless of any action taken by the Company or, if different, the Employee’s employer (the “</w:t>
      </w:r>
      <w:r>
        <w:rPr>
          <w:rFonts w:ascii="Times New Roman;sans-serif" w:hAnsi="Times New Roman;sans-serif"/>
          <w:b w:val="false"/>
          <w:color w:val="000000"/>
          <w:sz w:val="22"/>
          <w:u w:val="single"/>
        </w:rPr>
        <w:t>Employer</w:t>
      </w:r>
      <w:r>
        <w:rPr>
          <w:color w:val="000000"/>
        </w:rPr>
        <w:t>”</w:t>
      </w:r>
      <w:r>
        <w:rPr>
          <w:rFonts w:ascii="Times New Roman;sans-serif" w:hAnsi="Times New Roman;sans-serif"/>
          <w:b w:val="false"/>
          <w:color w:val="000000"/>
          <w:sz w:val="22"/>
        </w:rPr>
        <w:t>), the ultimate liability for all income tax, social insurance, payroll tax, fringe benefits tax, payment on account or other tax-related items related to the Employee’s participation in the Plan and legally applicable to the Employee or deemed by the Company or the Employer, in their discretion, to be an appropriate charge to the Employee even if legally applicable to the Company or the Employer (“</w:t>
      </w:r>
      <w:r>
        <w:rPr>
          <w:rFonts w:ascii="Times New Roman;sans-serif" w:hAnsi="Times New Roman;sans-serif"/>
          <w:b w:val="false"/>
          <w:color w:val="000000"/>
          <w:sz w:val="22"/>
          <w:u w:val="single"/>
        </w:rPr>
        <w:t>Tax-Related Items</w:t>
      </w:r>
      <w:r>
        <w:rPr>
          <w:color w:val="000000"/>
        </w:rPr>
        <w:t>”</w:t>
      </w:r>
      <w:r>
        <w:rPr>
          <w:rFonts w:ascii="Times New Roman;sans-serif" w:hAnsi="Times New Roman;sans-serif"/>
          <w:b w:val="false"/>
          <w:color w:val="000000"/>
          <w:sz w:val="22"/>
        </w:rPr>
        <w:t>) is and remains his or her responsibility and may exceed the amount, if any, actually withheld by the Company or the Employer.</w:t>
      </w:r>
    </w:p>
    <w:p>
      <w:pPr>
        <w:pStyle w:val="TextBody"/>
        <w:bidi w:val="0"/>
        <w:spacing w:lineRule="auto" w:line="271" w:before="455"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8"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further acknowledges that the Company and/or the Employer (a) make no representations or undertakings regarding the treatment of any Tax-Related Items in connection with any aspect of the Deferred Stock Units, including the grant, vesting or settlement of the Deferred Stock Units, the receipt of any dividends or cash payments in lieu of dividends, or the subsequent sale of shares of Common Stock; and (b) do not commit to and are under no obligation to structure the terms of the grant of the Deferred Stock Units or any aspect of the Employee’s participation in the Plan to reduce or eliminate his or her liability for Tax-Related Items or achieve any particular tax result. Further, if the Employee becomes subject to any Tax-Related Items in more than one jurisdiction, the Employee acknowledges that the Company and/or the Employer (or former employer, as applicable) may be required to withhold or account for (including report) Tax-Related Items in more than one jurisdiction.</w:t>
      </w:r>
    </w:p>
    <w:p>
      <w:pPr>
        <w:pStyle w:val="TextBody"/>
        <w:bidi w:val="0"/>
        <w:spacing w:lineRule="auto" w:line="276" w:before="244"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and agrees that the Company may refuse to issue or deliver shares of Common Stock upon vesting of the Deferred Stock Units if Employee fails to comply with his or her Tax-Related Items obligations or the Company has not received payment in a form acceptable to the Company for all applicable Tax-Related Items, as well as amounts due to the Company as “hypothetical taxes”, if applicable, pursuant to the then-current international assignment and tax and/or social insurance equalization policies and procedures of the Mondelēz Group, or arrangements satisfactory to the Company for the payment thereof have been made.</w:t>
      </w:r>
    </w:p>
    <w:p>
      <w:pPr>
        <w:pStyle w:val="TextBody"/>
        <w:bidi w:val="0"/>
        <w:spacing w:lineRule="auto" w:line="276" w:before="254"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 this regard, the Employee authorizes the Company and/or the Employer, in their sole discretion and without any notice or further authorization by the Employee, to satisfy any applicable withholding obligations with regard to all Tax-Related Items legally due by the Employee (or otherwise due by the Employee as set forth in this paragraph 5) and any hypothetical taxes from the Employee’s wages or other cash compensation paid by the Company and/or the Employer or from proceeds of the sale of the shares of Common Stock issued upon vesting of the Deferred Stock Units, in which case, the Company may instruct the broker it has selected for this purpose (on the Employee’s behalf and at the Employee’s direction pursuant to this authorization without further consent) to sell any shares of Common Stock that the Employee acquires upon vesting of the Deferred Stock Units, except to the extent that such a sale would violate any U.S. federal securities law or other applicable law. Alternatively, or in addition, the Company may (i) deduct the number of Deferred Stock Units having an aggregate value equal to the amount of Tax-Related Items and any hypothetical taxes due from the total number of Deferred Stock Units awarded, vested, paid or otherwise becoming subject to current taxation; and/or (ii) satisfy the Tax-Related Items and any hypothetical taxes arising from the vesting of the Deferred Stock Units through any other method established by the Company. Notwithstanding the foregoing, if the Employee is subject to the short-swing profit rules of Section 16(b) of the Exchange Act, the Company will withhold in shares of Common Stock issuable at vesting of the Deferred Stock Units upon the relevant withholding event or the Committee may determine that a particular method be used to satisfy any required withholding. Finally, the Employee agrees to pay to the Company or the Employer any amount of Tax-Related Items and any hypothetical taxes that the Company or the Employer may be required to withhold or account for as a result of the Employee’s participation in the Plan that cannot be satisfied by the means previously described.</w:t>
      </w:r>
    </w:p>
    <w:p>
      <w:pPr>
        <w:pStyle w:val="TextBody"/>
        <w:bidi w:val="0"/>
        <w:spacing w:lineRule="auto" w:line="276" w:before="247"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The Company may withhold or account for Tax-Related Items and any hypothetical taxes by considering statutory withholding rates (in accordance with Section 14(d) of the Plan) or other withholding rates, including minimum rates or maximum rates applicable in the Employee’s jurisdiction(s), in which case the Employee may receive a refund of any over-withheld amount in cash and will have no entitlement to the equivalent shares of Common Stock or, if not refunded, the Employee may be able to seek a refund from the applicable tax authorities. In the event of under-withholding, the Employee may be required to pay any additional Tax-Related Items directly to the applicable tax authority or to the Company and/or the Employer. If the obligation for Tax-Related Items is satisfied by withholding in shares of Common Stock, for tax purposes, the Employee is deemed to have been issued the full number of shares of Common Stock</w:t>
      </w:r>
    </w:p>
    <w:p>
      <w:pPr>
        <w:pStyle w:val="TextBody"/>
        <w:bidi w:val="0"/>
        <w:spacing w:lineRule="auto" w:line="271" w:before="417"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2"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underlying the Grant, notwithstanding that a number of shares of Common Stock are held back solely for the purpose of paying the Tax-Related Items and/or hypothetical taxes due as a result of any aspect of the Employee’s participation in the Plan.</w:t>
      </w:r>
    </w:p>
    <w:p>
      <w:pPr>
        <w:pStyle w:val="TextBody"/>
        <w:bidi w:val="0"/>
        <w:spacing w:lineRule="auto" w:line="276" w:before="240" w:after="283"/>
        <w:ind w:left="0" w:right="0" w:firstLine="720"/>
        <w:jc w:val="left"/>
        <w:rPr/>
      </w:pPr>
      <w:r>
        <w:rPr>
          <w:rFonts w:ascii="Times New Roman;sans-serif" w:hAnsi="Times New Roman;sans-serif"/>
          <w:b w:val="false"/>
          <w:color w:val="000000"/>
          <w:sz w:val="22"/>
        </w:rPr>
        <w:t>6.</w:t>
      </w:r>
      <w:r>
        <w:rPr>
          <w:rFonts w:ascii="Times New Roman;sans-serif" w:hAnsi="Times New Roman;sans-serif"/>
          <w:b w:val="false"/>
          <w:color w:val="000000"/>
          <w:sz w:val="22"/>
          <w:u w:val="single"/>
        </w:rPr>
        <w:t>Death of Employee</w:t>
      </w:r>
      <w:r>
        <w:rPr>
          <w:rFonts w:ascii="Times New Roman;sans-serif" w:hAnsi="Times New Roman;sans-serif"/>
          <w:b w:val="false"/>
          <w:color w:val="000000"/>
          <w:sz w:val="22"/>
        </w:rPr>
        <w:t>. If any of the Deferred Stock Units shall vest upon the death of the Employee, any Common Stock received in payment of the vested Deferred Stock Units shall be registered in the name of and delivered to the estate of the Employee.</w:t>
      </w:r>
    </w:p>
    <w:p>
      <w:pPr>
        <w:pStyle w:val="TextBody"/>
        <w:bidi w:val="0"/>
        <w:spacing w:lineRule="auto" w:line="276" w:before="236" w:after="283"/>
        <w:ind w:left="0" w:right="0" w:firstLine="720"/>
        <w:jc w:val="left"/>
        <w:rPr/>
      </w:pPr>
      <w:r>
        <w:rPr>
          <w:rFonts w:ascii="Times New Roman;sans-serif" w:hAnsi="Times New Roman;sans-serif"/>
          <w:b w:val="false"/>
          <w:color w:val="000000"/>
          <w:sz w:val="22"/>
        </w:rPr>
        <w:t>7.</w:t>
      </w:r>
      <w:r>
        <w:rPr>
          <w:rFonts w:ascii="Times New Roman;sans-serif" w:hAnsi="Times New Roman;sans-serif"/>
          <w:b w:val="false"/>
          <w:color w:val="000000"/>
          <w:sz w:val="22"/>
          <w:u w:val="single"/>
        </w:rPr>
        <w:t>Payment of Deferred Stock Units</w:t>
      </w:r>
      <w:r>
        <w:rPr>
          <w:rFonts w:ascii="Times New Roman;sans-serif" w:hAnsi="Times New Roman;sans-serif"/>
          <w:b w:val="false"/>
          <w:color w:val="000000"/>
          <w:sz w:val="22"/>
        </w:rPr>
        <w:t>. Each Deferred Stock Unit granted pursuant to this Grant represents an unfunded and unsecured promise of the Company to issue to the Employee, after the date the Deferred Stock Units vest pursuant to paragraph 1 or 2 and otherwise subject to the terms of this Agreement (including the country-specific terms set forth in Appendix A to this Agreement), the value of one share of the Common Stock. Except as otherwise expressly provided and subject to the terms of this Agreement (including Appendix A hereto and Section 9), such issuance shall be made to the Employee (or, in the event of his or her death to the Employee’s estate or beneficiary as provided above) in the form of Common Stock as soon as practicable, but not later than 30 days, following the vesting of the Deferred Stock Units pursuant to paragraph 1 or 2 (and with respect to the vesting of Deferred Stock Units pursuant to paragraph 1, in no event later than the last day of the calendar year in which such vesting occurred).</w:t>
      </w:r>
    </w:p>
    <w:p>
      <w:pPr>
        <w:pStyle w:val="TextBody"/>
        <w:bidi w:val="0"/>
        <w:spacing w:lineRule="auto" w:line="276" w:before="237" w:after="283"/>
        <w:ind w:left="0" w:right="0" w:firstLine="720"/>
        <w:jc w:val="left"/>
        <w:rPr/>
      </w:pPr>
      <w:r>
        <w:rPr>
          <w:rFonts w:ascii="Times New Roman;sans-serif" w:hAnsi="Times New Roman;sans-serif"/>
          <w:b w:val="false"/>
          <w:color w:val="000000"/>
          <w:sz w:val="22"/>
        </w:rPr>
        <w:t>8.</w:t>
      </w:r>
      <w:r>
        <w:rPr>
          <w:rFonts w:ascii="Times New Roman;sans-serif" w:hAnsi="Times New Roman;sans-serif"/>
          <w:b w:val="false"/>
          <w:color w:val="000000"/>
          <w:sz w:val="22"/>
          <w:u w:val="single"/>
        </w:rPr>
        <w:t>Special Payment Provisions</w:t>
      </w:r>
      <w:r>
        <w:rPr>
          <w:rFonts w:ascii="Times New Roman;sans-serif" w:hAnsi="Times New Roman;sans-serif"/>
          <w:b w:val="false"/>
          <w:color w:val="000000"/>
          <w:sz w:val="22"/>
        </w:rPr>
        <w:t>. Notwithstanding anything to the contrary in the Agreement, if the Deferred Stock Units are considered nonqualified deferred compensation subject to Section 409A of the Code and are settled on or on a date that is by reference to the Employee’s “separation from service” and the Employee is a “specified employee” (each within the meaning of Section 409A of the Code and each determined by the Company it its sole discretion) on the date the Employee experiences a separation from service, then the Deferred Stock Units (or applicable portion thereof) shall be settled on the first business day of the seventh month following the Employee’s separation from service, or, if earlier, on the date of the Employee’s death, to the extent such delayed payment is required in order to avoid a</w:t>
      </w:r>
    </w:p>
    <w:p>
      <w:pPr>
        <w:pStyle w:val="TextBody"/>
        <w:bidi w:val="0"/>
        <w:spacing w:lineRule="auto" w:line="276" w:before="1"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prohibited distribution under Section 409A of the Code.</w:t>
      </w:r>
    </w:p>
    <w:p>
      <w:pPr>
        <w:pStyle w:val="TextBody"/>
        <w:bidi w:val="0"/>
        <w:spacing w:lineRule="auto" w:line="276" w:before="238" w:after="283"/>
        <w:ind w:left="0" w:right="0" w:firstLine="720"/>
        <w:jc w:val="left"/>
        <w:rPr/>
      </w:pPr>
      <w:r>
        <w:rPr>
          <w:rFonts w:ascii="Times New Roman;sans-serif" w:hAnsi="Times New Roman;sans-serif"/>
          <w:b w:val="false"/>
          <w:color w:val="000000"/>
          <w:sz w:val="22"/>
        </w:rPr>
        <w:t>9.</w:t>
      </w:r>
      <w:r>
        <w:rPr>
          <w:rFonts w:ascii="Times New Roman;sans-serif" w:hAnsi="Times New Roman;sans-serif"/>
          <w:b w:val="false"/>
          <w:color w:val="000000"/>
          <w:sz w:val="22"/>
          <w:u w:val="single"/>
        </w:rPr>
        <w:t>Restrictions and Covenants</w:t>
      </w:r>
      <w:r>
        <w:rPr>
          <w:rFonts w:ascii="Times New Roman;sans-serif" w:hAnsi="Times New Roman;sans-serif"/>
          <w:b w:val="false"/>
          <w:color w:val="000000"/>
          <w:sz w:val="22"/>
        </w:rPr>
        <w:t>.</w:t>
      </w:r>
      <w:r>
        <w:rPr>
          <w:color w:val="000000"/>
          <w:u w:val="single"/>
        </w:rPr>
        <w:t xml:space="preserve"> </w:t>
      </w:r>
    </w:p>
    <w:p>
      <w:pPr>
        <w:pStyle w:val="TextBody"/>
        <w:bidi w:val="0"/>
        <w:spacing w:lineRule="auto" w:line="276" w:before="238"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(a)    In addition to such other conditions as may be established by the Company or the Committee, in consideration for making a Grant under the terms of the Plan, the Employee agrees and covenants as follows for a period of twelve (12) months following the date of the Employee’s termination of employment from the Mondelēz Group:</w:t>
      </w:r>
    </w:p>
    <w:p>
      <w:pPr>
        <w:pStyle w:val="TextBody"/>
        <w:bidi w:val="0"/>
        <w:spacing w:lineRule="auto" w:line="276" w:before="236"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 to protect the Mondelēz Group’s legitimate business interests in its confidential information, trade secrets and goodwill, and to enable the Mondelēz Group’s ability to reserve these for the exclusive knowledge and use of the Mondelēz Group, which is of great competitive importance and commercial value to the Mondelēz Group, the Employee, without the express written permission of the Company’s chief human resources officer, will not engage in any conduct in which the Employee contributes his/her knowledge and skills, directly or indirectly, in whole or in part, as an executive, employer, employee, owner, operator, manager, advisor, consultant, agent, partner, director, stockholder, officer, volunteer, intern or any other similar capacity to a competitor or to an entity engaged in the same or similar business as the Mondelēz Group, including those engaged in the business of production, sale or marketing of snack foods (including, but not limited to gum, chocolate, confectionary products, biscuits or any other product or service the Employee has reason to know has been under development by the Mondelēz Group during the Employee’s employment with the Mondelēz Group). The</w:t>
      </w:r>
    </w:p>
    <w:p>
      <w:pPr>
        <w:pStyle w:val="TextBody"/>
        <w:bidi w:val="0"/>
        <w:spacing w:lineRule="auto" w:line="271" w:before="456"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8"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Employee will not engage in any activity that may require or inevitably require the Employee’s use or disclosure of the Mondelēz Group’s confidential information, proprietary information and/or trade secrets;</w:t>
      </w:r>
    </w:p>
    <w:p>
      <w:pPr>
        <w:pStyle w:val="TextBody"/>
        <w:bidi w:val="0"/>
        <w:spacing w:lineRule="auto" w:line="276" w:before="234" w:after="283"/>
        <w:ind w:left="0" w:right="0" w:hanging="288"/>
        <w:jc w:val="left"/>
        <w:rPr>
          <w:rFonts w:ascii="Times New Roman;sans-serif" w:hAnsi="Times New Roman;sans-serif"/>
          <w:b w:val="false"/>
          <w:color w:val="000000"/>
          <w:sz w:val="22"/>
        </w:rPr>
      </w:pPr>
      <w:r>
        <w:rPr>
          <w:rFonts w:ascii="Times New Roman;sans-serif" w:hAnsi="Times New Roman;sans-serif"/>
          <w:b w:val="false"/>
          <w:color w:val="000000"/>
          <w:sz w:val="22"/>
        </w:rPr>
        <w:t>2.to protect the Mondelēz Group’s investment in its employees and to ensure the long-term success of the business, the Employee, without the express written permission of the Company’s chief human resources officer, will not directly or indirectly solicit, hire, recruit, attempt to hire or recruit, or induce the termination of employment of any employee of the Mondelēz Group; and</w:t>
      </w:r>
    </w:p>
    <w:p>
      <w:pPr>
        <w:pStyle w:val="TextBody"/>
        <w:bidi w:val="0"/>
        <w:spacing w:lineRule="auto" w:line="276" w:before="233" w:after="283"/>
        <w:ind w:left="0" w:right="0" w:hanging="288"/>
        <w:jc w:val="left"/>
        <w:rPr>
          <w:rFonts w:ascii="Times New Roman;sans-serif" w:hAnsi="Times New Roman;sans-serif"/>
          <w:b w:val="false"/>
          <w:color w:val="000000"/>
          <w:sz w:val="22"/>
        </w:rPr>
      </w:pPr>
      <w:r>
        <w:rPr>
          <w:rFonts w:ascii="Times New Roman;sans-serif" w:hAnsi="Times New Roman;sans-serif"/>
          <w:b w:val="false"/>
          <w:color w:val="000000"/>
          <w:sz w:val="22"/>
        </w:rPr>
        <w:t>3.to protect the Mondelēz Group’s investment in its development of goodwill and customers and to ensure the long-term success of the business, the Employee will not directly or indirectly solicit (including, but not limited to, e-mail, regular mail, express mail, telephone, fax, instant message, SMS text messaging and social media) or attempt to directly or indirectly solicit, contact or meet with the current or prospective customers of the Mondelēz Group for the purpose of offering or accepting goods or services similar to or competitive with those offered by the Mondelēz Group.</w:t>
      </w:r>
    </w:p>
    <w:p>
      <w:pPr>
        <w:pStyle w:val="TextBody"/>
        <w:bidi w:val="0"/>
        <w:spacing w:lineRule="auto" w:line="276" w:before="220" w:after="283"/>
        <w:jc w:val="left"/>
        <w:rPr/>
      </w:pPr>
      <w:r>
        <w:rPr>
          <w:rFonts w:ascii="Times New Roman;sans-serif" w:hAnsi="Times New Roman;sans-serif"/>
          <w:b w:val="false"/>
          <w:color w:val="000000"/>
          <w:sz w:val="22"/>
        </w:rPr>
        <w:t>The provisions contained herein in paragraph 9 are not in lieu of, but are in addition to the continuing obligation of the Employee (which the Employee acknowledges by accepting any Grant under the Plan) to not use or disclose the Mondelēz Group’s trade secrets or Confidential Information known to the Employee until any particular trade secret or Confidential Information becomes generally known (through no fault of the Employee), whereupon the restriction on use and disclosure shall cease as to that item. For purposes of this agreement, “</w:t>
      </w:r>
      <w:r>
        <w:rPr>
          <w:rFonts w:ascii="Times New Roman;sans-serif" w:hAnsi="Times New Roman;sans-serif"/>
          <w:b w:val="false"/>
          <w:color w:val="000000"/>
          <w:sz w:val="22"/>
          <w:u w:val="single"/>
        </w:rPr>
        <w:t>Confidential Information</w:t>
      </w:r>
      <w:r>
        <w:rPr>
          <w:color w:val="000000"/>
        </w:rPr>
        <w:t xml:space="preserve">” </w:t>
      </w:r>
      <w:r>
        <w:rPr>
          <w:rFonts w:ascii="Times New Roman;sans-serif" w:hAnsi="Times New Roman;sans-serif"/>
          <w:b w:val="false"/>
          <w:color w:val="000000"/>
          <w:sz w:val="22"/>
        </w:rPr>
        <w:t>includes, but is not limited to, certain sales, marketing, strategy, financial, product, personnel, manufacturing, technical and other proprietary information and material which are the property of the Mondelēz Group. The Employee understands that this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pStyle w:val="TextBody"/>
        <w:bidi w:val="0"/>
        <w:spacing w:lineRule="auto" w:line="276" w:before="237"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(b)    A main purpose of the Plan is to strengthen the alignment of long-term interests between employees and the Mondelēz Group by providing an ownership interest in the Company, and to prevent former employees whose interests become adverse to the Company from maintaining that ownership interest. By acceptance of any Grant (including the Deferred Stock Units) under the Plan, the Employee acknowledges and agrees that if the Employee breaches any of the covenants set forth in paragraph 9(a):</w:t>
      </w:r>
    </w:p>
    <w:p>
      <w:pPr>
        <w:pStyle w:val="TextBody"/>
        <w:bidi w:val="0"/>
        <w:spacing w:lineRule="auto" w:line="276" w:before="236" w:after="283"/>
        <w:ind w:left="0" w:right="0" w:hanging="288"/>
        <w:jc w:val="left"/>
        <w:rPr>
          <w:rFonts w:ascii="Times New Roman;sans-serif" w:hAnsi="Times New Roman;sans-serif"/>
          <w:b w:val="false"/>
          <w:color w:val="000000"/>
          <w:sz w:val="22"/>
        </w:rPr>
      </w:pPr>
      <w:r>
        <w:rPr>
          <w:rFonts w:ascii="Times New Roman;sans-serif" w:hAnsi="Times New Roman;sans-serif"/>
          <w:b w:val="false"/>
          <w:color w:val="000000"/>
          <w:sz w:val="22"/>
        </w:rPr>
        <w:t>1.all unvested Grants (including any unvested Deferred Stock Units) shall be immediately forfeited;</w:t>
      </w:r>
    </w:p>
    <w:p>
      <w:pPr>
        <w:pStyle w:val="TextBody"/>
        <w:bidi w:val="0"/>
        <w:spacing w:lineRule="auto" w:line="276" w:before="237" w:after="283"/>
        <w:ind w:left="0" w:right="0" w:hanging="288"/>
        <w:jc w:val="left"/>
        <w:rPr>
          <w:rFonts w:ascii="Times New Roman;sans-serif" w:hAnsi="Times New Roman;sans-serif"/>
          <w:b w:val="false"/>
          <w:color w:val="000000"/>
          <w:sz w:val="22"/>
        </w:rPr>
      </w:pPr>
      <w:r>
        <w:rPr>
          <w:rFonts w:ascii="Times New Roman;sans-serif" w:hAnsi="Times New Roman;sans-serif"/>
          <w:b w:val="false"/>
          <w:color w:val="000000"/>
          <w:sz w:val="22"/>
        </w:rPr>
        <w:t>2.the Company may cancel, rescind, suspend, withhold or otherwise limit or restrict any unexpired, unpaid or deferred Grants (including the Deferred Stock Units) at any time if the Employee is not in compliance with all terms and conditions set forth in the Plan and this Agreement including, but not limited to, paragraph 9(a);</w:t>
      </w:r>
    </w:p>
    <w:p>
      <w:pPr>
        <w:pStyle w:val="TextBody"/>
        <w:bidi w:val="0"/>
        <w:spacing w:lineRule="auto" w:line="276" w:before="229" w:after="283"/>
        <w:ind w:left="0" w:right="0" w:hanging="288"/>
        <w:jc w:val="left"/>
        <w:rPr>
          <w:rFonts w:ascii="Times New Roman;sans-serif" w:hAnsi="Times New Roman;sans-serif"/>
          <w:b w:val="false"/>
          <w:color w:val="000000"/>
          <w:sz w:val="22"/>
        </w:rPr>
      </w:pPr>
      <w:r>
        <w:rPr>
          <w:rFonts w:ascii="Times New Roman;sans-serif" w:hAnsi="Times New Roman;sans-serif"/>
          <w:b w:val="false"/>
          <w:color w:val="000000"/>
          <w:sz w:val="22"/>
        </w:rPr>
        <w:t>3.the Employee shall repay to the Mondelēz Group the net proceeds of any Plan benefit that occurs at any time after the earlier of the following two dates: (i) the date twelve (12) months immediately preceding any such violation; or (ii) the date six (6) months prior to the Employee’s termination of employment with the Mondelēz Group. The Employee shall repay to the Mondelēz Group the net proceeds in such a manner and on such terms and conditions as may be required by the Mondelēz Group, and the Mondelēz Group shall</w:t>
      </w:r>
    </w:p>
    <w:p>
      <w:pPr>
        <w:pStyle w:val="TextBody"/>
        <w:bidi w:val="0"/>
        <w:spacing w:before="4"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 entitled to set-off against the amount of any such net proceeds any amount owed to the Employee by the Mondelēz Group, in a way that is intended to avoid the application of penalties under Section 409A of the Code, if applicable, or other applicable law. For purposes of this paragraph, net proceeds shall mean the Fair Market Value of the shares of Common Stock less any Tax-Related Items; and</w:t>
      </w:r>
    </w:p>
    <w:p>
      <w:pPr>
        <w:pStyle w:val="TextBody"/>
        <w:bidi w:val="0"/>
        <w:spacing w:lineRule="auto" w:line="276" w:before="229"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 the Mondelēz Group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as the Employee acknowledges that such breach would cause the Mondelēz Group to suffer irreparable harm. The aforementioned equitable relief shall be in addition to, not in lieu of, legal remedies, monetary damages or other available forms of relief.</w:t>
      </w:r>
    </w:p>
    <w:p>
      <w:pPr>
        <w:pStyle w:val="TextBody"/>
        <w:bidi w:val="0"/>
        <w:spacing w:lineRule="auto" w:line="276" w:before="233"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(c)If any provision contained in this paragraph 9 shall for any reason, whether by application of existing law or law which may develop after the Employee’s acceptance of a Grant under the Plan be determined by a court of competent jurisdiction to be overly broad as to scope of activity, duration or territory, the Employee agrees to join the Mondelēz Group in requesting such court to construe such provision by limiting or reducing it so as to be enforceable to the extent compatible with then applicable law.</w:t>
      </w:r>
    </w:p>
    <w:p>
      <w:pPr>
        <w:pStyle w:val="TextBody"/>
        <w:bidi w:val="0"/>
        <w:spacing w:lineRule="auto" w:line="276" w:before="225" w:after="283"/>
        <w:ind w:left="0" w:right="0" w:firstLine="720"/>
        <w:jc w:val="left"/>
        <w:rPr/>
      </w:pPr>
      <w:r>
        <w:rPr>
          <w:rFonts w:ascii="Times New Roman;sans-serif" w:hAnsi="Times New Roman;sans-serif"/>
          <w:b w:val="false"/>
          <w:color w:val="000000"/>
          <w:sz w:val="22"/>
        </w:rPr>
        <w:t>(d)</w:t>
      </w:r>
      <w:r>
        <w:rPr>
          <w:rFonts w:ascii="Times New Roman;sans-serif" w:hAnsi="Times New Roman;sans-serif"/>
          <w:b w:val="false"/>
          <w:color w:val="000000"/>
          <w:sz w:val="22"/>
        </w:rPr>
        <w:t>Notwithstanding the foregoing, no section of this Agreement is intended to or shall limit, prevent, impede or interfere with the Employee’s non-waivable right, without prior notice to the Company, to provide information to, participate in investigations by or testify in proceedings before any federal, state or local government subdivision or agency, including but not limited to the U.S. Equal Employment Opportunity Commission, the National Labor Relations Board, the Securities and Exchange Commission, the Occupational Safety and Health Administration, U.S. Department of Justice, the U.S. Congress, or any agency Inspector General, regarding the Mondelēz Group’s past or future conduct, or to engage in any activities protected under applicable whistleblower statutes, or to receive and fully retain a monetary award from a government-administered whistleblower award program for providing information directly to a government agency. The Employee does not need prior authorization from the Mondelēz Group to make any such reports or disclosures and is not required to notify the Mondelēz Group that the Employee has made such reports or disclosures.</w:t>
      </w:r>
    </w:p>
    <w:p>
      <w:pPr>
        <w:pStyle w:val="TextBody"/>
        <w:bidi w:val="0"/>
        <w:spacing w:lineRule="auto" w:line="276" w:before="226" w:after="283"/>
        <w:ind w:left="0" w:right="0" w:firstLine="720"/>
        <w:jc w:val="left"/>
        <w:rPr/>
      </w:pPr>
      <w:r>
        <w:rPr>
          <w:rFonts w:ascii="Times New Roman;sans-serif" w:hAnsi="Times New Roman;sans-serif"/>
          <w:b w:val="false"/>
          <w:color w:val="000000"/>
          <w:sz w:val="22"/>
        </w:rPr>
        <w:t>(e)</w:t>
      </w:r>
      <w:r>
        <w:rPr>
          <w:rFonts w:ascii="Times New Roman;sans-serif" w:hAnsi="Times New Roman;sans-serif"/>
          <w:b w:val="false"/>
          <w:color w:val="000000"/>
          <w:sz w:val="22"/>
        </w:rPr>
        <w:t>The Employee is hereby advised in writing to consult with an attorney before entering into the covenants outlined in this Section 9. The Employee acknowledges that prior to acceptance of this Agreement, the Employee has been advised by the Company of the Employee's right to seek independent advice from an attorney of the Employee's own selection regarding this Agreement, including the restraints imposed upon him or her pursuant to this Section 9. The Employee acknowledges that they have entered into this Agreement knowingly and voluntarily and with full knowledge and understanding of the provisions of this Agreement after being given the opportunity to consult with counsel. The Employee further represents that in entering into this Agreement, the Employee is not relying on any statements or representations made by any of the Company's directors, officers, employees or agents which are not expressly set forth herein, and that the Employee is relying only upon their own judgment and any advice provided by the Employee's attorney. The Employee acknowledges he or she has been provided at minimum 14 calendar days to review the provisions contained herein but may voluntarily waive this period and sign prior to the 14 calendar day period lapsing.</w:t>
      </w:r>
    </w:p>
    <w:p>
      <w:pPr>
        <w:pStyle w:val="TextBody"/>
        <w:bidi w:val="0"/>
        <w:spacing w:lineRule="auto" w:line="276" w:before="236"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(f)For purposes of this Section 9, the Company and any member of the Mondelēz Group shall be deemed to be third-party beneficiaries with the right to seek enforcement of any of the provisions</w:t>
      </w:r>
    </w:p>
    <w:p>
      <w:pPr>
        <w:pStyle w:val="TextBody"/>
        <w:bidi w:val="0"/>
        <w:spacing w:lineRule="auto" w:line="271" w:before="44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8" w:before="6" w:after="283"/>
        <w:jc w:val="left"/>
        <w:rPr>
          <w:rFonts w:ascii="Times New Roman;sans-serif" w:hAnsi="Times New Roman;sans-serif"/>
          <w:b w:val="false"/>
          <w:color w:val="000000"/>
          <w:sz w:val="22"/>
        </w:rPr>
      </w:pPr>
      <w:r>
        <w:rPr>
          <w:rFonts w:ascii="Times New Roman;sans-serif" w:hAnsi="Times New Roman;sans-serif"/>
          <w:b w:val="false"/>
          <w:color w:val="000000"/>
          <w:sz w:val="22"/>
        </w:rPr>
        <w:t>of this Section 9. Further, for purposes of this Section 9, references to acting directly or indirectly include acting jointly with or through another person.</w:t>
      </w:r>
    </w:p>
    <w:p>
      <w:pPr>
        <w:pStyle w:val="TextBody"/>
        <w:bidi w:val="0"/>
        <w:spacing w:lineRule="auto" w:line="276" w:before="240" w:after="283"/>
        <w:ind w:left="0" w:right="0" w:firstLine="720"/>
        <w:jc w:val="left"/>
        <w:rPr/>
      </w:pPr>
      <w:r>
        <w:rPr>
          <w:rFonts w:ascii="Times New Roman;sans-serif" w:hAnsi="Times New Roman;sans-serif"/>
          <w:b w:val="false"/>
          <w:color w:val="000000"/>
          <w:sz w:val="22"/>
        </w:rPr>
        <w:t>10.</w:t>
      </w:r>
      <w:r>
        <w:rPr>
          <w:rFonts w:ascii="Times New Roman;sans-serif" w:hAnsi="Times New Roman;sans-serif"/>
          <w:b w:val="false"/>
          <w:color w:val="000000"/>
          <w:sz w:val="22"/>
          <w:u w:val="single"/>
        </w:rPr>
        <w:t>Clawback Policy/ Forfeiture</w:t>
      </w:r>
      <w:r>
        <w:rPr>
          <w:rFonts w:ascii="Times New Roman;sans-serif" w:hAnsi="Times New Roman;sans-serif"/>
          <w:b w:val="false"/>
          <w:color w:val="000000"/>
          <w:sz w:val="22"/>
        </w:rPr>
        <w:t>. The Employee understands and agrees that in the Committee’s sole discretion, the Company may cancel all or part of the Deferred Stock Units or require repayment by the Employee to the Company of all or part of any cash payment or shares of Common Stock underlying any vested Deferred Stock Units pursuant to any recovery, recoupment, clawback and/or other forfeiture policy maintained by the Company, including the Company’s Dodd-Frank Clawback Policy, the Company’s Compensation Recoupment Policy, and a violation of paragraph 9 above, from time to time. In addition, any payments or benefits the Employee may receive hereunder shall be subject to repayment or forfeiture as may be required to comply with the requirements under the U.S. Securities Act of 1933, as amended (the “</w:t>
      </w:r>
      <w:r>
        <w:rPr>
          <w:rFonts w:ascii="Times New Roman;sans-serif" w:hAnsi="Times New Roman;sans-serif"/>
          <w:b w:val="false"/>
          <w:color w:val="000000"/>
          <w:sz w:val="22"/>
          <w:u w:val="single"/>
        </w:rPr>
        <w:t>Securities Act</w:t>
      </w:r>
      <w:r>
        <w:rPr>
          <w:color w:val="000000"/>
        </w:rPr>
        <w:t>”</w:t>
      </w:r>
      <w:r>
        <w:rPr>
          <w:rFonts w:ascii="Times New Roman;sans-serif" w:hAnsi="Times New Roman;sans-serif"/>
          <w:b w:val="false"/>
          <w:color w:val="000000"/>
          <w:sz w:val="22"/>
        </w:rPr>
        <w:t>), the Exchange Act, rules promulgated by the Commission, any other applicable law, or any securities exchange on which the Common Stock is listed or traded, as may be in effect from time to time. In connection with the enforcement of such clawback policy, the Employee hereby expressly acknowledges and agrees that the Company shall have the right to reduce, cancel, or withhold against outstanding, unvested, vested, or future cash or equity-based compensation owed or due to the Employee, to the maximum extent permitted under applicable law. No such recovery will be an event giving rise to a right to resign for Good Reason or be deemed a “constructive termination” (or any similar term) as such terms are used in any agreement between the Employee and the Company or under any severance plans applicable to the Employee.</w:t>
      </w:r>
    </w:p>
    <w:p>
      <w:pPr>
        <w:pStyle w:val="TextBody"/>
        <w:bidi w:val="0"/>
        <w:spacing w:lineRule="auto" w:line="276" w:before="236" w:after="283"/>
        <w:ind w:left="0" w:right="0" w:firstLine="720"/>
        <w:jc w:val="left"/>
        <w:rPr/>
      </w:pPr>
      <w:r>
        <w:rPr>
          <w:rFonts w:ascii="Times New Roman;sans-serif" w:hAnsi="Times New Roman;sans-serif"/>
          <w:b w:val="false"/>
          <w:color w:val="000000"/>
          <w:sz w:val="22"/>
        </w:rPr>
        <w:t>11.</w:t>
      </w:r>
      <w:r>
        <w:rPr>
          <w:rFonts w:ascii="Times New Roman;sans-serif" w:hAnsi="Times New Roman;sans-serif"/>
          <w:b w:val="false"/>
          <w:color w:val="000000"/>
          <w:sz w:val="22"/>
          <w:u w:val="single"/>
        </w:rPr>
        <w:t>Original Issue or Transfer Taxes</w:t>
      </w:r>
      <w:r>
        <w:rPr>
          <w:rFonts w:ascii="Times New Roman;sans-serif" w:hAnsi="Times New Roman;sans-serif"/>
          <w:b w:val="false"/>
          <w:color w:val="000000"/>
          <w:sz w:val="22"/>
        </w:rPr>
        <w:t>. The Company shall pay all original issue or transfer taxes and all fees and expenses incident to the delivery of the shares of Common Stock underlying the vested Deferred Stock Units, except as otherwise provided in paragraph 5.</w:t>
      </w:r>
    </w:p>
    <w:p>
      <w:pPr>
        <w:pStyle w:val="TextBody"/>
        <w:bidi w:val="0"/>
        <w:spacing w:lineRule="auto" w:line="276" w:before="242" w:after="283"/>
        <w:ind w:left="0" w:right="0" w:firstLine="720"/>
        <w:jc w:val="left"/>
        <w:rPr/>
      </w:pPr>
      <w:r>
        <w:rPr>
          <w:rFonts w:ascii="Times New Roman;sans-serif" w:hAnsi="Times New Roman;sans-serif"/>
          <w:b w:val="false"/>
          <w:color w:val="000000"/>
          <w:sz w:val="22"/>
        </w:rPr>
        <w:t>12.</w:t>
      </w:r>
      <w:r>
        <w:rPr>
          <w:rFonts w:ascii="Times New Roman;sans-serif" w:hAnsi="Times New Roman;sans-serif"/>
          <w:b w:val="false"/>
          <w:color w:val="000000"/>
          <w:sz w:val="22"/>
          <w:u w:val="single"/>
        </w:rPr>
        <w:t>Grant Confers No Rights to Continued Employment</w:t>
      </w:r>
      <w:r>
        <w:rPr>
          <w:rFonts w:ascii="Times New Roman;sans-serif" w:hAnsi="Times New Roman;sans-serif"/>
          <w:b w:val="false"/>
          <w:color w:val="000000"/>
          <w:sz w:val="22"/>
        </w:rPr>
        <w:t>. Nothing contained in the Plan or this Agreement (including the country-specific terms set forth in Appendix A to this Agreement) shall give any Employee the right to be retained in the employment of any member of the Mondelēz Group, affect the right of any Employer to terminate any Employee, or be interpreted as forming or amending an employment or service contract with any member of the Mondelēz Group. The adoption and maintenance of the Plan shall not constitute an inducement to, or condition of, the employment of the Employee.</w:t>
      </w:r>
    </w:p>
    <w:p>
      <w:pPr>
        <w:pStyle w:val="TextBody"/>
        <w:bidi w:val="0"/>
        <w:spacing w:lineRule="auto" w:line="276" w:before="241" w:after="283"/>
        <w:ind w:left="0" w:right="0" w:firstLine="720"/>
        <w:jc w:val="left"/>
        <w:rPr/>
      </w:pPr>
      <w:r>
        <w:rPr>
          <w:rFonts w:ascii="Times New Roman;sans-serif" w:hAnsi="Times New Roman;sans-serif"/>
          <w:b w:val="false"/>
          <w:color w:val="000000"/>
          <w:sz w:val="22"/>
        </w:rPr>
        <w:t>13.</w:t>
      </w:r>
      <w:r>
        <w:rPr>
          <w:rFonts w:ascii="Times New Roman;sans-serif" w:hAnsi="Times New Roman;sans-serif"/>
          <w:b w:val="false"/>
          <w:color w:val="000000"/>
          <w:sz w:val="22"/>
          <w:u w:val="single"/>
        </w:rPr>
        <w:t>Nature of the Grant</w:t>
      </w:r>
      <w:r>
        <w:rPr>
          <w:rFonts w:ascii="Times New Roman;sans-serif" w:hAnsi="Times New Roman;sans-serif"/>
          <w:b w:val="false"/>
          <w:color w:val="000000"/>
          <w:sz w:val="22"/>
        </w:rPr>
        <w:t>. In accepting the Deferred Stock Units, the Employee acknowledges, understands, and agrees that:</w:t>
      </w:r>
    </w:p>
    <w:p>
      <w:pPr>
        <w:pStyle w:val="TextBody"/>
        <w:bidi w:val="0"/>
        <w:spacing w:lineRule="auto" w:line="276" w:before="237"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(a)the Plan is established voluntarily by the Company, it is discretionary in nature and it may be modified, amended, suspended or terminated by the Company at any time, to the extent permitted by the Plan;</w:t>
      </w:r>
    </w:p>
    <w:p>
      <w:pPr>
        <w:pStyle w:val="TextBody"/>
        <w:bidi w:val="0"/>
        <w:spacing w:lineRule="auto" w:line="276" w:before="236"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(b)the Grant is exceptional, voluntary and occasional and does not create any contractual or other right to receive future Grants, or benefits in lieu of Deferred Stock Units, even if Deferred Stock Units have been granted in the past;</w:t>
      </w:r>
    </w:p>
    <w:p>
      <w:pPr>
        <w:pStyle w:val="TextBody"/>
        <w:bidi w:val="0"/>
        <w:spacing w:lineRule="auto" w:line="276" w:before="236"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(c)all decisions with respect to future Grants, if any, will be at the sole discretion of the Committee;</w:t>
      </w:r>
    </w:p>
    <w:p>
      <w:pPr>
        <w:pStyle w:val="TextBody"/>
        <w:bidi w:val="0"/>
        <w:spacing w:lineRule="auto" w:line="268" w:before="247"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(d)the Employee’s participation in the Plan is voluntary;</w:t>
      </w:r>
    </w:p>
    <w:p>
      <w:pPr>
        <w:pStyle w:val="TextBody"/>
        <w:bidi w:val="0"/>
        <w:spacing w:lineRule="auto" w:line="271" w:before="1234"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8"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(e)the Deferred Stock Units and the shares of Common Stock subject to the Deferred Stock Units, and the income and value of same, are not intended to replace any pension rights or compensation;</w:t>
      </w:r>
    </w:p>
    <w:p>
      <w:pPr>
        <w:pStyle w:val="TextBody"/>
        <w:bidi w:val="0"/>
        <w:spacing w:lineRule="auto" w:line="276" w:before="238"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(f)the Grant and the shares of Common Stock subject to the Deferred Stock Units, and the income and value of same, are not part of normal or expected compensation or salary for purposes of calculating any severance, resignation, termination, redundancy, dismissal, end-of-service payments, holiday pay, bonuses, long-service awards, leave-related payments, pension, retirement or welfare benefits or similar mandatory payments;</w:t>
      </w:r>
    </w:p>
    <w:p>
      <w:pPr>
        <w:pStyle w:val="TextBody"/>
        <w:bidi w:val="0"/>
        <w:spacing w:lineRule="auto" w:line="278" w:before="234"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(g)the future value of the underlying shares of Common Stock is unknown, indeterminable and cannot be predicted;</w:t>
      </w:r>
    </w:p>
    <w:p>
      <w:pPr>
        <w:pStyle w:val="TextBody"/>
        <w:bidi w:val="0"/>
        <w:spacing w:lineRule="auto" w:line="276" w:before="236"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(h)unless otherwise agreed with the Company, the Deferred Stock Units and the shares of Common Stock underlying the Deferred Stock Units, and the income and value of same, are not granted as consideration for, or in connection with, the service the Employee may provide as a director of any entity of the Mondelēz Group;</w:t>
      </w:r>
    </w:p>
    <w:p>
      <w:pPr>
        <w:pStyle w:val="TextBody"/>
        <w:bidi w:val="0"/>
        <w:spacing w:lineRule="auto" w:line="276" w:before="238"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(i)the Employee understands and agrees that the Employee should consult with the Employee’s own personal tax, legal and financial advisors regarding the Employee’s participation in the Plan before taking any action related to the Plan and that the Company is not providing any tax, legal or financial advice, nor is the Company making any recommendations regarding the Employee’s participation in the Plan or Employee’s acquisition or sale of the underlying shares of Common Stock;</w:t>
      </w:r>
    </w:p>
    <w:p>
      <w:pPr>
        <w:pStyle w:val="TextBody"/>
        <w:bidi w:val="0"/>
        <w:spacing w:lineRule="auto" w:line="276" w:before="237"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(j)unless otherwise provided in the Plan or by the Company in its discretion, the Grant of Deferred Stock Units and the benefits evidenced by this Agreement do not create any entitlement to have the Deferred Stock Units or any such benefits transferred to, or assumed by, another company, nor to be exchanged, cashed out or substituted for, in connection with any corporate transaction affecting the Company’s Common Stock;</w:t>
      </w:r>
    </w:p>
    <w:p>
      <w:pPr>
        <w:pStyle w:val="TextBody"/>
        <w:bidi w:val="0"/>
        <w:spacing w:lineRule="auto" w:line="276" w:before="243"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(k)the Deferred Stock Units and the shares of Common Stock subject to the Deferred Stock Units, and the income and value of same, are not part of normal or expected compensation or salary for any purpose;</w:t>
      </w:r>
    </w:p>
    <w:p>
      <w:pPr>
        <w:pStyle w:val="TextBody"/>
        <w:bidi w:val="0"/>
        <w:spacing w:lineRule="auto" w:line="276" w:before="242"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(l)neither the Company, the Employer nor any member of the Mondelēz Group shall be liable for any foreign exchange rate fluctuation between the Employee’s local currency and the United States Dollar that may affect the value of the Deferred Stock Units or any shares of Common Stock delivered to the Employee upon vesting of the Deferred Stock Units or of any proceeds resulting from the Employee’s sale of such shares; and</w:t>
      </w:r>
    </w:p>
    <w:p>
      <w:pPr>
        <w:pStyle w:val="TextBody"/>
        <w:bidi w:val="0"/>
        <w:spacing w:lineRule="auto" w:line="276" w:before="242" w:after="283"/>
        <w:ind w:left="0" w:right="0" w:firstLine="1440"/>
        <w:jc w:val="left"/>
        <w:rPr>
          <w:rFonts w:ascii="Times New Roman;sans-serif" w:hAnsi="Times New Roman;sans-serif"/>
          <w:b w:val="false"/>
          <w:color w:val="000000"/>
          <w:sz w:val="22"/>
        </w:rPr>
      </w:pPr>
      <w:r>
        <w:rPr>
          <w:rFonts w:ascii="Times New Roman;sans-serif" w:hAnsi="Times New Roman;sans-serif"/>
          <w:b w:val="false"/>
          <w:color w:val="000000"/>
          <w:sz w:val="22"/>
        </w:rPr>
        <w:t>(m)no claim or entitlement to compensation or damages shall arise from forfeiture of the Deferred Stock Units or the recoupment of any shares of Common Stock acquired under the Plan resulting from (a) the termination of the Employee’s employment or other service relationship by the Company or the Employer (for any reason whatsoever, whether or not later found to be invalid or in breach of employment laws in the jurisdiction where the Employee is employed or the terms of his or her employment agreement, if any); and/or (b) the application of any recoupment policy or any recovery or clawback policy otherwise required by law.</w:t>
      </w:r>
    </w:p>
    <w:p>
      <w:pPr>
        <w:pStyle w:val="TextBody"/>
        <w:bidi w:val="0"/>
        <w:spacing w:lineRule="auto" w:line="271" w:before="246" w:after="283"/>
        <w:ind w:left="0" w:right="0" w:firstLine="720"/>
        <w:jc w:val="left"/>
        <w:rPr/>
      </w:pPr>
      <w:r>
        <w:rPr>
          <w:rFonts w:ascii="Times New Roman;sans-serif" w:hAnsi="Times New Roman;sans-serif"/>
          <w:b w:val="false"/>
          <w:color w:val="000000"/>
          <w:sz w:val="22"/>
        </w:rPr>
        <w:t>14.    </w:t>
      </w:r>
      <w:r>
        <w:rPr>
          <w:rFonts w:ascii="Times New Roman;sans-serif" w:hAnsi="Times New Roman;sans-serif"/>
          <w:b/>
          <w:i/>
          <w:color w:val="000000"/>
          <w:sz w:val="22"/>
          <w:u w:val="single"/>
        </w:rPr>
        <w:t>Data Privacy</w:t>
      </w:r>
      <w:r>
        <w:rPr>
          <w:rFonts w:ascii="Times New Roman;sans-serif" w:hAnsi="Times New Roman;sans-serif"/>
          <w:b/>
          <w:i/>
          <w:color w:val="000000"/>
          <w:sz w:val="22"/>
        </w:rPr>
        <w:t>. The Employee hereby explicitly and unambiguously consents to the collection, use and transfer, in electronic or other form, of his or her personal data as described in this</w:t>
      </w:r>
    </w:p>
    <w:p>
      <w:pPr>
        <w:pStyle w:val="TextBody"/>
        <w:bidi w:val="0"/>
        <w:spacing w:lineRule="auto" w:line="271" w:before="749" w:after="283"/>
        <w:jc w:val="center"/>
        <w:rPr>
          <w:rFonts w:ascii="Times New Roman;sans-serif" w:hAnsi="Times New Roman;sans-serif"/>
          <w:b/>
          <w:color w:val="000000"/>
          <w:sz w:val="18"/>
        </w:rPr>
      </w:pPr>
      <w:r>
        <w:rPr>
          <w:rFonts w:ascii="Times New Roman;sans-serif" w:hAnsi="Times New Roman;sans-serif"/>
          <w:b/>
          <w:color w:val="000000"/>
          <w:sz w:val="18"/>
        </w:rPr>
        <w:t>8</w:t>
      </w:r>
    </w:p>
    <w:p>
      <w:pPr>
        <w:pStyle w:val="TextBody"/>
        <w:bidi w:val="0"/>
        <w:spacing w:lineRule="auto" w:line="271" w:before="4" w:after="283"/>
        <w:jc w:val="left"/>
        <w:rPr>
          <w:rFonts w:ascii="Times New Roman;sans-serif" w:hAnsi="Times New Roman;sans-serif"/>
          <w:b/>
          <w:color w:val="000000"/>
          <w:sz w:val="18"/>
        </w:rPr>
      </w:pPr>
      <w:r>
        <w:rPr>
          <w:rFonts w:ascii="Times New Roman;sans-serif" w:hAnsi="Times New Roman;sans-serif"/>
          <w:b/>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32" w:after="283"/>
        <w:jc w:val="left"/>
        <w:rPr/>
      </w:pPr>
      <w:r>
        <w:rPr>
          <w:rFonts w:ascii="Times New Roman;sans-serif" w:hAnsi="Times New Roman;sans-serif"/>
          <w:b/>
          <w:i/>
          <w:color w:val="000000"/>
          <w:sz w:val="22"/>
        </w:rPr>
        <w:t xml:space="preserve">Agreement and any other grant materials </w:t>
      </w:r>
      <w:r>
        <w:rPr>
          <w:rFonts w:ascii="Times New Roman;sans-serif" w:hAnsi="Times New Roman;sans-serif"/>
          <w:b/>
          <w:i/>
          <w:color w:val="000000"/>
          <w:sz w:val="24"/>
        </w:rPr>
        <w:t>(“</w:t>
      </w:r>
      <w:r>
        <w:rPr>
          <w:rFonts w:ascii="Times New Roman;sans-serif" w:hAnsi="Times New Roman;sans-serif"/>
          <w:b/>
          <w:i/>
          <w:color w:val="000000"/>
          <w:sz w:val="22"/>
          <w:u w:val="single"/>
        </w:rPr>
        <w:t>Data</w:t>
      </w:r>
      <w:r>
        <w:rPr>
          <w:color w:val="000000"/>
        </w:rPr>
        <w:t>”</w:t>
      </w:r>
      <w:r>
        <w:rPr>
          <w:rFonts w:ascii="Times New Roman;sans-serif" w:hAnsi="Times New Roman;sans-serif"/>
          <w:b/>
          <w:i/>
          <w:color w:val="000000"/>
          <w:sz w:val="24"/>
        </w:rPr>
        <w:t xml:space="preserve">) </w:t>
      </w:r>
      <w:r>
        <w:rPr>
          <w:rFonts w:ascii="Times New Roman;sans-serif" w:hAnsi="Times New Roman;sans-serif"/>
          <w:b/>
          <w:i/>
          <w:color w:val="000000"/>
          <w:sz w:val="22"/>
        </w:rPr>
        <w:t xml:space="preserve">by and among the </w:t>
      </w:r>
      <w:r>
        <w:rPr>
          <w:rFonts w:ascii="Times New Roman;sans-serif" w:hAnsi="Times New Roman;sans-serif"/>
          <w:b/>
          <w:i/>
          <w:color w:val="000000"/>
          <w:sz w:val="24"/>
        </w:rPr>
        <w:t xml:space="preserve">Mondelēz Group </w:t>
      </w:r>
      <w:r>
        <w:rPr>
          <w:rFonts w:ascii="Times New Roman;sans-serif" w:hAnsi="Times New Roman;sans-serif"/>
          <w:b/>
          <w:i/>
          <w:color w:val="000000"/>
          <w:sz w:val="22"/>
        </w:rPr>
        <w:t>for the exclusive purpose of implementing, administering and managing E</w:t>
      </w:r>
      <w:r>
        <w:rPr>
          <w:rFonts w:ascii="Times New Roman;sans-serif" w:hAnsi="Times New Roman;sans-serif"/>
          <w:b/>
          <w:i/>
          <w:color w:val="000000"/>
          <w:sz w:val="24"/>
        </w:rPr>
        <w:t>mployee’s participation in the Plan.</w:t>
      </w:r>
    </w:p>
    <w:p>
      <w:pPr>
        <w:pStyle w:val="TextBody"/>
        <w:bidi w:val="0"/>
        <w:spacing w:lineRule="auto" w:line="264" w:before="235" w:after="283"/>
        <w:ind w:left="0" w:right="0" w:firstLine="720"/>
        <w:jc w:val="left"/>
        <w:rPr/>
      </w:pPr>
      <w:r>
        <w:rPr>
          <w:rFonts w:ascii="Times New Roman;sans-serif" w:hAnsi="Times New Roman;sans-serif"/>
          <w:b/>
          <w:i/>
          <w:color w:val="000000"/>
          <w:sz w:val="22"/>
        </w:rPr>
        <w:t xml:space="preserve">The Employee understands that the </w:t>
      </w:r>
      <w:r>
        <w:rPr>
          <w:rFonts w:ascii="Times New Roman;sans-serif" w:hAnsi="Times New Roman;sans-serif"/>
          <w:b/>
          <w:i/>
          <w:color w:val="000000"/>
          <w:sz w:val="24"/>
        </w:rPr>
        <w:t xml:space="preserve">Mondelēz Group </w:t>
      </w:r>
      <w:r>
        <w:rPr>
          <w:rFonts w:ascii="Times New Roman;sans-serif" w:hAnsi="Times New Roman;sans-serif"/>
          <w:b/>
          <w:i/>
          <w:color w:val="000000"/>
          <w:sz w:val="22"/>
        </w:rPr>
        <w:t>may hold certain personal information about him or her, i</w:t>
      </w:r>
      <w:r>
        <w:rPr>
          <w:rFonts w:ascii="Times New Roman;sans-serif" w:hAnsi="Times New Roman;sans-serif"/>
          <w:b/>
          <w:i/>
          <w:color w:val="000000"/>
          <w:sz w:val="24"/>
        </w:rPr>
        <w:t xml:space="preserve">ncluding, but not limited to, the Employee’s name, home address, email address and </w:t>
      </w:r>
      <w:r>
        <w:rPr>
          <w:rFonts w:ascii="Times New Roman;sans-serif" w:hAnsi="Times New Roman;sans-serif"/>
          <w:b/>
          <w:i/>
          <w:color w:val="000000"/>
          <w:sz w:val="22"/>
        </w:rPr>
        <w:t>telephone number, date of birth, social security, passport or insurance number or other identification number (e.g., resident registration number), salary, nationality, job title, any shares of stock or directorships held in the Company, and details of the Deferred Stock Units or any other entitlement to shares of Common Stock or other equivalent benefits awarded, canceled, purchased, exercised, vested, unvested or outstandin</w:t>
      </w:r>
      <w:r>
        <w:rPr>
          <w:rFonts w:ascii="Times New Roman;sans-serif" w:hAnsi="Times New Roman;sans-serif"/>
          <w:b/>
          <w:i/>
          <w:color w:val="000000"/>
          <w:sz w:val="24"/>
        </w:rPr>
        <w:t xml:space="preserve">g in the Employee’s favor, for the exclusive purpose of implementing, </w:t>
      </w:r>
      <w:r>
        <w:rPr>
          <w:rFonts w:ascii="Times New Roman;sans-serif" w:hAnsi="Times New Roman;sans-serif"/>
          <w:b/>
          <w:i/>
          <w:color w:val="000000"/>
          <w:sz w:val="22"/>
        </w:rPr>
        <w:t>administering and managing the Plan.</w:t>
      </w:r>
    </w:p>
    <w:p>
      <w:pPr>
        <w:pStyle w:val="TextBody"/>
        <w:bidi w:val="0"/>
        <w:spacing w:lineRule="auto" w:line="288" w:before="100" w:after="100"/>
        <w:ind w:left="0" w:right="0" w:firstLine="720"/>
        <w:jc w:val="left"/>
        <w:rPr/>
      </w:pPr>
      <w:r>
        <w:rPr>
          <w:rFonts w:ascii="Times New Roman;sans-serif" w:hAnsi="Times New Roman;sans-serif"/>
          <w:b/>
          <w:i/>
          <w:color w:val="000000"/>
          <w:sz w:val="22"/>
        </w:rPr>
        <w:t xml:space="preserve">The Employee understands that Data will be transferred to Morgan Stanley Smith Barney, LLC </w:t>
      </w:r>
      <w:r>
        <w:rPr>
          <w:rFonts w:ascii="Times New Roman;sans-serif" w:hAnsi="Times New Roman;sans-serif"/>
          <w:b/>
          <w:i/>
          <w:color w:val="000000"/>
          <w:sz w:val="24"/>
        </w:rPr>
        <w:t>and its affiliates (“</w:t>
      </w:r>
      <w:r>
        <w:rPr>
          <w:rFonts w:ascii="Times New Roman;sans-serif" w:hAnsi="Times New Roman;sans-serif"/>
          <w:b/>
          <w:i/>
          <w:color w:val="000000"/>
          <w:sz w:val="22"/>
        </w:rPr>
        <w:t>Morgan Stanley</w:t>
      </w:r>
      <w:r>
        <w:rPr>
          <w:color w:val="000000"/>
        </w:rPr>
        <w:t>”</w:t>
      </w:r>
      <w:r>
        <w:rPr>
          <w:rFonts w:ascii="Times New Roman;sans-serif" w:hAnsi="Times New Roman;sans-serif"/>
          <w:b/>
          <w:i/>
          <w:color w:val="000000"/>
          <w:sz w:val="22"/>
        </w:rPr>
        <w:t xml:space="preserve">), or such other stock plan service provider as may be selected by the Company in the future, which is assisting the Company with the implementation, administration and management of the Plan. The Employee understands that Data may also be transferred to the </w:t>
      </w:r>
      <w:r>
        <w:rPr>
          <w:rFonts w:ascii="Times New Roman;sans-serif" w:hAnsi="Times New Roman;sans-serif"/>
          <w:b/>
          <w:i/>
          <w:color w:val="000000"/>
          <w:sz w:val="24"/>
        </w:rPr>
        <w:t>Company’s independ</w:t>
      </w:r>
      <w:r>
        <w:rPr>
          <w:rFonts w:ascii="Times New Roman;sans-serif" w:hAnsi="Times New Roman;sans-serif"/>
          <w:b/>
          <w:i/>
          <w:color w:val="000000"/>
          <w:sz w:val="22"/>
        </w:rPr>
        <w:t xml:space="preserve">ent registered public accounting firm, PricewaterhouseCoopers LLP, KPMG LLP or such other public accounting firm that may be engaged by the Company in the future. The Employee understands that the recipients of the Data may be located in the United States or elsewhere, </w:t>
      </w:r>
      <w:r>
        <w:rPr>
          <w:rFonts w:ascii="Times New Roman;sans-serif" w:hAnsi="Times New Roman;sans-serif"/>
          <w:b/>
          <w:i/>
          <w:color w:val="000000"/>
          <w:sz w:val="24"/>
        </w:rPr>
        <w:t>and that the recipients’ country (e.g., the United States) may have different data privacy laws an</w:t>
      </w:r>
      <w:r>
        <w:rPr>
          <w:rFonts w:ascii="Times New Roman;sans-serif" w:hAnsi="Times New Roman;sans-serif"/>
          <w:b/>
          <w:i/>
          <w:color w:val="000000"/>
          <w:sz w:val="22"/>
        </w:rPr>
        <w:t xml:space="preserve">d </w:t>
      </w:r>
      <w:r>
        <w:rPr>
          <w:rFonts w:ascii="Times New Roman;sans-serif" w:hAnsi="Times New Roman;sans-serif"/>
          <w:b/>
          <w:i/>
          <w:color w:val="000000"/>
          <w:sz w:val="24"/>
        </w:rPr>
        <w:t xml:space="preserve">protections than Employee’s country. If the Employee resides outside the United States, the Employee </w:t>
      </w:r>
      <w:r>
        <w:rPr>
          <w:rFonts w:ascii="Times New Roman;sans-serif" w:hAnsi="Times New Roman;sans-serif"/>
          <w:b/>
          <w:i/>
          <w:color w:val="000000"/>
          <w:sz w:val="22"/>
        </w:rPr>
        <w:t xml:space="preserve">understands that he or she may request a list with the names and addresses of any potential recipients </w:t>
      </w:r>
      <w:r>
        <w:rPr>
          <w:rFonts w:ascii="Times New Roman;sans-serif" w:hAnsi="Times New Roman;sans-serif"/>
          <w:b/>
          <w:i/>
          <w:color w:val="000000"/>
          <w:sz w:val="24"/>
        </w:rPr>
        <w:t>of the Data by contacting the Employee’s local hu</w:t>
      </w:r>
      <w:r>
        <w:rPr>
          <w:rFonts w:ascii="Times New Roman;sans-serif" w:hAnsi="Times New Roman;sans-serif"/>
          <w:b/>
          <w:i/>
          <w:color w:val="000000"/>
          <w:sz w:val="22"/>
        </w:rPr>
        <w:t xml:space="preserve">man resources representative. The Employee authorizes the Company, Morgan Stanley, PricewaterhouseCoopers LLP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w:t>
      </w:r>
      <w:r>
        <w:rPr>
          <w:rFonts w:ascii="Times New Roman;sans-serif" w:hAnsi="Times New Roman;sans-serif"/>
          <w:b/>
          <w:i/>
          <w:color w:val="000000"/>
          <w:sz w:val="24"/>
        </w:rPr>
        <w:t xml:space="preserve">managing the Employee’s participation </w:t>
      </w:r>
      <w:r>
        <w:rPr>
          <w:rFonts w:ascii="Times New Roman;sans-serif" w:hAnsi="Times New Roman;sans-serif"/>
          <w:b/>
          <w:i/>
          <w:color w:val="000000"/>
          <w:sz w:val="22"/>
        </w:rPr>
        <w:t xml:space="preserve">in the Plan. The Employee understands that Data will be held only as long as is necessary to </w:t>
      </w:r>
      <w:r>
        <w:rPr>
          <w:rFonts w:ascii="Times New Roman;sans-serif" w:hAnsi="Times New Roman;sans-serif"/>
          <w:b/>
          <w:i/>
          <w:color w:val="000000"/>
          <w:sz w:val="24"/>
        </w:rPr>
        <w:t xml:space="preserve">implement, administer and manage the Employee’s participation in the Plan. If the Employee resides </w:t>
      </w:r>
      <w:r>
        <w:rPr>
          <w:rFonts w:ascii="Times New Roman;sans-serif" w:hAnsi="Times New Roman;sans-serif"/>
          <w:b/>
          <w:i/>
          <w:color w:val="000000"/>
          <w:sz w:val="22"/>
        </w:rPr>
        <w:t xml:space="preserve">outside the United States, the Employee understands that he or she may, at any time, view Data, request additional information about the storage and processing of Data, require any necessary amendments to Data or refuse or withdraw the consents herein, in any case without cost, by contacting </w:t>
      </w:r>
      <w:r>
        <w:rPr>
          <w:rFonts w:ascii="Times New Roman;sans-serif" w:hAnsi="Times New Roman;sans-serif"/>
          <w:b/>
          <w:i/>
          <w:color w:val="000000"/>
          <w:sz w:val="24"/>
        </w:rPr>
        <w:t xml:space="preserve">in writing the Employee’s local human resources representative. </w:t>
      </w:r>
      <w:r>
        <w:rPr>
          <w:rFonts w:ascii="Times New Roman;sans-serif" w:hAnsi="Times New Roman;sans-serif"/>
          <w:b/>
          <w:i/>
          <w:color w:val="000000"/>
          <w:sz w:val="22"/>
        </w:rPr>
        <w:t>Further, the Employee understands that the Employee is providing the consents herein on a purely voluntary basis. If the Employee does not consent, or if the Employee later seek</w:t>
      </w:r>
      <w:r>
        <w:rPr>
          <w:rFonts w:ascii="Times New Roman;sans-serif" w:hAnsi="Times New Roman;sans-serif"/>
          <w:b/>
          <w:i/>
          <w:color w:val="000000"/>
          <w:sz w:val="24"/>
        </w:rPr>
        <w:t xml:space="preserve">s to revoke his or her consent, the Employee’s employment </w:t>
      </w:r>
      <w:r>
        <w:rPr>
          <w:rFonts w:ascii="Times New Roman;sans-serif" w:hAnsi="Times New Roman;sans-serif"/>
          <w:b/>
          <w:i/>
          <w:color w:val="000000"/>
          <w:sz w:val="22"/>
        </w:rPr>
        <w:t xml:space="preserve">status or service with the Employer will not be affected; the only consequence of refusing or </w:t>
      </w:r>
      <w:r>
        <w:rPr>
          <w:rFonts w:ascii="Times New Roman;sans-serif" w:hAnsi="Times New Roman;sans-serif"/>
          <w:b/>
          <w:i/>
          <w:color w:val="000000"/>
          <w:sz w:val="24"/>
        </w:rPr>
        <w:t xml:space="preserve">withdrawing the Employee’s consent is that the Company would not be able to grant </w:t>
      </w:r>
      <w:r>
        <w:rPr>
          <w:rFonts w:ascii="Times New Roman;sans-serif" w:hAnsi="Times New Roman;sans-serif"/>
          <w:b/>
          <w:i/>
          <w:color w:val="000000"/>
          <w:sz w:val="22"/>
        </w:rPr>
        <w:t>the Employee Deferred Stock Units or other equity awards or administer or maintain such grants. The Employee also understands that the Company has no obligation to substitute other forms of Grants or compensation in lieu of the Deferred Stock Units as a consequence of the Emplo</w:t>
      </w:r>
      <w:r>
        <w:rPr>
          <w:rFonts w:ascii="Times New Roman;sans-serif" w:hAnsi="Times New Roman;sans-serif"/>
          <w:b/>
          <w:i/>
          <w:color w:val="000000"/>
          <w:sz w:val="24"/>
        </w:rPr>
        <w:t xml:space="preserve">yee’s refusal or withdrawal of his or </w:t>
      </w:r>
      <w:r>
        <w:rPr>
          <w:rFonts w:ascii="Times New Roman;sans-serif" w:hAnsi="Times New Roman;sans-serif"/>
          <w:b/>
          <w:i/>
          <w:color w:val="000000"/>
          <w:sz w:val="22"/>
        </w:rPr>
        <w:t xml:space="preserve">her consent. Therefore, the Employee understands that refusing or withdrawing his or her consent </w:t>
      </w:r>
      <w:r>
        <w:rPr>
          <w:rFonts w:ascii="Times New Roman;sans-serif" w:hAnsi="Times New Roman;sans-serif"/>
          <w:b/>
          <w:i/>
          <w:color w:val="000000"/>
          <w:sz w:val="24"/>
        </w:rPr>
        <w:t xml:space="preserve">may affect the Employee’s ability to participate in the Plan. For more information on the </w:t>
      </w:r>
      <w:r>
        <w:rPr>
          <w:rFonts w:ascii="Times New Roman;sans-serif" w:hAnsi="Times New Roman;sans-serif"/>
          <w:b/>
          <w:i/>
          <w:color w:val="000000"/>
          <w:sz w:val="22"/>
        </w:rPr>
        <w:t>consequ</w:t>
      </w:r>
      <w:r>
        <w:rPr>
          <w:rFonts w:ascii="Times New Roman;sans-serif" w:hAnsi="Times New Roman;sans-serif"/>
          <w:b/>
          <w:i/>
          <w:color w:val="000000"/>
          <w:sz w:val="24"/>
        </w:rPr>
        <w:t>ences of the Employee’</w:t>
      </w:r>
      <w:r>
        <w:rPr>
          <w:rFonts w:ascii="Times New Roman;sans-serif" w:hAnsi="Times New Roman;sans-serif"/>
          <w:b/>
          <w:i/>
          <w:color w:val="000000"/>
          <w:sz w:val="22"/>
        </w:rPr>
        <w:t xml:space="preserve">s refusal to consent or withdrawal of consent, the Employee </w:t>
      </w:r>
      <w:r>
        <w:rPr>
          <w:rFonts w:ascii="Times New Roman;sans-serif" w:hAnsi="Times New Roman;sans-serif"/>
          <w:b/>
          <w:i/>
          <w:color w:val="000000"/>
          <w:sz w:val="24"/>
        </w:rPr>
        <w:t xml:space="preserve">understands that he or she may contact the Employee’s </w:t>
      </w:r>
      <w:r>
        <w:rPr>
          <w:rFonts w:ascii="Times New Roman;sans-serif" w:hAnsi="Times New Roman;sans-serif"/>
          <w:b/>
          <w:i/>
          <w:color w:val="000000"/>
          <w:sz w:val="22"/>
        </w:rPr>
        <w:t>local human resources representative</w:t>
      </w:r>
      <w:r>
        <w:rPr>
          <w:rFonts w:ascii="Times New Roman;sans-serif" w:hAnsi="Times New Roman;sans-serif"/>
          <w:b/>
          <w:color w:val="000000"/>
          <w:sz w:val="22"/>
        </w:rPr>
        <w:t>.</w:t>
      </w:r>
    </w:p>
    <w:p>
      <w:pPr>
        <w:pStyle w:val="TextBody"/>
        <w:bidi w:val="0"/>
        <w:spacing w:lineRule="auto" w:line="288" w:before="0" w:after="0"/>
        <w:ind w:left="0" w:right="0" w:firstLine="720"/>
        <w:jc w:val="left"/>
        <w:rPr/>
      </w:pPr>
      <w:r>
        <w:rPr>
          <w:rFonts w:ascii="Times New Roman;sans-serif" w:hAnsi="Times New Roman;sans-serif"/>
          <w:b/>
          <w:i/>
          <w:color w:val="000000"/>
          <w:sz w:val="22"/>
        </w:rPr>
        <w:t>Further, upon request of the Company or the Employer, the Employee agrees to provide an executed data privacy form (or any other agreements or consents) that the Company and/or the Employer may deem necessary to obtain from the Employee for the purpose of administering the Employee</w:t>
      </w:r>
      <w:r>
        <w:rPr>
          <w:color w:val="000000"/>
        </w:rPr>
        <w:t>’</w:t>
      </w:r>
      <w:r>
        <w:rPr>
          <w:rFonts w:ascii="Times New Roman;sans-serif" w:hAnsi="Times New Roman;sans-serif"/>
          <w:b/>
          <w:i/>
          <w:color w:val="000000"/>
          <w:sz w:val="24"/>
        </w:rPr>
        <w:t xml:space="preserve">s participation in the Plan in compliance with the data </w:t>
      </w:r>
      <w:r>
        <w:rPr>
          <w:rFonts w:ascii="Times New Roman;sans-serif" w:hAnsi="Times New Roman;sans-serif"/>
          <w:b/>
          <w:i/>
          <w:color w:val="000000"/>
          <w:sz w:val="22"/>
        </w:rPr>
        <w:t xml:space="preserve">privacy laws in the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i/>
          <w:color w:val="000000"/>
          <w:sz w:val="22"/>
        </w:rPr>
        <w:t>Employee</w:t>
      </w:r>
      <w:r>
        <w:rPr>
          <w:color w:val="000000"/>
        </w:rPr>
        <w:t>’</w:t>
      </w:r>
      <w:r>
        <w:rPr>
          <w:rFonts w:ascii="Times New Roman;sans-serif" w:hAnsi="Times New Roman;sans-serif"/>
          <w:b/>
          <w:i/>
          <w:color w:val="000000"/>
          <w:sz w:val="24"/>
        </w:rPr>
        <w:t xml:space="preserve">s </w:t>
      </w:r>
      <w:r>
        <w:rPr>
          <w:rFonts w:ascii="Times New Roman;sans-serif" w:hAnsi="Times New Roman;sans-serif"/>
          <w:b/>
          <w:i/>
          <w:color w:val="000000"/>
          <w:sz w:val="22"/>
        </w:rPr>
        <w:t>country, either now or in the future. The Employee understands and agrees that he or she will not be able to participate in the Plan if the Employee’s fails to provide any such consent or agreement as requested by the Company and/or the Employer.</w:t>
      </w:r>
    </w:p>
    <w:p>
      <w:pPr>
        <w:pStyle w:val="TextBody"/>
        <w:bidi w:val="0"/>
        <w:spacing w:lineRule="auto" w:line="276" w:before="228" w:after="283"/>
        <w:ind w:left="0" w:right="0" w:firstLine="720"/>
        <w:jc w:val="left"/>
        <w:rPr/>
      </w:pPr>
      <w:r>
        <w:rPr>
          <w:rFonts w:ascii="Times New Roman;sans-serif" w:hAnsi="Times New Roman;sans-serif"/>
          <w:b w:val="false"/>
          <w:color w:val="000000"/>
          <w:sz w:val="22"/>
        </w:rPr>
        <w:t>15.</w:t>
      </w:r>
      <w:r>
        <w:rPr>
          <w:rFonts w:ascii="Times New Roman;sans-serif" w:hAnsi="Times New Roman;sans-serif"/>
          <w:b w:val="false"/>
          <w:color w:val="000000"/>
          <w:sz w:val="22"/>
          <w:u w:val="single"/>
        </w:rPr>
        <w:t>Notices</w:t>
      </w:r>
      <w:r>
        <w:rPr>
          <w:rFonts w:ascii="Times New Roman;sans-serif" w:hAnsi="Times New Roman;sans-serif"/>
          <w:b w:val="false"/>
          <w:color w:val="000000"/>
          <w:sz w:val="22"/>
        </w:rPr>
        <w:t>. Any notice required or permitted hereunder shall be (i)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 or (ii) delivered electronically through the Company’s electronic mail system (including any notices delivered by a third-party) and shall be deemed effectively given upon such delivery. Any documents required to be given or delivered to the Employee related to current or future participation in the Plan may also be delivered through electronic means as described in paragraph 16 below.</w:t>
      </w:r>
    </w:p>
    <w:p>
      <w:pPr>
        <w:pStyle w:val="TextBody"/>
        <w:bidi w:val="0"/>
        <w:spacing w:lineRule="auto" w:line="276" w:before="233" w:after="283"/>
        <w:ind w:left="0" w:right="0" w:firstLine="720"/>
        <w:jc w:val="left"/>
        <w:rPr/>
      </w:pPr>
      <w:r>
        <w:rPr>
          <w:rFonts w:ascii="Times New Roman;sans-serif" w:hAnsi="Times New Roman;sans-serif"/>
          <w:b w:val="false"/>
          <w:color w:val="000000"/>
          <w:sz w:val="22"/>
        </w:rPr>
        <w:t>16.</w:t>
      </w:r>
      <w:r>
        <w:rPr>
          <w:rFonts w:ascii="Times New Roman;sans-serif" w:hAnsi="Times New Roman;sans-serif"/>
          <w:b w:val="false"/>
          <w:color w:val="000000"/>
          <w:sz w:val="22"/>
          <w:u w:val="single"/>
        </w:rPr>
        <w:t>Electronic Delivery and Acceptance</w:t>
      </w:r>
      <w:r>
        <w:rPr>
          <w:rFonts w:ascii="Times New Roman;sans-serif" w:hAnsi="Times New Roman;sans-serif"/>
          <w:b w:val="false"/>
          <w:color w:val="000000"/>
          <w:sz w:val="22"/>
        </w:rPr>
        <w:t>. The Company may, in its sole discretion, decide to deliver any documents related to current or future participation in the Plan by electronic means. The Employee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276" w:before="233" w:after="283"/>
        <w:ind w:left="0" w:right="0" w:firstLine="720"/>
        <w:jc w:val="left"/>
        <w:rPr/>
      </w:pPr>
      <w:r>
        <w:rPr>
          <w:rFonts w:ascii="Times New Roman;sans-serif" w:hAnsi="Times New Roman;sans-serif"/>
          <w:b w:val="false"/>
          <w:color w:val="000000"/>
          <w:sz w:val="22"/>
        </w:rPr>
        <w:t>17.</w:t>
      </w:r>
      <w:r>
        <w:rPr>
          <w:rFonts w:ascii="Times New Roman;sans-serif" w:hAnsi="Times New Roman;sans-serif"/>
          <w:b w:val="false"/>
          <w:color w:val="000000"/>
          <w:sz w:val="22"/>
          <w:u w:val="single"/>
        </w:rPr>
        <w:t>Language</w:t>
      </w:r>
      <w:r>
        <w:rPr>
          <w:rFonts w:ascii="Times New Roman;sans-serif" w:hAnsi="Times New Roman;sans-serif"/>
          <w:b w:val="false"/>
          <w:color w:val="000000"/>
          <w:sz w:val="22"/>
        </w:rPr>
        <w:t>. The Employee acknowledges that he or she is sufficiently proficient in English, or, alternatively, the Employee acknowledges that he or she will seek appropriate assistance, to understand the terms and conditions in the Agreement. Furthermore, if the Employee has received this Agreement or any other document related to the Plan translated into a language other than English and if the meaning of the translated version is different from the English version, the English version will control, unless otherwise required by applicable law.</w:t>
      </w:r>
    </w:p>
    <w:p>
      <w:pPr>
        <w:pStyle w:val="TextBody"/>
        <w:bidi w:val="0"/>
        <w:spacing w:lineRule="auto" w:line="276" w:before="229" w:after="283"/>
        <w:ind w:left="0" w:right="0" w:firstLine="720"/>
        <w:jc w:val="left"/>
        <w:rPr/>
      </w:pPr>
      <w:r>
        <w:rPr>
          <w:rFonts w:ascii="Times New Roman;sans-serif" w:hAnsi="Times New Roman;sans-serif"/>
          <w:b w:val="false"/>
          <w:color w:val="000000"/>
          <w:sz w:val="22"/>
        </w:rPr>
        <w:t>18.</w:t>
      </w:r>
      <w:r>
        <w:rPr>
          <w:rFonts w:ascii="Times New Roman;sans-serif" w:hAnsi="Times New Roman;sans-serif"/>
          <w:b w:val="false"/>
          <w:color w:val="000000"/>
          <w:sz w:val="22"/>
          <w:u w:val="single"/>
        </w:rPr>
        <w:t>Interpretation</w:t>
      </w:r>
      <w:r>
        <w:rPr>
          <w:rFonts w:ascii="Times New Roman;sans-serif" w:hAnsi="Times New Roman;sans-serif"/>
          <w:b w:val="false"/>
          <w:color w:val="000000"/>
          <w:sz w:val="22"/>
        </w:rPr>
        <w:t>. The terms and provisions of the Plan (a copy of which will be made available online or furnished to the Employee upon written request to the Corporate Secretary, Mondelēz International, Inc., 905 West Fulton Market, Suite 200, Chicago, Illinois 60607, U.S.A.) are incorporated herein by reference. To the extent any provision in the Award Statement or this Agreement is inconsistent or in conflict with any term or provision of the Plan, the Plan shall govern. The Committee shall have the right to resolve all questions that may arise in connection with the Grant or this Agreement, including whether the Employee is no longer actively employed. Any interpretation, determination or other action made or taken by the Committee regarding the Plan or this Agreement shall be final, binding and conclusive.</w:t>
      </w:r>
    </w:p>
    <w:p>
      <w:pPr>
        <w:pStyle w:val="TextBody"/>
        <w:bidi w:val="0"/>
        <w:spacing w:lineRule="auto" w:line="276" w:before="232" w:after="283"/>
        <w:ind w:left="0" w:right="0" w:firstLine="720"/>
        <w:jc w:val="left"/>
        <w:rPr/>
      </w:pPr>
      <w:r>
        <w:rPr>
          <w:rFonts w:ascii="Times New Roman;sans-serif" w:hAnsi="Times New Roman;sans-serif"/>
          <w:b w:val="false"/>
          <w:color w:val="000000"/>
          <w:sz w:val="22"/>
        </w:rPr>
        <w:t>19.</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The Company may assign any of its rights under this Agreement to single or multiple assignees, and this Agreement shall be binding upon and inure to the benefit of any successors or assigns of the Company and any person or persons who shall acquire any rights hereunder in accordance with this Agreement, the Award Statement or the Plan.</w:t>
      </w:r>
    </w:p>
    <w:p>
      <w:pPr>
        <w:pStyle w:val="TextBody"/>
        <w:bidi w:val="0"/>
        <w:spacing w:lineRule="auto" w:line="276" w:before="229" w:after="283"/>
        <w:ind w:left="0" w:right="0" w:firstLine="720"/>
        <w:jc w:val="left"/>
        <w:rPr/>
      </w:pPr>
      <w:r>
        <w:rPr>
          <w:rFonts w:ascii="Times New Roman;sans-serif" w:hAnsi="Times New Roman;sans-serif"/>
          <w:b w:val="false"/>
          <w:color w:val="000000"/>
          <w:sz w:val="22"/>
        </w:rPr>
        <w:t>20.</w:t>
      </w:r>
      <w:r>
        <w:rPr>
          <w:rFonts w:ascii="Times New Roman;sans-serif" w:hAnsi="Times New Roman;sans-serif"/>
          <w:b w:val="false"/>
          <w:color w:val="000000"/>
          <w:sz w:val="22"/>
          <w:u w:val="single"/>
        </w:rPr>
        <w:t>Entire Agreement; Governing Law</w:t>
      </w:r>
      <w:r>
        <w:rPr>
          <w:rFonts w:ascii="Times New Roman;sans-serif" w:hAnsi="Times New Roman;sans-serif"/>
          <w:b w:val="false"/>
          <w:color w:val="000000"/>
          <w:sz w:val="22"/>
        </w:rPr>
        <w:t>. The Award Statement, the Plan and this Agreement constitute the entire agreement of the parties with respect to the subject matter hereof and supersede in their entirety all prior undertakings and agreements of the Company and the Employee with respect to the subject matter hereof, and may not be modified adversely to the Employee’s interest except as provided in the Award Statement, the Plan or this Agreement or by means of a writing signed by the Company and the Employee. Nothing in the Award Statement, the Plan and this Agreement (except as expressly provided therein) is intended to confer any rights or remedies on any persons other than the parties. The Award Statement, the Plan and this Agreement are to be construed in accordance with and governed by the substantive laws of the Commonwealth of Virginia, U.S.A., without giving effect to any choice of law</w:t>
      </w:r>
    </w:p>
    <w:p>
      <w:pPr>
        <w:pStyle w:val="TextBody"/>
        <w:bidi w:val="0"/>
        <w:spacing w:before="4"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8" w:after="283"/>
        <w:jc w:val="left"/>
        <w:rPr>
          <w:rFonts w:ascii="Times New Roman;sans-serif" w:hAnsi="Times New Roman;sans-serif"/>
          <w:b w:val="false"/>
          <w:color w:val="000000"/>
          <w:sz w:val="22"/>
        </w:rPr>
      </w:pPr>
      <w:r>
        <w:rPr>
          <w:rFonts w:ascii="Times New Roman;sans-serif" w:hAnsi="Times New Roman;sans-serif"/>
          <w:b w:val="false"/>
          <w:color w:val="000000"/>
          <w:sz w:val="22"/>
        </w:rPr>
        <w:t>rule that would cause the application of the laws of any jurisdiction other than the substantive laws of the Commonwealth of Virginia to the rights and duties of the parties. Unless otherwise provided in the Award Statement, the Plan or this Agreement, the Employee is deemed to submit to the exclusive jurisdiction of the Commonwealth of Virginia, U.S.A., and agrees that such litigation shall be conducted in the courts of Henrico County, Virginia, or the federal courts for the United States for the Eastern District of Virginia. This Agreement is intended to be exempt from, or otherwise comply with, Section 409A of the Code and shall be interpreted, operated and administered in a manner consistent with such intent. The Company reserves the right, to amend or modify this Agreement at any time, without the consent of the Employee or any other party, to avoid the application of Section 409A of the Code in a particular circumstance or that is necessary or desirable to satisfy any of the requirements under Section 409A of the Code, but the Company shall not be under any obligation to make any such amendment. Nothing in the Agreement or the Plan shall provide a basis for any person to take action against the Mondelēz Group based on matters covered by Section 409A of the Code, including the tax treatment of any amount paid under the Grant made hereunder, and Mondelēz Group shall not under any circumstances have any liability to any employee or his estate or any other party for any taxes, penalties or interest due on amounts paid or payable under this Agreement, including taxes, penalties or interest imposed under Section 409A of the Code. For purposes of Section 409A of the Code, each payment and each series of payments under this Agreement, if any, shall be treated as a separate payment.</w:t>
      </w:r>
    </w:p>
    <w:p>
      <w:pPr>
        <w:pStyle w:val="TextBody"/>
        <w:bidi w:val="0"/>
        <w:spacing w:lineRule="auto" w:line="276" w:before="235" w:after="283"/>
        <w:ind w:left="0" w:right="0" w:firstLine="720"/>
        <w:jc w:val="left"/>
        <w:rPr/>
      </w:pPr>
      <w:r>
        <w:rPr>
          <w:rFonts w:ascii="Times New Roman;sans-serif" w:hAnsi="Times New Roman;sans-serif"/>
          <w:b w:val="false"/>
          <w:color w:val="000000"/>
          <w:sz w:val="22"/>
        </w:rPr>
        <w:t>21.</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 In the event of any merger, share exchange, reorganization, consolidation, recapitalization, reclassification, distribution, stock dividend, stock split, reverse stock split, split-up, spin-off, issuance of rights or warrants or other similar transaction or event affecting the Common Stock after the date of this Grant, the Board or the Committee shall make adjustments to the number and kind of shares of Common Stock subject to this Grant, including, but not limited to, the substitution of equity interests in other entities involved in such transactions, to provide for cash payments in lieu of Deferred Stock Units, and to determine whether continued employment with any entity resulting from such a transaction will or will not be treated as continued employment with any member of the Mondelēz Group, in each case subject to any Board or Committee action specifically addressing any such adjustments, cash payments, or continued employment treatment.</w:t>
      </w:r>
    </w:p>
    <w:p>
      <w:pPr>
        <w:pStyle w:val="TextBody"/>
        <w:bidi w:val="0"/>
        <w:spacing w:lineRule="auto" w:line="276" w:before="242" w:after="283"/>
        <w:ind w:left="0" w:right="0" w:firstLine="720"/>
        <w:jc w:val="left"/>
        <w:rPr/>
      </w:pPr>
      <w:r>
        <w:rPr>
          <w:rFonts w:ascii="Times New Roman;sans-serif" w:hAnsi="Times New Roman;sans-serif"/>
          <w:b w:val="false"/>
          <w:color w:val="000000"/>
          <w:sz w:val="22"/>
        </w:rPr>
        <w:t>For the purposes of this Agreement, (a) the term “</w:t>
      </w:r>
      <w:r>
        <w:rPr>
          <w:rFonts w:ascii="Times New Roman;sans-serif" w:hAnsi="Times New Roman;sans-serif"/>
          <w:b w:val="false"/>
          <w:color w:val="000000"/>
          <w:sz w:val="22"/>
          <w:u w:val="single"/>
        </w:rPr>
        <w:t>Disability</w:t>
      </w:r>
      <w:r>
        <w:rPr>
          <w:color w:val="000000"/>
        </w:rPr>
        <w:t xml:space="preserve">” </w:t>
      </w:r>
      <w:r>
        <w:rPr>
          <w:rFonts w:ascii="Times New Roman;sans-serif" w:hAnsi="Times New Roman;sans-serif"/>
          <w:b w:val="false"/>
          <w:color w:val="000000"/>
          <w:sz w:val="22"/>
        </w:rPr>
        <w:t>means permanent and total disability as determined under the procedures established by the Company for purposes of the Plan, and (b) the term “</w:t>
      </w:r>
      <w:r>
        <w:rPr>
          <w:rFonts w:ascii="Times New Roman;sans-serif" w:hAnsi="Times New Roman;sans-serif"/>
          <w:b w:val="false"/>
          <w:color w:val="000000"/>
          <w:sz w:val="22"/>
          <w:u w:val="single"/>
        </w:rPr>
        <w:t>Retirement</w:t>
      </w:r>
      <w:r>
        <w:rPr>
          <w:color w:val="000000"/>
        </w:rPr>
        <w:t xml:space="preserve">” </w:t>
      </w:r>
      <w:r>
        <w:rPr>
          <w:rFonts w:ascii="Times New Roman;sans-serif" w:hAnsi="Times New Roman;sans-serif"/>
          <w:b w:val="false"/>
          <w:color w:val="000000"/>
          <w:sz w:val="22"/>
        </w:rPr>
        <w:t>means, unless otherwise determined by the Committee in its sole discretion, the termination of employment on or after either (i) the date the Employee is age 55 or older with at least ten (10) or more years of active continuous employment with the Mondelēz Group or (ii) the date the Employee is age 65 or older with at least five (5) or more years of active continuous employment with the Mondelēz Group.</w:t>
      </w:r>
    </w:p>
    <w:p>
      <w:pPr>
        <w:pStyle w:val="TextBody"/>
        <w:bidi w:val="0"/>
        <w:spacing w:lineRule="auto" w:line="276" w:before="239" w:after="283"/>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Notwithstanding the above, if the Company receives an opinion of counsel that there has been a legal judgment and/or legal development in the Employee’s jurisdiction that likely would result in the favorable Retirement treatment (as set forth above) that applies to the Deferred Stock Units being deemed unlawful and/or discriminatory, then the Company will not apply the favorable Retirement treatment at the time of termination and the Deferred Stock Units will be treated as they would under the rules that apply if the Employee’s employment is terminated for reasons other than Retirement, death or Disability.</w:t>
      </w:r>
    </w:p>
    <w:p>
      <w:pPr>
        <w:pStyle w:val="TextBody"/>
        <w:bidi w:val="0"/>
        <w:spacing w:lineRule="auto" w:line="276" w:before="232" w:after="283"/>
        <w:ind w:left="0" w:right="0" w:firstLine="720"/>
        <w:jc w:val="left"/>
        <w:rPr/>
      </w:pPr>
      <w:r>
        <w:rPr>
          <w:rFonts w:ascii="Times New Roman;sans-serif" w:hAnsi="Times New Roman;sans-serif"/>
          <w:b w:val="false"/>
          <w:color w:val="000000"/>
          <w:sz w:val="22"/>
        </w:rPr>
        <w:t>22.</w:t>
      </w:r>
      <w:r>
        <w:rPr>
          <w:rFonts w:ascii="Times New Roman;sans-serif" w:hAnsi="Times New Roman;sans-serif"/>
          <w:b w:val="false"/>
          <w:color w:val="000000"/>
          <w:sz w:val="22"/>
          <w:u w:val="single"/>
        </w:rPr>
        <w:t>Compliance With Law</w:t>
      </w:r>
      <w:r>
        <w:rPr>
          <w:rFonts w:ascii="Times New Roman;sans-serif" w:hAnsi="Times New Roman;sans-serif"/>
          <w:b w:val="false"/>
          <w:color w:val="000000"/>
          <w:sz w:val="22"/>
        </w:rPr>
        <w:t>. Notwithstanding any other provision of the Plan or this Agreement, unless there is an available exemption from any registration, qualification or other legal requirement applicable to the shares of Common Stock, the Company shall not be required to deliver any Common Stock issuable upon settlement of the Deferred Stock Units prior to the completion of any registration or qualification of the shares of Common Stock under any local, state, federal or foreign securities or exchange control law or under rulings or regulations of the Commission or of any other</w:t>
      </w:r>
    </w:p>
    <w:p>
      <w:pPr>
        <w:pStyle w:val="TextBody"/>
        <w:bidi w:val="0"/>
        <w:spacing w:lineRule="auto" w:line="271" w:before="432"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governmental regulatory body, or prior to obtaining any approval or other clearance from any local, state, federal or foreign governmental agency, which registration, qualification or approval the Company shall, in its absolute discretion, deem necessary or advisable. The Employee understands that the Company is under no obligation to register or qualify the shares of Common Stock with the Commission or any state, provincial or foreign securities commission or to seek approval or clearance from any governmental authority for the issuance or sale of the shares of Common Stock. Further, the Employee agrees that the Company shall have unilateral authority to amend the Plan and this Agreement without the Employee’s consent to the extent necessary to comply with securities or other laws applicable to the issuance of shares of Common Stock.</w:t>
      </w:r>
    </w:p>
    <w:p>
      <w:pPr>
        <w:pStyle w:val="TextBody"/>
        <w:bidi w:val="0"/>
        <w:spacing w:lineRule="auto" w:line="276" w:before="236" w:after="283"/>
        <w:ind w:left="0" w:right="0" w:firstLine="720"/>
        <w:jc w:val="left"/>
        <w:rPr/>
      </w:pPr>
      <w:r>
        <w:rPr>
          <w:rFonts w:ascii="Times New Roman;sans-serif" w:hAnsi="Times New Roman;sans-serif"/>
          <w:b w:val="false"/>
          <w:color w:val="000000"/>
          <w:sz w:val="22"/>
        </w:rPr>
        <w:t>23.</w:t>
      </w:r>
      <w:r>
        <w:rPr>
          <w:rFonts w:ascii="Times New Roman;sans-serif" w:hAnsi="Times New Roman;sans-serif"/>
          <w:b w:val="false"/>
          <w:color w:val="000000"/>
          <w:sz w:val="22"/>
          <w:u w:val="single"/>
        </w:rPr>
        <w:t>Agreement Severable</w:t>
      </w:r>
      <w:r>
        <w:rPr>
          <w:rFonts w:ascii="Times New Roman;sans-serif" w:hAnsi="Times New Roman;sans-serif"/>
          <w:b w:val="false"/>
          <w:color w:val="000000"/>
          <w:sz w:val="22"/>
        </w:rPr>
        <w:t>. In the event that any provision in this Agreement will be held invalid or unenforceable, such provision will be severable from, and such invalidity or unenforceability will not be construed to have any effect on, the remaining provisions of this Agreement.</w:t>
      </w:r>
    </w:p>
    <w:p>
      <w:pPr>
        <w:pStyle w:val="TextBody"/>
        <w:bidi w:val="0"/>
        <w:spacing w:lineRule="auto" w:line="276" w:before="236" w:after="283"/>
        <w:ind w:left="0" w:right="0" w:firstLine="720"/>
        <w:jc w:val="left"/>
        <w:rPr/>
      </w:pPr>
      <w:r>
        <w:rPr>
          <w:rFonts w:ascii="Times New Roman;sans-serif" w:hAnsi="Times New Roman;sans-serif"/>
          <w:b w:val="false"/>
          <w:color w:val="000000"/>
          <w:sz w:val="22"/>
        </w:rPr>
        <w:t>24.</w:t>
      </w:r>
      <w:r>
        <w:rPr>
          <w:rFonts w:ascii="Times New Roman;sans-serif" w:hAnsi="Times New Roman;sans-serif"/>
          <w:b w:val="false"/>
          <w:color w:val="000000"/>
          <w:sz w:val="22"/>
          <w:u w:val="single"/>
        </w:rPr>
        <w:t>Headings</w:t>
      </w:r>
      <w:r>
        <w:rPr>
          <w:rFonts w:ascii="Times New Roman;sans-serif" w:hAnsi="Times New Roman;sans-serif"/>
          <w:b w:val="false"/>
          <w:color w:val="000000"/>
          <w:sz w:val="22"/>
        </w:rPr>
        <w:t>. Headings of paragraphs and sections used in this Agreement are for convenience only and are not part of this Agreement, and must not be used in construing it.</w:t>
      </w:r>
    </w:p>
    <w:p>
      <w:pPr>
        <w:pStyle w:val="TextBody"/>
        <w:bidi w:val="0"/>
        <w:spacing w:lineRule="auto" w:line="276" w:before="233" w:after="283"/>
        <w:ind w:left="0" w:right="0" w:firstLine="720"/>
        <w:jc w:val="left"/>
        <w:rPr/>
      </w:pPr>
      <w:r>
        <w:rPr>
          <w:rFonts w:ascii="Times New Roman;sans-serif" w:hAnsi="Times New Roman;sans-serif"/>
          <w:b w:val="false"/>
          <w:color w:val="000000"/>
          <w:sz w:val="22"/>
        </w:rPr>
        <w:t>25.</w:t>
      </w:r>
      <w:r>
        <w:rPr>
          <w:rFonts w:ascii="Times New Roman;sans-serif" w:hAnsi="Times New Roman;sans-serif"/>
          <w:b w:val="false"/>
          <w:color w:val="000000"/>
          <w:sz w:val="22"/>
          <w:u w:val="single"/>
        </w:rPr>
        <w:t>Imposition of Other Requirements</w:t>
      </w:r>
      <w:r>
        <w:rPr>
          <w:rFonts w:ascii="Times New Roman;sans-serif" w:hAnsi="Times New Roman;sans-serif"/>
          <w:b w:val="false"/>
          <w:color w:val="000000"/>
          <w:sz w:val="22"/>
        </w:rPr>
        <w:t>. The Company reserves the right to impose other requirements on the Employee’s participation in the Plan, on the Deferred Stock Units and on any shares of Common Stock acquired under the Plan, to the extent the Company determines it is necessary or advisable for legal or administrative reasons and to require the Employee to sign any additional agreements or undertakings that may be necessary to accomplish the foregoing.</w:t>
      </w:r>
    </w:p>
    <w:p>
      <w:pPr>
        <w:pStyle w:val="TextBody"/>
        <w:bidi w:val="0"/>
        <w:spacing w:lineRule="auto" w:line="276" w:before="222" w:after="283"/>
        <w:ind w:left="0" w:right="0" w:firstLine="720"/>
        <w:jc w:val="left"/>
        <w:rPr/>
      </w:pPr>
      <w:r>
        <w:rPr>
          <w:rFonts w:ascii="Times New Roman;sans-serif" w:hAnsi="Times New Roman;sans-serif"/>
          <w:b w:val="false"/>
          <w:color w:val="000000"/>
          <w:sz w:val="22"/>
        </w:rPr>
        <w:t>26.</w:t>
      </w:r>
      <w:r>
        <w:rPr>
          <w:rFonts w:ascii="Times New Roman;sans-serif" w:hAnsi="Times New Roman;sans-serif"/>
          <w:b w:val="false"/>
          <w:color w:val="000000"/>
          <w:sz w:val="22"/>
          <w:u w:val="single"/>
        </w:rPr>
        <w:t>Insider Trading/Market Abuse Laws</w:t>
      </w:r>
      <w:r>
        <w:rPr>
          <w:rFonts w:ascii="Times New Roman;sans-serif" w:hAnsi="Times New Roman;sans-serif"/>
          <w:b w:val="false"/>
          <w:color w:val="000000"/>
          <w:sz w:val="22"/>
        </w:rPr>
        <w:t>. The Employee may be subject to insider trading and/or market abuse laws, which may affect the Employee’s ability to accept, acquire, sell or otherwise dispose of shares of Common Stock, rights to such shares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Deferred Stock Units) or rights linked to the value of shares of Common Stock under the Plan during such times as the Employee is considered to have “material nonpublic information” or “insider information” regarding the Company (as defined by the laws or regulations in the relevant jurisdiction). Local insider trading laws and regulations may prohibit the cancellation or amendment of orders the Employee places before the Employee possessed inside information. Furthermore, the Employee could be prohibited from (i) disclosing inside information to any third party, including fellow employees (other than on a “need to know” basis) and (ii) “tipping” third parties or causing them otherwise to buy or sell Company securities.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The Employee acknowledges that it is his or her responsibility to comply with any applicable restrictions, and that the Employee should speak to his or her personal advisor on this matter.</w:t>
      </w:r>
    </w:p>
    <w:p>
      <w:pPr>
        <w:pStyle w:val="TextBody"/>
        <w:bidi w:val="0"/>
        <w:spacing w:lineRule="auto" w:line="276" w:before="225" w:after="283"/>
        <w:ind w:left="0" w:right="0" w:firstLine="720"/>
        <w:jc w:val="left"/>
        <w:rPr/>
      </w:pPr>
      <w:r>
        <w:rPr>
          <w:rFonts w:ascii="Times New Roman;sans-serif" w:hAnsi="Times New Roman;sans-serif"/>
          <w:b w:val="false"/>
          <w:color w:val="000000"/>
          <w:sz w:val="22"/>
        </w:rPr>
        <w:t>27.</w:t>
      </w:r>
      <w:r>
        <w:rPr>
          <w:rFonts w:ascii="Times New Roman;sans-serif" w:hAnsi="Times New Roman;sans-serif"/>
          <w:b w:val="false"/>
          <w:color w:val="000000"/>
          <w:sz w:val="22"/>
          <w:u w:val="single"/>
        </w:rPr>
        <w:t>Exchange Control, Tax and Foreign Asset/Account Reporting Requirements</w:t>
      </w:r>
      <w:r>
        <w:rPr>
          <w:rFonts w:ascii="Times New Roman;sans-serif" w:hAnsi="Times New Roman;sans-serif"/>
          <w:b w:val="false"/>
          <w:color w:val="000000"/>
          <w:sz w:val="22"/>
        </w:rPr>
        <w:t>. The Employee acknowledges that there may be exchange control, tax, foreign asset and/or account reporting requirements which may affect the Employee’s ability to acquire or hold shares of Common Stock acquired under the Plan or cash received from participating in the Plan (including from any dividends paid on shares of Common Stock acquired under the Plan) in a brokerage, bank account or legal entity outside the Employee’s country. The Employee may be required to report such accounts, balances, assets and/or the related transactions to the tax or other authorities in his or her country. The Employee also may be required to repatriate sale proceeds or other funds received as a result of the Employee’s participation in the Plan to his or her country through a designated bank or broker within a certain time after receipt. In addition, the Employee agrees to take any and all actions required by the Company, any other entity in the Mondelēz Group or the local laws, rules and regulations in the Employee’s country of residence (and country of employment, if different) that may be required to comply with such laws, rules</w:t>
      </w:r>
    </w:p>
    <w:p>
      <w:pPr>
        <w:pStyle w:val="TextBody"/>
        <w:bidi w:val="0"/>
        <w:spacing w:lineRule="auto" w:line="271" w:before="441"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p>
      <w:pPr>
        <w:pStyle w:val="TextBody"/>
        <w:bidi w:val="0"/>
        <w:spacing w:lineRule="auto" w:line="271" w:before="4"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8"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and regulations. The Employee acknowledges that it is the Employee’s responsibility to be compliant with such regulations, and the Employee should consult his or her personal legal advisor for any details.</w:t>
      </w:r>
    </w:p>
    <w:p>
      <w:pPr>
        <w:pStyle w:val="TextBody"/>
        <w:bidi w:val="0"/>
        <w:spacing w:lineRule="auto" w:line="276" w:before="233" w:after="283"/>
        <w:ind w:left="0" w:right="0" w:firstLine="720"/>
        <w:jc w:val="left"/>
        <w:rPr/>
      </w:pPr>
      <w:r>
        <w:rPr>
          <w:rFonts w:ascii="Times New Roman;sans-serif" w:hAnsi="Times New Roman;sans-serif"/>
          <w:b w:val="false"/>
          <w:color w:val="000000"/>
          <w:sz w:val="22"/>
        </w:rPr>
        <w:t>28.</w:t>
      </w:r>
      <w:r>
        <w:rPr>
          <w:rFonts w:ascii="Times New Roman;sans-serif" w:hAnsi="Times New Roman;sans-serif"/>
          <w:b w:val="false"/>
          <w:color w:val="000000"/>
          <w:sz w:val="22"/>
          <w:u w:val="single"/>
        </w:rPr>
        <w:t>Appendix</w:t>
      </w:r>
      <w:r>
        <w:rPr>
          <w:rFonts w:ascii="Times New Roman;sans-serif" w:hAnsi="Times New Roman;sans-serif"/>
          <w:b w:val="false"/>
          <w:color w:val="000000"/>
          <w:sz w:val="22"/>
        </w:rPr>
        <w:t>. Notwithstanding any provisions in this Agreement, the Deferred Stock Units shall be subject to any terms set forth in the Appendix to this Agreement for the Employee’s country. Moreover, if the Employee relocates to one of the countries included in the Appendix, the terms for such country will apply to the Employee, to the extent the Company determines that the application of such terms is necessary or advisable for legal or administrative reasons. The Appendix constitutes part of this Agreement.</w:t>
      </w:r>
    </w:p>
    <w:p>
      <w:pPr>
        <w:pStyle w:val="TextBody"/>
        <w:bidi w:val="0"/>
        <w:spacing w:lineRule="auto" w:line="276" w:before="236" w:after="283"/>
        <w:ind w:left="0" w:right="0" w:firstLine="720"/>
        <w:jc w:val="left"/>
        <w:rPr/>
      </w:pPr>
      <w:r>
        <w:rPr>
          <w:rFonts w:ascii="Times New Roman;sans-serif" w:hAnsi="Times New Roman;sans-serif"/>
          <w:b w:val="false"/>
          <w:color w:val="000000"/>
          <w:sz w:val="22"/>
        </w:rPr>
        <w:t>29.</w:t>
      </w:r>
      <w:r>
        <w:rPr>
          <w:rFonts w:ascii="Times New Roman;sans-serif" w:hAnsi="Times New Roman;sans-serif"/>
          <w:b w:val="false"/>
          <w:color w:val="000000"/>
          <w:sz w:val="22"/>
          <w:u w:val="single"/>
        </w:rPr>
        <w:t>Waiver</w:t>
      </w:r>
      <w:r>
        <w:rPr>
          <w:rFonts w:ascii="Times New Roman;sans-serif" w:hAnsi="Times New Roman;sans-serif"/>
          <w:b w:val="false"/>
          <w:color w:val="000000"/>
          <w:sz w:val="22"/>
        </w:rPr>
        <w:t>. The Employee acknowledges that a waiver by the Company of a breach of any provision of this Agreement shall not operate or be construed as a waiver of any other provision of this Agreement or of any subsequent breach by the Employee or any other participant of the Plan.</w:t>
      </w:r>
    </w:p>
    <w:p>
      <w:pPr>
        <w:pStyle w:val="TextBody"/>
        <w:bidi w:val="0"/>
        <w:spacing w:lineRule="auto" w:line="288" w:before="100" w:after="100"/>
        <w:ind w:left="0" w:right="0" w:firstLine="720"/>
        <w:jc w:val="left"/>
        <w:rPr/>
      </w:pPr>
      <w:r>
        <w:rPr>
          <w:rFonts w:ascii="Times New Roman;sans-serif" w:hAnsi="Times New Roman;sans-serif"/>
          <w:b w:val="false"/>
          <w:color w:val="000000"/>
          <w:sz w:val="22"/>
        </w:rPr>
        <w:t>30.</w:t>
      </w:r>
      <w:r>
        <w:rPr>
          <w:rFonts w:ascii="Times New Roman;sans-serif" w:hAnsi="Times New Roman;sans-serif"/>
          <w:b w:val="false"/>
          <w:color w:val="000000"/>
          <w:sz w:val="22"/>
          <w:u w:val="single"/>
        </w:rPr>
        <w:t>Conformity to Securities Laws</w:t>
      </w:r>
      <w:r>
        <w:rPr>
          <w:rFonts w:ascii="Times New Roman;sans-serif" w:hAnsi="Times New Roman;sans-serif"/>
          <w:b w:val="false"/>
          <w:color w:val="000000"/>
          <w:sz w:val="22"/>
        </w:rPr>
        <w:t>. The Employee acknowledges that the Award Statement, the Plan and this Agreement are intended to conform to the extent necessary with all provisions of the Securities Act and the Exchange Act, and any and all regulations and rules promulgated thereunder by the Commission, including, without limitation, Rule 16b-3 under the Exchange Act. Notwithstanding anything herein to the contrary, the Award Statement, the Plan and this Agreement shall be administered, and the Grant is made, only in such a manner as to conform to such laws, rules and regulations. To the extent permitted by applicable law, the Award Statement, the Plan and this Agreement shall be deemed amended to the extent necessary to conform to such laws, rules and regulations.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color w:val="000000"/>
          <w:sz w:val="22"/>
        </w:rPr>
      </w:pPr>
      <w:r>
        <w:rPr>
          <w:rFonts w:ascii="Times New Roman;sans-serif" w:hAnsi="Times New Roman;sans-serif"/>
          <w:b/>
          <w:color w:val="000000"/>
          <w:sz w:val="22"/>
        </w:rPr>
        <w:t>The Employee acknowledges that the Employee has reviewed the Plan, the Award Statement and this Agreement (including any appendices hereto) in their entirety and fully understands their respective provisions. The Employee agrees to accept as binding, conclusive and final all decisions or interpretations of the Committee upon any questions arising under the Plan, the Award Statement or this Agreement.</w:t>
      </w:r>
    </w:p>
    <w:p>
      <w:pPr>
        <w:pStyle w:val="TextBody"/>
        <w:bidi w:val="0"/>
        <w:spacing w:lineRule="auto" w:line="266" w:before="261"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this Agreement has been executed as of the Grant Date.</w:t>
      </w:r>
    </w:p>
    <w:p>
      <w:pPr>
        <w:pStyle w:val="TextBody"/>
        <w:bidi w:val="0"/>
        <w:spacing w:lineRule="auto" w:line="266" w:before="975" w:after="313"/>
        <w:jc w:val="left"/>
        <w:rPr>
          <w:rFonts w:ascii="Times New Roman;sans-serif" w:hAnsi="Times New Roman;sans-serif"/>
          <w:b w:val="false"/>
          <w:color w:val="000000"/>
          <w:sz w:val="22"/>
        </w:rPr>
      </w:pPr>
      <w:r>
        <w:rPr>
          <w:rFonts w:ascii="Times New Roman;sans-serif" w:hAnsi="Times New Roman;sans-serif"/>
          <w:b w:val="false"/>
          <w:color w:val="000000"/>
          <w:sz w:val="22"/>
        </w:rPr>
        <w:t>MONDELĒZ INTERNATIONAL,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Laura Stein</w:t>
      </w:r>
    </w:p>
    <w:p>
      <w:pPr>
        <w:pStyle w:val="TextBody"/>
        <w:bidi w:val="0"/>
        <w:spacing w:before="0" w:after="0"/>
        <w:jc w:val="left"/>
        <w:rPr/>
      </w:pPr>
      <w:r>
        <w:rPr/>
      </w:r>
    </w:p>
    <w:p>
      <w:pPr>
        <w:pStyle w:val="TextBody"/>
        <w:bidi w:val="0"/>
        <w:spacing w:lineRule="auto" w:line="264" w:before="4"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Laura Stein</w:t>
      </w:r>
    </w:p>
    <w:p>
      <w:pPr>
        <w:pStyle w:val="TextBody"/>
        <w:bidi w:val="0"/>
        <w:spacing w:lineRule="auto" w:line="264" w:before="6"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Corporate &amp; Legal Affairs, General Counsel</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and Corporate Secretary</w:t>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4" w:after="283"/>
        <w:jc w:val="center"/>
        <w:rPr/>
      </w:pPr>
      <w:r>
        <w:rPr/>
      </w:r>
    </w:p>
    <w:p>
      <w:pPr>
        <w:pStyle w:val="TextBody"/>
        <w:bidi w:val="0"/>
        <w:spacing w:before="14" w:after="283"/>
        <w:jc w:val="center"/>
        <w:rPr/>
      </w:pPr>
      <w:r>
        <w:rPr/>
      </w:r>
    </w:p>
    <w:p>
      <w:pPr>
        <w:pStyle w:val="TextBody"/>
        <w:bidi w:val="0"/>
        <w:spacing w:before="14" w:after="283"/>
        <w:jc w:val="center"/>
        <w:rPr/>
      </w:pPr>
      <w:r>
        <w:rPr/>
      </w:r>
    </w:p>
    <w:p>
      <w:pPr>
        <w:pStyle w:val="TextBody"/>
        <w:bidi w:val="0"/>
        <w:spacing w:lineRule="auto" w:line="266" w:before="14"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APPENDIX A</w:t>
      </w:r>
    </w:p>
    <w:p>
      <w:pPr>
        <w:pStyle w:val="TextBody"/>
        <w:bidi w:val="0"/>
        <w:spacing w:lineRule="auto" w:line="266" w:before="260" w:after="283"/>
        <w:jc w:val="center"/>
        <w:rPr>
          <w:rFonts w:ascii="Times New Roman;sans-serif" w:hAnsi="Times New Roman;sans-serif"/>
          <w:b/>
          <w:color w:val="000000"/>
          <w:sz w:val="22"/>
        </w:rPr>
      </w:pPr>
      <w:r>
        <w:rPr>
          <w:rFonts w:ascii="Times New Roman;sans-serif" w:hAnsi="Times New Roman;sans-serif"/>
          <w:b/>
          <w:color w:val="000000"/>
          <w:sz w:val="22"/>
        </w:rPr>
        <w:t>MONDELĒZ INTERNATIONAL, INC.</w:t>
      </w:r>
    </w:p>
    <w:p>
      <w:pPr>
        <w:pStyle w:val="TextBody"/>
        <w:bidi w:val="0"/>
        <w:spacing w:lineRule="auto" w:line="271" w:before="10" w:after="283"/>
        <w:jc w:val="center"/>
        <w:rPr>
          <w:rFonts w:ascii="Times New Roman;sans-serif" w:hAnsi="Times New Roman;sans-serif"/>
          <w:b/>
          <w:color w:val="000000"/>
          <w:sz w:val="22"/>
        </w:rPr>
      </w:pPr>
      <w:r>
        <w:rPr>
          <w:rFonts w:ascii="Times New Roman;sans-serif" w:hAnsi="Times New Roman;sans-serif"/>
          <w:b/>
          <w:color w:val="000000"/>
          <w:sz w:val="22"/>
        </w:rPr>
        <w:t>AMENDED AND RESTATED 2005 PERFORMANCE INCENTIVE PLAN</w:t>
      </w:r>
    </w:p>
    <w:p>
      <w:pPr>
        <w:pStyle w:val="TextBody"/>
        <w:bidi w:val="0"/>
        <w:spacing w:lineRule="auto" w:line="271" w:before="1" w:after="283"/>
        <w:jc w:val="center"/>
        <w:rPr>
          <w:rFonts w:ascii="Times New Roman;sans-serif" w:hAnsi="Times New Roman;sans-serif"/>
          <w:b/>
          <w:color w:val="000000"/>
          <w:sz w:val="22"/>
        </w:rPr>
      </w:pPr>
      <w:r>
        <w:rPr>
          <w:rFonts w:ascii="Times New Roman;sans-serif" w:hAnsi="Times New Roman;sans-serif"/>
          <w:b/>
          <w:color w:val="000000"/>
          <w:sz w:val="22"/>
        </w:rPr>
        <w:t>(Amended and Restated as of February 3, 2017)</w:t>
      </w:r>
    </w:p>
    <w:p>
      <w:pPr>
        <w:pStyle w:val="TextBody"/>
        <w:bidi w:val="0"/>
        <w:spacing w:lineRule="auto" w:line="278" w:before="254" w:after="283"/>
        <w:jc w:val="center"/>
        <w:rPr>
          <w:rFonts w:ascii="Times New Roman;sans-serif" w:hAnsi="Times New Roman;sans-serif"/>
          <w:b/>
          <w:color w:val="000000"/>
          <w:sz w:val="22"/>
        </w:rPr>
      </w:pPr>
      <w:r>
        <w:rPr>
          <w:rFonts w:ascii="Times New Roman;sans-serif" w:hAnsi="Times New Roman;sans-serif"/>
          <w:b/>
          <w:color w:val="000000"/>
          <w:sz w:val="22"/>
        </w:rPr>
        <w:t xml:space="preserve">ADDITIONAL TERMS AND CONDITIONS OF THE </w:t>
        <w:br/>
        <w:t>GLOBAL DEFERRED STOCK UNIT AGREEMENT</w:t>
      </w:r>
    </w:p>
    <w:p>
      <w:pPr>
        <w:pStyle w:val="TextBody"/>
        <w:bidi w:val="0"/>
        <w:spacing w:lineRule="auto" w:line="276" w:before="229" w:after="283"/>
        <w:jc w:val="left"/>
        <w:rPr/>
      </w:pPr>
      <w:r>
        <w:rPr>
          <w:rFonts w:ascii="Times New Roman;sans-serif" w:hAnsi="Times New Roman;sans-serif"/>
          <w:b w:val="false"/>
          <w:color w:val="000000"/>
          <w:sz w:val="22"/>
        </w:rPr>
        <w:t>This Appendix A includes additional terms and conditions that govern the Deferred Stock Units granted to the Employee under the Plan if he or she resides and/or works in one of the countries listed herein. If the Employee is a citizen or resident (or is considered as such for local law purposes) of a country other than the country in which the Employee is currently residing and/or working, or if the Employee transfers to another country after receiving the Deferred Stock Units, the Company shall, in its discretion, determine to what extent the terms and conditions contained herein shall be applicable to the Employee. Certain capitalized terms used but not defined in this Appendix A have the meanings set forth in the Plan and/or the Global Deferred Stock Unit Agreement (the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w:t>
      </w:r>
    </w:p>
    <w:p>
      <w:pPr>
        <w:pStyle w:val="TextBody"/>
        <w:bidi w:val="0"/>
        <w:spacing w:lineRule="auto" w:line="276" w:before="233"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Appendix A also includes information regarding securities, exchange control and certain other issues of which the Employee should be aware with respect to participation in the Plan. The information is based on the securities, exchange control and other laws in effect in the respective countries as of January 2024. Such laws are often complex and change frequently. As a result, the Employee should not rely on the information in this Appendix A as the only source of information relating to the consequences of his or her participation in the Plan because the information may be out of date at the time the Employee vests in the Deferred Stock Units or sells shares of Common Stock acquired under the Plan.</w:t>
      </w:r>
    </w:p>
    <w:p>
      <w:pPr>
        <w:pStyle w:val="TextBody"/>
        <w:bidi w:val="0"/>
        <w:spacing w:lineRule="auto" w:line="276" w:before="231"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information contained herein is general in nature and may not apply to the Employee’s particular situation, and the Company is not in a position to assure the Employee of a particular result. Accordingly, the Employee should seek appropriate professional advice as to how the relevant laws in his or her country may apply to the Employee’s situation.</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Finally, if the Employee is a citizen or resident of a country other than the one in which he or she is currently working, transfers employment after the Grant Date, or is considered a resident of another country for local law purposes, the information contained herein may not be applicable to the Employee in the same manner.</w:t>
      </w:r>
    </w:p>
    <w:p>
      <w:pPr>
        <w:pStyle w:val="TextBody"/>
        <w:bidi w:val="0"/>
        <w:spacing w:lineRule="auto" w:line="276" w:before="232" w:after="283"/>
        <w:jc w:val="both"/>
        <w:rPr>
          <w:rFonts w:ascii="Times New Roman;sans-serif" w:hAnsi="Times New Roman;sans-serif"/>
          <w:b/>
          <w:color w:val="000000"/>
          <w:sz w:val="22"/>
          <w:u w:val="single"/>
        </w:rPr>
      </w:pPr>
      <w:r>
        <w:rPr>
          <w:rFonts w:ascii="Times New Roman;sans-serif" w:hAnsi="Times New Roman;sans-serif"/>
          <w:b/>
          <w:color w:val="000000"/>
          <w:sz w:val="22"/>
          <w:u w:val="single"/>
        </w:rPr>
        <w:t>EUROPEAN UNION / EUROPEAN ECONOMIC AREA, SWITZERLAND AND THE UNITED KINGDOM</w:t>
      </w:r>
    </w:p>
    <w:p>
      <w:pPr>
        <w:pStyle w:val="TextBody"/>
        <w:bidi w:val="0"/>
        <w:spacing w:lineRule="auto" w:line="271" w:before="26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54" w:after="283"/>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14 of the Agreement:</w:t>
      </w:r>
    </w:p>
    <w:p>
      <w:pPr>
        <w:pStyle w:val="TextBody"/>
        <w:bidi w:val="0"/>
        <w:spacing w:lineRule="auto" w:line="276" w:before="242" w:after="283"/>
        <w:jc w:val="both"/>
        <w:rPr>
          <w:rFonts w:ascii="Times New Roman;sans-serif" w:hAnsi="Times New Roman;sans-serif"/>
          <w:b w:val="false"/>
          <w:color w:val="000000"/>
          <w:sz w:val="22"/>
        </w:rPr>
      </w:pPr>
      <w:r>
        <w:rPr>
          <w:rFonts w:ascii="Times New Roman;sans-serif" w:hAnsi="Times New Roman;sans-serif"/>
          <w:b w:val="false"/>
          <w:color w:val="000000"/>
          <w:sz w:val="22"/>
        </w:rPr>
        <w:t>If the Employee is based in the European Union (“EU”), the European Economic Area, Switzerland or the United Kingdom, the Employee should note that Mondelēz International, Inc., with registered address at 905 West Fulton Market, Suite 200, Chicago, Illinois 60607, U.S.A. is the controller responsible for the processing of the Employee's Personal Data (as defined below) in connection with the Agreement and the Plan.</w:t>
      </w:r>
    </w:p>
    <w:p>
      <w:pPr>
        <w:pStyle w:val="TextBody"/>
        <w:bidi w:val="0"/>
        <w:spacing w:lineRule="auto" w:line="276" w:before="236" w:after="283"/>
        <w:jc w:val="both"/>
        <w:rPr/>
      </w:pPr>
      <w:r>
        <w:rPr>
          <w:rFonts w:ascii="Times New Roman;sans-serif" w:hAnsi="Times New Roman;sans-serif"/>
          <w:b w:val="false"/>
          <w:color w:val="000000"/>
          <w:sz w:val="22"/>
          <w:u w:val="single"/>
        </w:rPr>
        <w:t>Data Collection and Usage</w:t>
      </w:r>
      <w:r>
        <w:rPr>
          <w:rFonts w:ascii="Times New Roman;sans-serif" w:hAnsi="Times New Roman;sans-serif"/>
          <w:b w:val="false"/>
          <w:color w:val="000000"/>
          <w:sz w:val="22"/>
        </w:rPr>
        <w:t xml:space="preserve">. Pursuant to applicable data protection laws, the Employee is hereby notified that the Company collects, processes and uses the following types of personal data about the Employee: name, home address and telephone number, email address, date of birth, social insurance, passport number or other identification number, salary, nationality, job title, any shares of stock or directorships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6" w:after="283"/>
        <w:jc w:val="both"/>
        <w:rPr>
          <w:rFonts w:ascii="Times New Roman;sans-serif" w:hAnsi="Times New Roman;sans-serif"/>
          <w:b w:val="false"/>
          <w:color w:val="000000"/>
          <w:sz w:val="22"/>
        </w:rPr>
      </w:pPr>
      <w:r>
        <w:rPr>
          <w:rFonts w:ascii="Times New Roman;sans-serif" w:hAnsi="Times New Roman;sans-serif"/>
          <w:b w:val="false"/>
          <w:color w:val="000000"/>
          <w:sz w:val="22"/>
        </w:rPr>
        <w:t>held in any entity in the Mondelēz Group, details of all Deferred Stock Units or any other entitlement to shares awarded, canceled, settled, vested, unvested or outstanding in the Employee’s favor, which the Company receives from the Employee or the Employer (“Personal Data”) for the exclusive legitimate purpose of granting Deferred Stock Units and implementing, administering and managing the Employee’s participation in the Plan.</w:t>
      </w:r>
    </w:p>
    <w:p>
      <w:pPr>
        <w:pStyle w:val="TextBody"/>
        <w:bidi w:val="0"/>
        <w:spacing w:lineRule="auto" w:line="276" w:before="240" w:after="283"/>
        <w:jc w:val="left"/>
        <w:rPr/>
      </w:pPr>
      <w:r>
        <w:rPr>
          <w:rFonts w:ascii="Times New Roman;sans-serif" w:hAnsi="Times New Roman;sans-serif"/>
          <w:b w:val="false"/>
          <w:color w:val="000000"/>
          <w:sz w:val="22"/>
          <w:u w:val="single"/>
        </w:rPr>
        <w:t>Purposes and Legal Bases of Processing</w:t>
      </w:r>
      <w:r>
        <w:rPr>
          <w:rFonts w:ascii="Times New Roman;sans-serif" w:hAnsi="Times New Roman;sans-serif"/>
          <w:b w:val="false"/>
          <w:color w:val="000000"/>
          <w:sz w:val="22"/>
        </w:rPr>
        <w:t>. The legal basis for the processing of the Personal Data by the Company is the necessity of the data processing for the Company to perform its contractual obligations under the Agreement and for the Company’s legitimate business interests of managing the Plan and generally administering employee equity awards. The Employee understands that providing the Company with Personal Data is necessary for the performance of the Agreement and that the Employee's refusal to provide Personal Data would make it impossible for the Company to perform its contractual obligations and may affect the Employee's ability to participate in the Plan.</w:t>
      </w:r>
    </w:p>
    <w:p>
      <w:pPr>
        <w:pStyle w:val="TextBody"/>
        <w:bidi w:val="0"/>
        <w:spacing w:lineRule="auto" w:line="276" w:before="235" w:after="283"/>
        <w:jc w:val="left"/>
        <w:rPr/>
      </w:pPr>
      <w:r>
        <w:rPr>
          <w:rFonts w:ascii="Times New Roman;sans-serif" w:hAnsi="Times New Roman;sans-serif"/>
          <w:b w:val="false"/>
          <w:color w:val="000000"/>
          <w:sz w:val="22"/>
          <w:u w:val="single"/>
        </w:rPr>
        <w:t>International Data Transfers</w:t>
      </w:r>
      <w:r>
        <w:rPr>
          <w:rFonts w:ascii="Times New Roman;sans-serif" w:hAnsi="Times New Roman;sans-serif"/>
          <w:b w:val="false"/>
          <w:color w:val="000000"/>
          <w:sz w:val="22"/>
        </w:rPr>
        <w:t>. The Company is located in the United States which means that it will be necessary for Personal Data to be transferred to, and processed in, the United States. The Employee understands and acknowledges that the United States is not subject to an unlimited adequacy finding by the European Commission and that the Employee’s Personal Data may not have an equivalent level of protection as compared to the Employee’s country of residence. To provide appropriate safeguards for the protection of the Employee’s Personal Data, the Personal Data is transferred to the Company based on data transfer and processing agreements implementing the EU Standard Contractual Clauses. Further, the Employee understands that the Company transfers his or her Personal Data, or parts thereof to third parties based on agreements implementing the EU Standard Contractual Clauses. These third parties include Morgan Stanley Smith Barney, LLC (“Morgan Stanley”), an independent service provider based in the United States which assists the Company with the implementation, administration and management of the Plan. Morgan Stanley has opened or will open an account for the Employee to receive and trade shares of Common Stock acquired under the Plan. The Employee understands that Personal Data may also be transferred to the Company’s independent registered public accounting firm, PricewaterhouseCoopers LLP, KPMG LLP or such other public accounting firm that may be engaged by the Company. In the future, the Company may select a different service provider or other service providers and share the Personal Data with such other provider(s) serving the Company in a similar manner. The Employee may be asked to agree on separate terms and data processing practices with Morgan Stanley, PricewaterhouseCoopers LLP or KPMG LLP with such agreement being a condition to the Employee’s ability to participate in the Plan.</w:t>
      </w:r>
    </w:p>
    <w:p>
      <w:pPr>
        <w:pStyle w:val="TextBody"/>
        <w:bidi w:val="0"/>
        <w:spacing w:lineRule="auto" w:line="276" w:before="240" w:after="283"/>
        <w:jc w:val="left"/>
        <w:rPr/>
      </w:pPr>
      <w:r>
        <w:rPr>
          <w:rFonts w:ascii="Times New Roman;sans-serif" w:hAnsi="Times New Roman;sans-serif"/>
          <w:b w:val="false"/>
          <w:color w:val="000000"/>
          <w:sz w:val="22"/>
        </w:rPr>
        <w:t xml:space="preserve">The Employee may request a copy of the safeguards used to protect his or her Personal Data or the names and addresses of any potential recipients of Personal Data by contacting the Company at: </w:t>
      </w:r>
      <w:r>
        <w:rPr>
          <w:rFonts w:ascii="Times New Roman;sans-serif" w:hAnsi="Times New Roman;sans-serif"/>
          <w:b w:val="false"/>
          <w:color w:val="0000FF"/>
          <w:sz w:val="22"/>
          <w:u w:val="single"/>
        </w:rPr>
        <w:t xml:space="preserve">DataProtectionOfficeMEU@mdlz.com. </w:t>
      </w:r>
    </w:p>
    <w:p>
      <w:pPr>
        <w:pStyle w:val="TextBody"/>
        <w:bidi w:val="0"/>
        <w:spacing w:lineRule="auto" w:line="276" w:before="238" w:after="283"/>
        <w:jc w:val="left"/>
        <w:rPr/>
      </w:pPr>
      <w:r>
        <w:rPr>
          <w:rFonts w:ascii="Times New Roman;sans-serif" w:hAnsi="Times New Roman;sans-serif"/>
          <w:b w:val="false"/>
          <w:color w:val="000000"/>
          <w:sz w:val="22"/>
          <w:u w:val="single"/>
        </w:rPr>
        <w:t>Data Retention</w:t>
      </w:r>
      <w:r>
        <w:rPr>
          <w:rFonts w:ascii="Times New Roman;sans-serif" w:hAnsi="Times New Roman;sans-serif"/>
          <w:b w:val="false"/>
          <w:color w:val="000000"/>
          <w:sz w:val="22"/>
        </w:rPr>
        <w:t>. The Company will use the Personal Data only as long as necessary to implement, administer and manage the Employee’s participation in the Plan, or as required to comply with legal or regulatory obligations, including tax and securities laws. When the Company no longer needs the Personal Data, the Company will remove it from its systems. If the Company keeps data longer, it would be to satisfy legal or regulatory obligations and the Company’s legal basis would be relevant laws or regulations.</w:t>
      </w:r>
    </w:p>
    <w:p>
      <w:pPr>
        <w:pStyle w:val="TextBody"/>
        <w:bidi w:val="0"/>
        <w:spacing w:lineRule="auto" w:line="276" w:before="239" w:after="283"/>
        <w:jc w:val="left"/>
        <w:rPr/>
      </w:pPr>
      <w:r>
        <w:rPr>
          <w:rFonts w:ascii="Times New Roman;sans-serif" w:hAnsi="Times New Roman;sans-serif"/>
          <w:b w:val="false"/>
          <w:color w:val="000000"/>
          <w:sz w:val="22"/>
          <w:u w:val="single"/>
        </w:rPr>
        <w:t>Data Subject Rights</w:t>
      </w:r>
      <w:r>
        <w:rPr>
          <w:rFonts w:ascii="Times New Roman;sans-serif" w:hAnsi="Times New Roman;sans-serif"/>
          <w:b w:val="false"/>
          <w:color w:val="000000"/>
          <w:sz w:val="22"/>
        </w:rPr>
        <w:t xml:space="preserve">. To the extent provided by law, the Employee has the right to (i) inquire whether and what kind of Personal Data the Company holds about the Employee and how it is processed, and to access or request copies of such Personal Data, (ii) request the correction or supplementation of Personal Data </w:t>
      </w:r>
    </w:p>
    <w:p>
      <w:pPr>
        <w:pStyle w:val="TextBody"/>
        <w:bidi w:val="0"/>
        <w:spacing w:lineRule="auto" w:line="276"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that is inaccurate, incomplete or out-of-date in light of the purposes underlying the processing, (iii) obtain the erasure of Personal Data no longer necessary for the purposes underlying the processing or processed in non-compliance with applicable legal requirements, (iv) request the Company to restrict the processing of Personal Data in certain situations where the Employee feels its processing is inappropriate, (v) object, in certain circumstances, to the processing of Personal Data for legitimate interests, (vi) request portability of Personal Data that the Employee has actively or passively provided to the Company, where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10" w:after="283"/>
        <w:jc w:val="left"/>
        <w:rPr/>
      </w:pPr>
      <w:r>
        <w:rPr>
          <w:rFonts w:ascii="Times New Roman;sans-serif" w:hAnsi="Times New Roman;sans-serif"/>
          <w:b w:val="false"/>
          <w:color w:val="000000"/>
          <w:sz w:val="22"/>
        </w:rPr>
        <w:t>the processing of such Personal Data is based on consent or a contractual agreement with the Employee and is carried out by automated means, or (vii) lodge a complaint with the competent local data protection authority. To receive additional information regarding the Employee’s rights, raise any other questions regarding the practices described in the Agreement or to exercise his or her rights, the Employee should contact the Company at:</w:t>
      </w:r>
      <w:r>
        <w:rPr>
          <w:color w:val="0000FF"/>
          <w:u w:val="single"/>
        </w:rPr>
        <w:t xml:space="preserve"> </w:t>
      </w:r>
      <w:r>
        <w:rPr>
          <w:rFonts w:ascii="Times New Roman;sans-serif" w:hAnsi="Times New Roman;sans-serif"/>
          <w:b w:val="false"/>
          <w:color w:val="0000FF"/>
          <w:sz w:val="22"/>
          <w:u w:val="single"/>
        </w:rPr>
        <w:t xml:space="preserve">DataProtectionOfficeMEU@mdlz.com. </w:t>
      </w:r>
    </w:p>
    <w:p>
      <w:pPr>
        <w:pStyle w:val="TextBody"/>
        <w:bidi w:val="0"/>
        <w:spacing w:lineRule="auto" w:line="271" w:before="245" w:after="283"/>
        <w:jc w:val="center"/>
        <w:rPr/>
      </w:pPr>
      <w:r>
        <w:rPr>
          <w:rFonts w:ascii="Times New Roman;sans-serif" w:hAnsi="Times New Roman;sans-serif"/>
          <w:b/>
          <w:color w:val="000000"/>
          <w:sz w:val="22"/>
          <w:u w:val="single"/>
        </w:rPr>
        <w:t>ALGERIA</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1" w:after="283"/>
        <w:jc w:val="left"/>
        <w:rPr/>
      </w:pPr>
      <w:r>
        <w:rPr>
          <w:rFonts w:ascii="Times New Roman;sans-serif" w:hAnsi="Times New Roman;sans-serif"/>
          <w:b/>
          <w:color w:val="000000"/>
          <w:sz w:val="22"/>
        </w:rPr>
        <w:t xml:space="preserve">Deferred Stock Units Payable Only in Cash.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Algeria shall be paid in cash in an amount equal to the value of the shares of Common Stock on the Vesting Date.</w:t>
      </w:r>
    </w:p>
    <w:p>
      <w:pPr>
        <w:pStyle w:val="TextBody"/>
        <w:bidi w:val="0"/>
        <w:spacing w:lineRule="auto" w:line="271" w:before="242" w:after="283"/>
        <w:jc w:val="center"/>
        <w:rPr/>
      </w:pPr>
      <w:r>
        <w:rPr>
          <w:rFonts w:ascii="Times New Roman;sans-serif" w:hAnsi="Times New Roman;sans-serif"/>
          <w:b/>
          <w:color w:val="000000"/>
          <w:sz w:val="22"/>
          <w:u w:val="single"/>
        </w:rPr>
        <w:t>ARGENTINA</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7" w:after="283"/>
        <w:jc w:val="left"/>
        <w:rPr/>
      </w:pPr>
      <w:r>
        <w:rPr>
          <w:rFonts w:ascii="Times New Roman;sans-serif" w:hAnsi="Times New Roman;sans-serif"/>
          <w:b/>
          <w:color w:val="000000"/>
          <w:sz w:val="22"/>
        </w:rPr>
        <w:t xml:space="preserve">Restrictions and Covenants. </w:t>
      </w:r>
      <w:r>
        <w:rPr>
          <w:rFonts w:ascii="Times New Roman;sans-serif" w:hAnsi="Times New Roman;sans-serif"/>
          <w:b w:val="false"/>
          <w:color w:val="000000"/>
          <w:sz w:val="22"/>
        </w:rPr>
        <w:t>Notwithstanding anything to the contrary in the Agreement, paragraph 9 of the Agreement will not apply to Argentinian Employees.</w:t>
      </w:r>
    </w:p>
    <w:p>
      <w:pPr>
        <w:pStyle w:val="TextBody"/>
        <w:bidi w:val="0"/>
        <w:spacing w:lineRule="auto" w:line="276" w:before="238" w:after="283"/>
        <w:jc w:val="left"/>
        <w:rPr/>
      </w:pPr>
      <w:r>
        <w:rPr>
          <w:rFonts w:ascii="Times New Roman;sans-serif" w:hAnsi="Times New Roman;sans-serif"/>
          <w:b/>
          <w:color w:val="000000"/>
          <w:sz w:val="22"/>
        </w:rPr>
        <w:t>Labor Law Policy and Acknowledgement</w:t>
      </w:r>
      <w:r>
        <w:rPr>
          <w:rFonts w:ascii="Times New Roman;sans-serif" w:hAnsi="Times New Roman;sans-serif"/>
          <w:b w:val="false"/>
          <w:color w:val="000000"/>
          <w:sz w:val="22"/>
        </w:rPr>
        <w:t>. The following provision supplements paragraph 13 of the Agreement:</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and agrees that the Grant is made by the Company (not the Employer) in its sole discretion and that the value of the Deferred Stock Units or any shares of Common Stock acquired under the Plan shall not constitute salary or wages for any purpose under Argentine labor law, including, but not limited to, the calculation of (i) any labor benefits, such as vacation pay, thirteenth salary, compensation in lieu of notice, annual bonus, disability, and leave of absence payments, etc., or (ii) any termination or severance indemnities or similar payments.</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notwithstanding the foregoing, any benefits under the Plan are considered for any purpose under Argentine labor law, the Employee acknowledges and agrees that such benefits shall not accrue more frequently than on each vesting date.</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Neither the Units nor the underlying shares of Common Stock are publicly offered or listed on any stock exchange in Argentina and, as a result, have not been and will not be registered with the Argentine Securities Commission (</w:t>
      </w:r>
      <w:r>
        <w:rPr>
          <w:rFonts w:ascii="Times New Roman;sans-serif" w:hAnsi="Times New Roman;sans-serif"/>
          <w:b w:val="false"/>
          <w:i/>
          <w:color w:val="000000"/>
          <w:sz w:val="22"/>
        </w:rPr>
        <w:t>Comisión Nacional de Valores</w:t>
      </w:r>
      <w:r>
        <w:rPr>
          <w:rFonts w:ascii="Times New Roman;sans-serif" w:hAnsi="Times New Roman;sans-serif"/>
          <w:b w:val="false"/>
          <w:color w:val="000000"/>
          <w:sz w:val="22"/>
        </w:rPr>
        <w:t>, “</w:t>
      </w:r>
      <w:r>
        <w:rPr>
          <w:rFonts w:ascii="Times New Roman;sans-serif" w:hAnsi="Times New Roman;sans-serif"/>
          <w:b w:val="false"/>
          <w:i/>
          <w:color w:val="000000"/>
          <w:sz w:val="22"/>
        </w:rPr>
        <w:t>CNV</w:t>
      </w:r>
      <w:r>
        <w:rPr>
          <w:color w:val="000000"/>
        </w:rPr>
        <w:t>”</w:t>
      </w:r>
      <w:r>
        <w:rPr>
          <w:rFonts w:ascii="Times New Roman;sans-serif" w:hAnsi="Times New Roman;sans-serif"/>
          <w:b w:val="false"/>
          <w:color w:val="000000"/>
          <w:sz w:val="22"/>
        </w:rPr>
        <w:t>). Neither this Agreement nor any other offering material related to the Units nor the underlying shares of Common Stock may be utilized in connection with any general offering to the public in Argentina.</w:t>
      </w:r>
    </w:p>
    <w:p>
      <w:pPr>
        <w:pStyle w:val="TextBody"/>
        <w:bidi w:val="0"/>
        <w:spacing w:lineRule="auto" w:line="276" w:before="236"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solely responsible for complying with the exchange control rules that may apply in connection with his or her participation in the Plan and/or the transfer of proceeds acquired under the Plan into Argentina. Prior to vesting in the Deferred Stock Units or transferring proceeds into Argentina, the Employee should consult his or her local bank and exchange control advisor to confirm the exchange control rules and required documentation.</w:t>
      </w:r>
    </w:p>
    <w:p>
      <w:pPr>
        <w:pStyle w:val="TextBody"/>
        <w:bidi w:val="0"/>
        <w:spacing w:lineRule="auto" w:line="276" w:before="237"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must report holdings of any equity interest in a foreign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on his or her annual tax return each year.</w:t>
      </w:r>
    </w:p>
    <w:p>
      <w:pPr>
        <w:pStyle w:val="TextBody"/>
        <w:bidi w:val="0"/>
        <w:spacing w:lineRule="auto" w:line="271" w:before="246" w:after="283"/>
        <w:jc w:val="center"/>
        <w:rPr/>
      </w:pPr>
      <w:r>
        <w:rPr>
          <w:rFonts w:ascii="Times New Roman;sans-serif" w:hAnsi="Times New Roman;sans-serif"/>
          <w:b/>
          <w:color w:val="000000"/>
          <w:sz w:val="22"/>
          <w:u w:val="single"/>
        </w:rPr>
        <w:t>AUSTRALIA</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283"/>
        <w:jc w:val="left"/>
        <w:rPr/>
      </w:pPr>
      <w:r>
        <w:rPr>
          <w:rFonts w:ascii="Times New Roman;sans-serif" w:hAnsi="Times New Roman;sans-serif"/>
          <w:b/>
          <w:color w:val="000000"/>
          <w:sz w:val="22"/>
        </w:rPr>
        <w:t xml:space="preserve">Securities Law Disclosure. </w:t>
      </w:r>
      <w:r>
        <w:rPr>
          <w:rFonts w:ascii="Times New Roman;sans-serif" w:hAnsi="Times New Roman;sans-serif"/>
          <w:b w:val="false"/>
          <w:color w:val="000000"/>
          <w:sz w:val="22"/>
        </w:rPr>
        <w:t>This offer is being made under Division 1A, Part 7.12 of the Corporations Act 2001 (Cth). Please note that if the Employee offers shares of Common Stock for sale to a person or entity resident in Australia, the offer may be subject to disclosure requirements under Australian law. The Employee should obtain legal advice on the Employee’s disclosure obligations prior to making any such offer.</w:t>
      </w:r>
    </w:p>
    <w:p>
      <w:pPr>
        <w:pStyle w:val="TextBody"/>
        <w:bidi w:val="0"/>
        <w:spacing w:lineRule="auto" w:line="276" w:before="228" w:after="283"/>
        <w:jc w:val="left"/>
        <w:rPr/>
      </w:pPr>
      <w:r>
        <w:rPr>
          <w:rFonts w:ascii="Times New Roman;sans-serif" w:hAnsi="Times New Roman;sans-serif"/>
          <w:b/>
          <w:color w:val="000000"/>
          <w:sz w:val="22"/>
        </w:rPr>
        <w:t xml:space="preserve">No payment constituting breach of law in Australia. </w:t>
      </w:r>
      <w:r>
        <w:rPr>
          <w:rFonts w:ascii="Times New Roman;sans-serif" w:hAnsi="Times New Roman;sans-serif"/>
          <w:b w:val="false"/>
          <w:color w:val="000000"/>
          <w:sz w:val="22"/>
        </w:rPr>
        <w:t>Notwithstanding anything else in the Plan or the Agreement, the Employee will not be entitled to, and shall not claim any benefit (including without limitation a legal right) under the Plan if the provision of such benefit would give rise to a breach of Part 2D.2 of the Corporations Act 2001 (Cth), any other provision of that Act, or any other applicable statute, rule or regulation which limits or restricts the giving of such benefits. Further, the Employer is under no obligation to seek or obtain the approval of its shareholders in general meeting for the purpose of overcoming any such limitation or restriction.</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reporting is required for cash transactions exceeding AUD10,000 and for international fund transfers. If an Australian bank is assisting with the transaction, the bank will file the report on the Employee’s behalf, otherwise the Employee will be responsible for complying with any exchange control reporting requirements.</w:t>
      </w:r>
    </w:p>
    <w:p>
      <w:pPr>
        <w:pStyle w:val="TextBody"/>
        <w:bidi w:val="0"/>
        <w:spacing w:lineRule="auto" w:line="276" w:before="236" w:after="283"/>
        <w:jc w:val="left"/>
        <w:rPr/>
      </w:pPr>
      <w:r>
        <w:rPr>
          <w:rFonts w:ascii="Times New Roman;sans-serif" w:hAnsi="Times New Roman;sans-serif"/>
          <w:b/>
          <w:color w:val="000000"/>
          <w:sz w:val="22"/>
        </w:rPr>
        <w:t xml:space="preserve">Tax Notification. </w:t>
      </w:r>
      <w:r>
        <w:rPr>
          <w:rFonts w:ascii="Times New Roman;sans-serif" w:hAnsi="Times New Roman;sans-serif"/>
          <w:b w:val="false"/>
          <w:color w:val="000000"/>
          <w:sz w:val="22"/>
        </w:rPr>
        <w:t>The Plan is a plan to which Subdivision 83A-C of the Income Tax Assessment Act 1997 (Cth) (the “Act”) applies (subject to conditions in the Act).</w:t>
      </w:r>
    </w:p>
    <w:p>
      <w:pPr>
        <w:pStyle w:val="TextBody"/>
        <w:bidi w:val="0"/>
        <w:spacing w:lineRule="auto" w:line="271" w:before="247" w:after="283"/>
        <w:jc w:val="center"/>
        <w:rPr/>
      </w:pPr>
      <w:r>
        <w:rPr>
          <w:rFonts w:ascii="Times New Roman;sans-serif" w:hAnsi="Times New Roman;sans-serif"/>
          <w:b/>
          <w:color w:val="000000"/>
          <w:sz w:val="22"/>
          <w:u w:val="single"/>
        </w:rPr>
        <w:t>AUSTRIA</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29"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holds securities (including shares of Common Stock acquired under the Plan) or cash (including proceeds from the sale of shares of Common Stock) outside of Austria, he or she may be subject to reporting obligations to the Austrian National Bank. If the value of the shares of Common Stock meets or exceeds a certain threshold, the Employee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of Austria meet or exceed a certain threshold, monthly reporting obligations apply as explained in the next paragraph.</w:t>
      </w:r>
    </w:p>
    <w:p>
      <w:pPr>
        <w:pStyle w:val="TextBody"/>
        <w:bidi w:val="0"/>
        <w:spacing w:before="13" w:after="283"/>
        <w:jc w:val="both"/>
        <w:rPr/>
      </w:pPr>
      <w:r>
        <w:rPr/>
      </w:r>
    </w:p>
    <w:p>
      <w:pPr>
        <w:pStyle w:val="TextBody"/>
        <w:bidi w:val="0"/>
        <w:spacing w:lineRule="auto" w:line="276" w:before="13" w:after="283"/>
        <w:jc w:val="both"/>
        <w:rPr/>
      </w:pPr>
      <w:r>
        <w:rPr>
          <w:rFonts w:ascii="Times New Roman;sans-serif" w:hAnsi="Times New Roman;sans-serif"/>
          <w:b w:val="false"/>
          <w:color w:val="000000"/>
          <w:sz w:val="22"/>
        </w:rPr>
        <w:t>If the Employee sells shares of Common Stock, or receives any cash dividends, the Employee may have exchange control obligations if the Employee holds the cash proceeds outside Austria. If the transaction volume of all the Employee’s accounts abroad meets or exceeds a certain threshold, the Employee must report to the Austrian National Bank the movements and balances of all accounts on a monthly basis, as of the last day of the month, on or before the 15th day of the following month, on the prescribed form (</w:t>
      </w:r>
      <w:r>
        <w:rPr>
          <w:rFonts w:ascii="Times New Roman;sans-serif" w:hAnsi="Times New Roman;sans-serif"/>
          <w:b w:val="false"/>
          <w:i/>
          <w:color w:val="000000"/>
          <w:sz w:val="22"/>
        </w:rPr>
        <w:t>Meldungen SI-Forderungen und/oder SI-Verpflichtungen</w:t>
      </w:r>
      <w:r>
        <w:rPr>
          <w:rFonts w:ascii="Times New Roman;sans-serif" w:hAnsi="Times New Roman;sans-serif"/>
          <w:b w:val="false"/>
          <w:color w:val="000000"/>
          <w:sz w:val="22"/>
        </w:rPr>
        <w:t>).</w:t>
      </w:r>
    </w:p>
    <w:p>
      <w:pPr>
        <w:pStyle w:val="TextBody"/>
        <w:bidi w:val="0"/>
        <w:spacing w:lineRule="auto" w:line="271" w:before="240" w:after="283"/>
        <w:jc w:val="center"/>
        <w:rPr/>
      </w:pPr>
      <w:r>
        <w:rPr>
          <w:rFonts w:ascii="Times New Roman;sans-serif" w:hAnsi="Times New Roman;sans-serif"/>
          <w:b/>
          <w:color w:val="000000"/>
          <w:sz w:val="22"/>
          <w:u w:val="single"/>
        </w:rPr>
        <w:t>BAHRAIN</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The Agreement does not constitute advertising or an offering of securities in Bahrain, nor does it constitute an allotment of securities in Bahrain. Any shares of Common Stock issued pursuant to the Deferred Stock Units under the Plan shall be deposited into a brokerage account in the United States. In no event will shares of Common Stock be issued or delivered in Bahrain. The issuance of shares of Common Stock pursuant to the Deferred Stock Units described herein has not and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5" w:after="283"/>
        <w:jc w:val="left"/>
        <w:rPr/>
      </w:pPr>
      <w:r>
        <w:rPr>
          <w:rFonts w:ascii="Times New Roman;sans-serif" w:hAnsi="Times New Roman;sans-serif"/>
          <w:b w:val="false"/>
          <w:color w:val="000000"/>
          <w:sz w:val="22"/>
        </w:rPr>
        <w:t>will not be registered in Bahrain and hence, the shares of Common Stock described herein may not be admitted or used for offering, placement or public circulation in Bahrain. Accordingly, the Employee may not make any public advertising or announcements regarding the Deferred Stock Units or shares of Common Stock in Bahrain, promote these shares of Common Stock to legal entities or individuals in Bahrain, or sell shares of Common Stock directly to other legal entities or individuals in Bahrain. The Employee acknowledges and agrees that he or she is permitted to sell shares of Common Stock acquired under the Plan through the designated broker appointed under the Plan, if any, provided that the sale of such shares takes place outside of Bahrain through the facilities of a stock exchange on which the shares of Common Stock are listed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the Nasdaq Global Select Market).</w:t>
      </w:r>
    </w:p>
    <w:p>
      <w:pPr>
        <w:pStyle w:val="TextBody"/>
        <w:bidi w:val="0"/>
        <w:spacing w:lineRule="auto" w:line="271" w:before="246" w:after="283"/>
        <w:jc w:val="center"/>
        <w:rPr/>
      </w:pPr>
      <w:r>
        <w:rPr>
          <w:rFonts w:ascii="Times New Roman;sans-serif" w:hAnsi="Times New Roman;sans-serif"/>
          <w:b/>
          <w:color w:val="000000"/>
          <w:sz w:val="22"/>
          <w:u w:val="single"/>
        </w:rPr>
        <w:t>BANGLADESH</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 xml:space="preserve">Deferred Stock Units Payable Only in Cash.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At the discretion of the Company, Deferred Stock Units granted to Employees in Bangladesh shall be paid in cash in an amount equal to the value of the shares of Common Stock on the Vesting Date.</w:t>
      </w:r>
    </w:p>
    <w:p>
      <w:pPr>
        <w:pStyle w:val="TextBody"/>
        <w:bidi w:val="0"/>
        <w:spacing w:lineRule="auto" w:line="271" w:before="243" w:after="283"/>
        <w:jc w:val="center"/>
        <w:rPr/>
      </w:pPr>
      <w:r>
        <w:rPr>
          <w:rFonts w:ascii="Times New Roman;sans-serif" w:hAnsi="Times New Roman;sans-serif"/>
          <w:b/>
          <w:color w:val="000000"/>
          <w:sz w:val="22"/>
          <w:u w:val="single"/>
        </w:rPr>
        <w:t>BELGIUM</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Employee is required to report any securities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xml:space="preserve">., shares of Common Stock acquired under the Plan) or bank accounts established outside of Belgium on his or her annual tax return. In a separate report, Belgium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t>
      </w:r>
      <w:r>
        <w:rPr>
          <w:rFonts w:ascii="Times New Roman;sans-serif" w:hAnsi="Times New Roman;sans-serif"/>
          <w:b w:val="false"/>
          <w:color w:val="0000FF"/>
          <w:sz w:val="22"/>
          <w:u w:val="single"/>
        </w:rPr>
        <w:t>www.nbb.be</w:t>
      </w:r>
      <w:r>
        <w:rPr>
          <w:rFonts w:ascii="Times New Roman;sans-serif" w:hAnsi="Times New Roman;sans-serif"/>
          <w:b w:val="false"/>
          <w:color w:val="000000"/>
          <w:sz w:val="22"/>
        </w:rPr>
        <w:t>, under Kredietcentrales / Centrales des crédits caption. The Employee should consult a personal tax advisor with respect to the applicable reporting obligations.</w:t>
      </w:r>
    </w:p>
    <w:p>
      <w:pPr>
        <w:pStyle w:val="TextBody"/>
        <w:bidi w:val="0"/>
        <w:spacing w:before="12" w:after="283"/>
        <w:jc w:val="left"/>
        <w:rPr/>
      </w:pPr>
      <w:r>
        <w:rPr/>
      </w:r>
    </w:p>
    <w:p>
      <w:pPr>
        <w:pStyle w:val="TextBody"/>
        <w:bidi w:val="0"/>
        <w:spacing w:lineRule="auto" w:line="276" w:before="12" w:after="283"/>
        <w:jc w:val="left"/>
        <w:rPr/>
      </w:pPr>
      <w:r>
        <w:rPr>
          <w:rFonts w:ascii="Times New Roman;sans-serif" w:hAnsi="Times New Roman;sans-serif"/>
          <w:b/>
          <w:color w:val="000000"/>
          <w:sz w:val="22"/>
        </w:rPr>
        <w:t>Stock Exchange Tax Information</w:t>
      </w:r>
      <w:r>
        <w:rPr>
          <w:rFonts w:ascii="Times New Roman;sans-serif" w:hAnsi="Times New Roman;sans-serif"/>
          <w:b w:val="false"/>
          <w:color w:val="000000"/>
          <w:sz w:val="22"/>
        </w:rPr>
        <w:t>. A stock exchange tax applies to transactions executed by Belgian residents through a non-Belgian financial intermediary, such as a U.S. broker. The stock exchange tax will apply when shares of Common Stock acquired upon vesting of the Deferred Stock Units are sold.</w:t>
      </w:r>
    </w:p>
    <w:p>
      <w:pPr>
        <w:pStyle w:val="TextBody"/>
        <w:bidi w:val="0"/>
        <w:spacing w:lineRule="auto" w:line="276" w:before="239" w:after="283"/>
        <w:jc w:val="left"/>
        <w:rPr/>
      </w:pPr>
      <w:r>
        <w:rPr>
          <w:rFonts w:ascii="Times New Roman;sans-serif" w:hAnsi="Times New Roman;sans-serif"/>
          <w:b/>
          <w:color w:val="000000"/>
          <w:sz w:val="22"/>
        </w:rPr>
        <w:t>Annual Securities Accounts Tax</w:t>
      </w:r>
      <w:r>
        <w:rPr>
          <w:rFonts w:ascii="Times New Roman;sans-serif" w:hAnsi="Times New Roman;sans-serif"/>
          <w:b w:val="false"/>
          <w:color w:val="000000"/>
          <w:sz w:val="22"/>
        </w:rPr>
        <w:t>. An annual securities accounts tax may be payable if the total value of securities held in a Belgian or foreign securities account (e.g., shares of Common Stock acquired under the Plan) exceeds a certain threshold on four reference dates within the relevant reporting period (i.e., December 31, March 31, June 30 and September 30). In such case, the tax will be due on the value of the qualifying securities held in such account. Belgian residents should consult with their personal tax advisor regarding the new tax.</w:t>
      </w:r>
    </w:p>
    <w:p>
      <w:pPr>
        <w:pStyle w:val="TextBody"/>
        <w:bidi w:val="0"/>
        <w:spacing w:lineRule="auto" w:line="271" w:before="242" w:after="283"/>
        <w:jc w:val="center"/>
        <w:rPr/>
      </w:pPr>
      <w:r>
        <w:rPr>
          <w:rFonts w:ascii="Times New Roman;sans-serif" w:hAnsi="Times New Roman;sans-serif"/>
          <w:b/>
          <w:color w:val="000000"/>
          <w:sz w:val="22"/>
          <w:u w:val="single"/>
        </w:rPr>
        <w:t>BRAZIL</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left"/>
        <w:rPr/>
      </w:pPr>
      <w:r>
        <w:rPr>
          <w:rFonts w:ascii="Times New Roman;sans-serif" w:hAnsi="Times New Roman;sans-serif"/>
          <w:b/>
          <w:color w:val="000000"/>
          <w:sz w:val="22"/>
        </w:rPr>
        <w:t>Compliance with Law</w:t>
      </w:r>
      <w:r>
        <w:rPr>
          <w:rFonts w:ascii="Times New Roman;sans-serif" w:hAnsi="Times New Roman;sans-serif"/>
          <w:b w:val="false"/>
          <w:color w:val="000000"/>
          <w:sz w:val="22"/>
        </w:rPr>
        <w:t>. By accepting the Deferred Stock Units, the Employee acknowledges that he or she agrees to comply with applicable Brazilian laws and pay any and all applicable Tax-Related Items associated with the vesting of the Deferred Stock Units, the receipt of any dividends and the sale of shares of Common Stock acquired under the Plan.</w:t>
      </w:r>
    </w:p>
    <w:p>
      <w:pPr>
        <w:pStyle w:val="TextBody"/>
        <w:bidi w:val="0"/>
        <w:spacing w:lineRule="auto" w:line="276" w:before="236" w:after="283"/>
        <w:jc w:val="left"/>
        <w:rPr/>
      </w:pPr>
      <w:r>
        <w:rPr>
          <w:rFonts w:ascii="Times New Roman;sans-serif" w:hAnsi="Times New Roman;sans-serif"/>
          <w:b/>
          <w:color w:val="000000"/>
          <w:sz w:val="22"/>
        </w:rPr>
        <w:t>Labor Law Acknowledgment</w:t>
      </w:r>
      <w:r>
        <w:rPr>
          <w:rFonts w:ascii="Times New Roman;sans-serif" w:hAnsi="Times New Roman;sans-serif"/>
          <w:b w:val="false"/>
          <w:color w:val="000000"/>
          <w:sz w:val="22"/>
        </w:rPr>
        <w:t xml:space="preserve">. By accepting the Deferred Stock Units, the Employee understands, acknowledges and agrees that, for all legal purposes (i) the Employee is making an investment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decision and (ii) the value of the underlying shares of Common Stock are not fixed and may increase or decrease in value over the vesting period without compensation to the Employee.</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Individuals who are resident or domiciled in Brazil are generally required to submit an annual declaration of assets and rights held outside Brazil to the Central Bank of Brazil if the aggregate value of such assets and rights is greater than US$1,000,000. If such amount is equal to or greater than US$100,000,000, the referenced declaration must be submitted quarterly, in the month following the end of each quarter. Assets and rights to be included in this annual declaration include shares of Common Stock acquired under the Plan.</w:t>
      </w:r>
    </w:p>
    <w:p>
      <w:pPr>
        <w:pStyle w:val="TextBody"/>
        <w:bidi w:val="0"/>
        <w:spacing w:lineRule="auto" w:line="276" w:before="239" w:after="283"/>
        <w:jc w:val="left"/>
        <w:rPr/>
      </w:pPr>
      <w:r>
        <w:rPr>
          <w:rFonts w:ascii="Times New Roman;sans-serif" w:hAnsi="Times New Roman;sans-serif"/>
          <w:b/>
          <w:color w:val="000000"/>
          <w:sz w:val="22"/>
        </w:rPr>
        <w:t>Tax on Financial Transaction (IOF)</w:t>
      </w:r>
      <w:r>
        <w:rPr>
          <w:rFonts w:ascii="Times New Roman;sans-serif" w:hAnsi="Times New Roman;sans-serif"/>
          <w:b w:val="false"/>
          <w:color w:val="000000"/>
          <w:sz w:val="22"/>
        </w:rPr>
        <w:t>. Repatriation of funds (</w:t>
      </w:r>
      <w:r>
        <w:rPr>
          <w:rFonts w:ascii="Times New Roman;sans-serif" w:hAnsi="Times New Roman;sans-serif"/>
          <w:b w:val="false"/>
          <w:i/>
          <w:color w:val="000000"/>
          <w:sz w:val="22"/>
        </w:rPr>
        <w:t>e.g.</w:t>
      </w:r>
      <w:r>
        <w:rPr>
          <w:rFonts w:ascii="Times New Roman;sans-serif" w:hAnsi="Times New Roman;sans-serif"/>
          <w:b w:val="false"/>
          <w:color w:val="000000"/>
          <w:sz w:val="22"/>
        </w:rPr>
        <w:t>, sale proceeds from the sale of shares of Common Stock and/or dividends) into Brazil and the conversion of USD into BRL associated with such fund transfers may be subject to the Tax on Financial Transactions. It is the Employee’s responsibility to comply with any applicable Tax on Financial Transactions arising from his or her participation in the Plan. The Employee should consult with his or her personal tax advisor for additional details.</w:t>
      </w:r>
    </w:p>
    <w:p>
      <w:pPr>
        <w:pStyle w:val="TextBody"/>
        <w:bidi w:val="0"/>
        <w:spacing w:lineRule="auto" w:line="271" w:before="241" w:after="283"/>
        <w:jc w:val="center"/>
        <w:rPr/>
      </w:pPr>
      <w:r>
        <w:rPr>
          <w:rFonts w:ascii="Times New Roman;sans-serif" w:hAnsi="Times New Roman;sans-serif"/>
          <w:b/>
          <w:color w:val="000000"/>
          <w:sz w:val="22"/>
          <w:u w:val="single"/>
        </w:rPr>
        <w:t>BULGARIA</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will be required to file statistical forms with the Bulgarian national bank annually regarding his or her receivables in bank accounts abroad as well as securities held abroad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acquired under the Plan) if the total sum of all such receivables and securities equals or exceeds BGN50,000 as of the previous calendar year end. The reports are due by March 31.</w:t>
      </w:r>
    </w:p>
    <w:p>
      <w:pPr>
        <w:pStyle w:val="TextBody"/>
        <w:bidi w:val="0"/>
        <w:spacing w:before="10" w:after="283"/>
        <w:jc w:val="left"/>
        <w:rPr/>
      </w:pPr>
      <w:r>
        <w:rPr/>
      </w:r>
    </w:p>
    <w:p>
      <w:pPr>
        <w:pStyle w:val="TextBody"/>
        <w:bidi w:val="0"/>
        <w:spacing w:lineRule="auto" w:line="276" w:before="1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should contact his or her bank in Bulgaria for additional information regarding these requirements.</w:t>
      </w:r>
    </w:p>
    <w:p>
      <w:pPr>
        <w:pStyle w:val="TextBody"/>
        <w:bidi w:val="0"/>
        <w:spacing w:lineRule="auto" w:line="271" w:before="245" w:after="283"/>
        <w:jc w:val="center"/>
        <w:rPr/>
      </w:pPr>
      <w:r>
        <w:rPr>
          <w:rFonts w:ascii="Times New Roman;sans-serif" w:hAnsi="Times New Roman;sans-serif"/>
          <w:b/>
          <w:color w:val="000000"/>
          <w:sz w:val="22"/>
          <w:u w:val="single"/>
        </w:rPr>
        <w:t>CANADA</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3" w:before="229" w:after="283"/>
        <w:jc w:val="left"/>
        <w:rPr/>
      </w:pPr>
      <w:r>
        <w:rPr>
          <w:rFonts w:ascii="Times New Roman;sans-serif" w:hAnsi="Times New Roman;sans-serif"/>
          <w:b/>
          <w:color w:val="000000"/>
          <w:sz w:val="22"/>
        </w:rPr>
        <w:t xml:space="preserve">Form of Settlement. </w:t>
      </w:r>
      <w:r>
        <w:rPr>
          <w:rFonts w:ascii="Times New Roman;sans-serif" w:hAnsi="Times New Roman;sans-serif"/>
          <w:b w:val="false"/>
          <w:color w:val="000000"/>
          <w:sz w:val="22"/>
        </w:rPr>
        <w:t>Deferred Stock Units granted to employees resident in Canada shall be paid in shares of Common Stock only.</w:t>
      </w:r>
    </w:p>
    <w:p>
      <w:pPr>
        <w:pStyle w:val="TextBody"/>
        <w:bidi w:val="0"/>
        <w:spacing w:lineRule="auto" w:line="276" w:before="235" w:after="283"/>
        <w:jc w:val="left"/>
        <w:rPr/>
      </w:pPr>
      <w:r>
        <w:rPr>
          <w:rFonts w:ascii="Times New Roman;sans-serif" w:hAnsi="Times New Roman;sans-serif"/>
          <w:b/>
          <w:color w:val="000000"/>
          <w:sz w:val="22"/>
        </w:rPr>
        <w:t>Termination of Employment</w:t>
      </w:r>
      <w:r>
        <w:rPr>
          <w:rFonts w:ascii="Times New Roman;sans-serif" w:hAnsi="Times New Roman;sans-serif"/>
          <w:b w:val="false"/>
          <w:color w:val="000000"/>
          <w:sz w:val="22"/>
        </w:rPr>
        <w:t>. The following provision supplements paragraph 2 of the Agreement:</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Except as expressly required by applicable legislation, the Employee’s employment with the Mondelēz Group shall be deemed to be terminated and vesting of the Deferred Stock Units will terminate effective as of the date that is the earliest of: (1) the date the Employee’s employment with the Mondelēz Group is terminated, or (2) the date the Employee receives notice of termination of employment from the Mondelēz Group; regardless of the reason for such termination and whether or not later found to be invalid or in breach of any applicable law, including Canadian provincial employment law (including but not limited to statutory law, regulatory law and/or common law) or the terms of the Employee’s employment or service agreement, if any. The Committee shall have the exclusive discretion to determine when the Employee is no longer actively employed or providing services and the termination date for purposes of the Agreement.</w:t>
      </w:r>
    </w:p>
    <w:p>
      <w:pPr>
        <w:pStyle w:val="TextBody"/>
        <w:bidi w:val="0"/>
        <w:spacing w:lineRule="auto" w:line="276" w:before="235"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foregoing, if applicable employment standards legislation explicitly requires continued entitlement to vesting during a statutory notice period, the Employee’s right to vest in the Deferred Stock Units under the Plan, if any, will terminate effective as of the last day of the Employee’s minimum statutory notice period. The Employee will not earn or be entitled to pro-rated vesting for that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5"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portion of time before the date on which the Employee’s right to vest terminates or if the vesting date falls after the end of the Employee’s statutory notice period, nor will the Employee be entitled to any compensation for lost vesting.</w:t>
      </w:r>
    </w:p>
    <w:p>
      <w:pPr>
        <w:pStyle w:val="TextBody"/>
        <w:bidi w:val="0"/>
        <w:spacing w:lineRule="auto" w:line="271" w:before="246"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The following provisions apply for Employees resident in Quebec:</w:t>
      </w:r>
    </w:p>
    <w:p>
      <w:pPr>
        <w:pStyle w:val="TextBody"/>
        <w:bidi w:val="0"/>
        <w:spacing w:lineRule="auto" w:line="276" w:before="240" w:after="283"/>
        <w:jc w:val="left"/>
        <w:rPr/>
      </w:pPr>
      <w:r>
        <w:rPr>
          <w:rFonts w:ascii="Times New Roman;sans-serif" w:hAnsi="Times New Roman;sans-serif"/>
          <w:b/>
          <w:color w:val="000000"/>
          <w:sz w:val="22"/>
        </w:rPr>
        <w:t>Data Privacy</w:t>
      </w:r>
      <w:r>
        <w:rPr>
          <w:rFonts w:ascii="Times New Roman;sans-serif" w:hAnsi="Times New Roman;sans-serif"/>
          <w:b w:val="false"/>
          <w:color w:val="000000"/>
          <w:sz w:val="22"/>
        </w:rPr>
        <w:t>. The following provision supplements paragraph 14 of the Agreement:</w: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hereby authorizes the Company and the Company’s representatives to discuss with and obtain all relevant information from all personnel, professional or not, involved in the administration and operation of the Plan. The Employee further authorizes the Mondelēz Group and the administrator of the Plan to disclose and discuss the Plan with their advisors. The Employee acknowledges and agrees that the Employee’s personal information, including sensitive personal information, may be transferred or disclosed outside of the Province of Quebec, including to the United States. The Employee further authorizes the Mondelēz Group to record such information and to keep such information in his or her employee file. The Employee also acknowledges and authorizes the Company and any subsidiary or affiliate or other parties involved in the administration of the Plan to use technology for profiling purposes and to make automated decisions that may have an impact on the Employee or the administration of the Plan.</w:t>
      </w:r>
    </w:p>
    <w:p>
      <w:pPr>
        <w:pStyle w:val="TextBody"/>
        <w:bidi w:val="0"/>
        <w:spacing w:lineRule="auto" w:line="273" w:before="242" w:after="283"/>
        <w:jc w:val="left"/>
        <w:rPr/>
      </w:pPr>
      <w:r>
        <w:rPr>
          <w:rFonts w:ascii="Times New Roman;sans-serif" w:hAnsi="Times New Roman;sans-serif"/>
          <w:b/>
          <w:color w:val="000000"/>
          <w:sz w:val="22"/>
        </w:rPr>
        <w:t>Language</w:t>
      </w:r>
      <w:r>
        <w:rPr>
          <w:rFonts w:ascii="Times New Roman;sans-serif" w:hAnsi="Times New Roman;sans-serif"/>
          <w:b w:val="false"/>
          <w:color w:val="000000"/>
          <w:sz w:val="22"/>
        </w:rPr>
        <w:t>. A French translation of the Plan and the Agreement can be made available to the Employee as soon as reasonably practicable upon the Employee’s request. The Employee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pStyle w:val="TextBody"/>
        <w:bidi w:val="0"/>
        <w:spacing w:lineRule="auto" w:line="276" w:before="232"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Une traduction française du Plan et du présent Contrat pourra êtremise à la disposition de Employé(e) dès que raisonnablement possible à la demande de l'Employé. Le Employé(e) comprend que, de temps à autre, des informations supplémentaires liées à l'offre du Plan peuvent être fournies en anglais et que ces informations peuvent ne pas être immédiatement disponibles en français. Cependant, sur demande, la Compagnie traduira en français les documents relatifs à l'offre du Plan dès que raisonnablement possible.</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Employee is permitted to sell shares of Common Stock acquired under the Plan through the designated broker appointed under the Plan, if any, provided that the sale of such shares takes place outside Canada through the facilities of a stock exchange on which the shares of Common Stock are listed (</w:t>
      </w:r>
      <w:r>
        <w:rPr>
          <w:rFonts w:ascii="Times New Roman;sans-serif" w:hAnsi="Times New Roman;sans-serif"/>
          <w:b w:val="false"/>
          <w:i/>
          <w:color w:val="000000"/>
          <w:sz w:val="22"/>
        </w:rPr>
        <w:t>i.e.</w:t>
      </w:r>
      <w:r>
        <w:rPr>
          <w:rFonts w:ascii="Times New Roman;sans-serif" w:hAnsi="Times New Roman;sans-serif"/>
          <w:b w:val="false"/>
          <w:color w:val="000000"/>
          <w:sz w:val="22"/>
        </w:rPr>
        <w:t>, the Nasdaq Global Select Market).</w:t>
      </w:r>
    </w:p>
    <w:p>
      <w:pPr>
        <w:pStyle w:val="TextBody"/>
        <w:bidi w:val="0"/>
        <w:spacing w:lineRule="auto" w:line="276" w:before="226"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The Employee is required to report any specified foreign property annually on Form T1135 (Foreign Income Verification Statement) if the total cost of the Employee’s specified foreign property exceeds C$100,000 at any time during the year. The form must be filed by April 30th of the following year. Specified foreign property includes shares of Common Stock acquired under the Plan and may include the Deferred Stock Units. The Deferred Stock Units must be reported--generally at a nil cost--if the $100,000 cost threshold is exceeded because of other specified foreign property the Employee holds. If shares of Common Stock are acquired, their cost generally is the adjusted cost base (“</w:t>
      </w:r>
      <w:r>
        <w:rPr>
          <w:rFonts w:ascii="Times New Roman;sans-serif" w:hAnsi="Times New Roman;sans-serif"/>
          <w:b w:val="false"/>
          <w:color w:val="000000"/>
          <w:sz w:val="22"/>
          <w:u w:val="single"/>
        </w:rPr>
        <w:t>ACB</w:t>
      </w:r>
      <w:r>
        <w:rPr>
          <w:color w:val="000000"/>
        </w:rPr>
        <w:t xml:space="preserve">” </w:t>
      </w:r>
      <w:r>
        <w:rPr>
          <w:rFonts w:ascii="Times New Roman;sans-serif" w:hAnsi="Times New Roman;sans-serif"/>
          <w:b w:val="false"/>
          <w:color w:val="000000"/>
          <w:sz w:val="22"/>
        </w:rPr>
        <w:t>) of the shares of Common Stock. The ACB would normally equal the fair market value of the shares of Common Stock at vesting for Deferred Stock Units, but if the Employee owns other shares of Company Common Stock, this ACB may have to be averaged with the ACB of the other shares of Common Stock owned by the Employee. It is the Employee’s responsibility to comply with applicable reporting obligations.</w:t>
      </w:r>
    </w:p>
    <w:p>
      <w:pPr>
        <w:pStyle w:val="TextBody"/>
        <w:bidi w:val="0"/>
        <w:spacing w:lineRule="auto" w:line="271" w:before="242" w:after="283"/>
        <w:jc w:val="center"/>
        <w:rPr/>
      </w:pPr>
      <w:r>
        <w:rPr>
          <w:rFonts w:ascii="Times New Roman;sans-serif" w:hAnsi="Times New Roman;sans-serif"/>
          <w:b/>
          <w:color w:val="000000"/>
          <w:sz w:val="22"/>
          <w:u w:val="single"/>
        </w:rPr>
        <w:t>CHILE</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3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28"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offer of Deferred Stock Units constitutes a private offering of securities in Chile effective as of the Grant Date. The offer of Deferred Stock Units is made subject to general ruling N° 336 of the Chilean Commission for the Financial Market (“</w:t>
      </w:r>
      <w:r>
        <w:rPr>
          <w:rFonts w:ascii="Times New Roman;sans-serif" w:hAnsi="Times New Roman;sans-serif"/>
          <w:b w:val="false"/>
          <w:color w:val="000000"/>
          <w:sz w:val="22"/>
          <w:u w:val="single"/>
        </w:rPr>
        <w:t>CMF</w:t>
      </w:r>
      <w:r>
        <w:rPr>
          <w:color w:val="000000"/>
        </w:rPr>
        <w:t>”</w:t>
      </w:r>
      <w:r>
        <w:rPr>
          <w:rFonts w:ascii="Times New Roman;sans-serif" w:hAnsi="Times New Roman;sans-serif"/>
          <w:b w:val="false"/>
          <w:color w:val="000000"/>
          <w:sz w:val="22"/>
        </w:rPr>
        <w:t>). The offer refers to securities not registered at the securities registry or at the foreign securities registry of the CMF, and, therefore, such securities are not subject to oversight of the CMF. Given that the Deferred Stock Units are not registered in Chile, the Company is not required to provide public information about the Deferred Stock Units or the shares of Common Stock in Chile. Unless the Deferred Stock Units and/or the shares of Common Stock are registered with the CMF, a public offering of such securities cannot be made in Chile.</w:t>
      </w:r>
    </w:p>
    <w:p>
      <w:pPr>
        <w:pStyle w:val="TextBody"/>
        <w:bidi w:val="0"/>
        <w:spacing w:lineRule="auto" w:line="276" w:before="242" w:after="283"/>
        <w:jc w:val="left"/>
        <w:rPr/>
      </w:pPr>
      <w:r>
        <w:rPr>
          <w:rFonts w:ascii="Times New Roman;sans-serif" w:hAnsi="Times New Roman;sans-serif"/>
          <w:b w:val="false"/>
          <w:i/>
          <w:color w:val="000000"/>
          <w:sz w:val="22"/>
        </w:rPr>
        <w:t>Esta oferta de Unidades de Acciones Diferidas constituye una oferta privada de valores en Chile y se inicia en la Fecha de la Concesión. Esta oferta de Unidades de Acciones Diferidas se acoge a las disposiciones de la Norma de Carácter General N° 336 de la Comisión para el Mercado Financiero de Chile (“</w:t>
      </w:r>
      <w:r>
        <w:rPr>
          <w:rFonts w:ascii="Times New Roman;sans-serif" w:hAnsi="Times New Roman;sans-serif"/>
          <w:b w:val="false"/>
          <w:i/>
          <w:color w:val="000000"/>
          <w:sz w:val="22"/>
          <w:u w:val="single"/>
        </w:rPr>
        <w:t>CMF</w:t>
      </w:r>
      <w:r>
        <w:rPr>
          <w:color w:val="000000"/>
        </w:rPr>
        <w:t>”</w:t>
      </w:r>
      <w:r>
        <w:rPr>
          <w:rFonts w:ascii="Times New Roman;sans-serif" w:hAnsi="Times New Roman;sans-serif"/>
          <w:b w:val="false"/>
          <w:i/>
          <w:color w:val="000000"/>
          <w:sz w:val="22"/>
        </w:rPr>
        <w:t>). Esta oferta versa sobre valores no inscritos en el Registro de Valores o en el Registro de Valores Extranjeros que lleva la CMF, por lo que tales valores no están sujetos a la fiscalización de ésta. Por tratarse las Unidades de Acciones Diferidas de valores no registrados en Chile, no existe obligación por parte de la Compañía de entregar en Chile información pública respecto de las Unidades de Acciones Diferidas o sus Acciones. Estos valores no podrán ser objeto de oferta pública en Chile mientras no sean inscritos en el Registro de Valores correspondiente.</w:t>
      </w:r>
    </w:p>
    <w:p>
      <w:pPr>
        <w:pStyle w:val="TextBody"/>
        <w:bidi w:val="0"/>
        <w:spacing w:lineRule="auto" w:line="276" w:before="337"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not required to repatriate any funds he or she receives with respect to the Deferred Stock Units and/or the shares of Common Stock (</w:t>
      </w:r>
      <w:r>
        <w:rPr>
          <w:rFonts w:ascii="Times New Roman;sans-serif" w:hAnsi="Times New Roman;sans-serif"/>
          <w:b w:val="false"/>
          <w:i/>
          <w:color w:val="000000"/>
          <w:sz w:val="22"/>
        </w:rPr>
        <w:t>e.g.</w:t>
      </w:r>
      <w:r>
        <w:rPr>
          <w:rFonts w:ascii="Times New Roman;sans-serif" w:hAnsi="Times New Roman;sans-serif"/>
          <w:b w:val="false"/>
          <w:color w:val="000000"/>
          <w:sz w:val="22"/>
        </w:rPr>
        <w:t>, proceeds from the sale of shares of Common Stock or dividends received) to Chile. However, if the Employee decides to repatriate such funds, he or she must do so through the Formal Exchange Market (</w:t>
      </w:r>
      <w:r>
        <w:rPr>
          <w:rFonts w:ascii="Times New Roman;sans-serif" w:hAnsi="Times New Roman;sans-serif"/>
          <w:b w:val="false"/>
          <w:i/>
          <w:color w:val="000000"/>
          <w:sz w:val="22"/>
        </w:rPr>
        <w:t>i.e.</w:t>
      </w:r>
      <w:r>
        <w:rPr>
          <w:rFonts w:ascii="Times New Roman;sans-serif" w:hAnsi="Times New Roman;sans-serif"/>
          <w:b w:val="false"/>
          <w:color w:val="000000"/>
          <w:sz w:val="22"/>
        </w:rPr>
        <w:t>, a commercial bank or registered foreign exchange office) if the amount of the funds repatriated exceeds US$10,000. Further, if the value of the aggregate investments held by the Employee outside of Chile exceeds US$5,000,000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and cash proceeds acquired under the Plan), the Employee must report the investments annually to the Central Bank using Annex 3.1 of Chapter XII of the Foreign Exchange Regulations.</w:t>
      </w:r>
    </w:p>
    <w:p>
      <w:pPr>
        <w:pStyle w:val="TextBody"/>
        <w:bidi w:val="0"/>
        <w:spacing w:lineRule="auto" w:line="276" w:before="339" w:after="283"/>
        <w:jc w:val="left"/>
        <w:rPr/>
      </w:pPr>
      <w:r>
        <w:rPr>
          <w:rFonts w:ascii="Times New Roman;sans-serif" w:hAnsi="Times New Roman;sans-serif"/>
          <w:b w:val="false"/>
          <w:color w:val="000000"/>
          <w:sz w:val="22"/>
        </w:rPr>
        <w:t xml:space="preserve">Exchange control requirements are subject to change. </w:t>
      </w:r>
      <w:r>
        <w:rPr>
          <w:rFonts w:ascii="Times New Roman;sans-serif" w:hAnsi="Times New Roman;sans-serif"/>
          <w:b w:val="false"/>
          <w:i/>
          <w:color w:val="000000"/>
          <w:sz w:val="22"/>
        </w:rPr>
        <w:t>The Employee should consult with his or her personal legal advisor regarding any exchange control obligations that may apply in connection with the Deferred Stock Units.</w:t>
      </w:r>
    </w:p>
    <w:p>
      <w:pPr>
        <w:pStyle w:val="TextBody"/>
        <w:bidi w:val="0"/>
        <w:spacing w:lineRule="auto" w:line="276" w:before="334" w:after="283"/>
        <w:jc w:val="left"/>
        <w:rPr/>
      </w:pPr>
      <w:r>
        <w:rPr>
          <w:rFonts w:ascii="Times New Roman;sans-serif" w:hAnsi="Times New Roman;sans-serif"/>
          <w:b/>
          <w:color w:val="000000"/>
          <w:sz w:val="22"/>
        </w:rPr>
        <w:t>Foreign Asset / Account Reporting Information</w:t>
      </w:r>
      <w:r>
        <w:rPr>
          <w:rFonts w:ascii="Times New Roman;sans-serif" w:hAnsi="Times New Roman;sans-serif"/>
          <w:b w:val="false"/>
          <w:color w:val="000000"/>
          <w:sz w:val="22"/>
        </w:rPr>
        <w:t>. If the Employee holds shares of Common Stock acquired under the Plan outside Chile, the Employee will be required to inform the Chilean Internal Revenue Service (the “</w:t>
      </w:r>
      <w:r>
        <w:rPr>
          <w:rFonts w:ascii="Times New Roman;sans-serif" w:hAnsi="Times New Roman;sans-serif"/>
          <w:b w:val="false"/>
          <w:color w:val="000000"/>
          <w:sz w:val="22"/>
          <w:u w:val="single"/>
        </w:rPr>
        <w:t>CIRS</w:t>
      </w:r>
      <w:r>
        <w:rPr>
          <w:color w:val="000000"/>
        </w:rPr>
        <w:t>”</w:t>
      </w:r>
      <w:r>
        <w:rPr>
          <w:rFonts w:ascii="Times New Roman;sans-serif" w:hAnsi="Times New Roman;sans-serif"/>
          <w:b w:val="false"/>
          <w:color w:val="000000"/>
          <w:sz w:val="22"/>
        </w:rPr>
        <w:t>) of the details of the Employee’s investment in the shares of Common Stock. Further, if the Employee wishes to receive a tax credit against the Employee’s Chilean income taxes for any taxes paid abroad, the Employee must report the payment of taxes abroad to the CIRS. In either case, the Employee must file Tax Form 1929 by July 1 each year, which should be submitted electronically through the CIRS website:</w:t>
      </w:r>
      <w:r>
        <w:rPr>
          <w:color w:val="0000FF"/>
          <w:u w:val="single"/>
        </w:rPr>
        <w:t xml:space="preserve"> </w:t>
      </w:r>
      <w:r>
        <w:rPr>
          <w:rFonts w:ascii="Times New Roman;sans-serif" w:hAnsi="Times New Roman;sans-serif"/>
          <w:b w:val="false"/>
          <w:color w:val="0000FF"/>
          <w:sz w:val="22"/>
          <w:u w:val="single"/>
        </w:rPr>
        <w:t>www.sii.cl.</w:t>
      </w:r>
      <w:r>
        <w:rPr>
          <w:color w:val="0000FF"/>
        </w:rPr>
        <w:t xml:space="preserve"> </w:t>
      </w:r>
    </w:p>
    <w:p>
      <w:pPr>
        <w:pStyle w:val="TextBody"/>
        <w:bidi w:val="0"/>
        <w:spacing w:lineRule="auto" w:line="271" w:before="248" w:after="283"/>
        <w:jc w:val="center"/>
        <w:rPr/>
      </w:pPr>
      <w:r>
        <w:rPr>
          <w:rFonts w:ascii="Times New Roman;sans-serif" w:hAnsi="Times New Roman;sans-serif"/>
          <w:b/>
          <w:color w:val="000000"/>
          <w:sz w:val="22"/>
          <w:u w:val="single"/>
        </w:rPr>
        <w:t>CHINA</w:t>
      </w:r>
      <w:r>
        <w:rPr>
          <w:color w:val="000000"/>
        </w:rPr>
        <w:t xml:space="preserve"> </w:t>
      </w:r>
    </w:p>
    <w:p>
      <w:pPr>
        <w:pStyle w:val="TextBody"/>
        <w:bidi w:val="0"/>
        <w:spacing w:lineRule="auto" w:line="276" w:before="233"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7" w:after="283"/>
        <w:jc w:val="left"/>
        <w:rPr>
          <w:rFonts w:ascii="Times New Roman;sans-serif" w:hAnsi="Times New Roman;sans-serif"/>
          <w:b/>
          <w:i/>
          <w:color w:val="000000"/>
          <w:sz w:val="22"/>
        </w:rPr>
      </w:pPr>
      <w:r>
        <w:rPr>
          <w:rFonts w:ascii="Times New Roman;sans-serif" w:hAnsi="Times New Roman;sans-serif"/>
          <w:b/>
          <w:i/>
          <w:color w:val="000000"/>
          <w:sz w:val="22"/>
        </w:rPr>
        <w:t>The following provisions apply to Employees who are exclusively citizens of the People’s Republic of China and who reside in mainland China, and Employees who are otherwise subject to exchange control restrictions applicable to employee stock plans in China, as determined by the Company in its sole discretion.</w:t>
      </w:r>
    </w:p>
    <w:p>
      <w:pPr>
        <w:pStyle w:val="TextBody"/>
        <w:bidi w:val="0"/>
        <w:spacing w:lineRule="auto" w:line="276" w:before="236" w:after="283"/>
        <w:jc w:val="left"/>
        <w:rPr/>
      </w:pPr>
      <w:r>
        <w:rPr>
          <w:rFonts w:ascii="Times New Roman;sans-serif" w:hAnsi="Times New Roman;sans-serif"/>
          <w:b/>
          <w:color w:val="000000"/>
          <w:sz w:val="22"/>
        </w:rPr>
        <w:t xml:space="preserve">Settlement of Deferred Stock Units and Sale of Shares. </w:t>
      </w:r>
      <w:r>
        <w:rPr>
          <w:rFonts w:ascii="Times New Roman;sans-serif" w:hAnsi="Times New Roman;sans-serif"/>
          <w:b w:val="false"/>
          <w:color w:val="000000"/>
          <w:sz w:val="22"/>
        </w:rPr>
        <w:t xml:space="preserve">Due to legal restrictions in China, upon the vesting of Deferred Stock Units, the Employee acknowledges that the Deferred Stock Units may be paid </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 the Employee in cash rather than shares of Common Stock. If shares of Common Stock are issued upon vesting of the Deferred Stock Units, in the Company’s sole discretion, the shares may be required to be immediately sold. Thus, as a condition of the grant of the Deferred Stock Units, the Employee agrees to the immediate sale of any shares of Common Stock issued to Employee upon vesting and settlement of the Deferred Stock Units.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The Employee acknowledges that the Company’s designated broker is under no obligation to arrange for the sale of shares of Common Stock at any particular price. Upon any such sale of the shares, the proceeds, less any Tax-Related Items and broker’s fees or commissions, will be remitted to the Employee in accordance with any applicable exchange control laws and regulations.</w: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the event that the Employee is not required to sell shares of Common Stock immediately upon vesting, any shares of Common Stock issued to the Employee must be maintained in an account with Morgan Stanley Smith Barney, LLC (“Morgan Stanley”) or such other broker as may be designated by the Company until the shares of Common Stock are sold through that broker. If the Company changes its designated broker, the Employee acknowledges and agrees that the Company may transfer any shares of Common Stock issued under the Plan to the new designated broker if necessary for legal or administrative reasons. The Employee agrees to sign any documentation necessary to facilitate the transfer. In addition, the Employee acknowledges and agrees that he or she must sell any shares of Common Stock issued upon vesting as soon as practicable following the termination of the Employee’s employment or other service relationship with the Mondelēz Group and in no event later than six (6) months following the termination of the Employee’s employment or other service relationship with the Mondelēz Group, or within any other such time frame the Company determines to be necessary or advisable to comply with local requirements.</w:t>
      </w:r>
    </w:p>
    <w:p>
      <w:pPr>
        <w:pStyle w:val="TextBody"/>
        <w:bidi w:val="0"/>
        <w:spacing w:lineRule="auto" w:line="276" w:before="236" w:after="283"/>
        <w:jc w:val="left"/>
        <w:rPr/>
      </w:pPr>
      <w:r>
        <w:rPr>
          <w:rFonts w:ascii="Times New Roman;sans-serif" w:hAnsi="Times New Roman;sans-serif"/>
          <w:b/>
          <w:color w:val="000000"/>
          <w:sz w:val="22"/>
        </w:rPr>
        <w:t xml:space="preserve">Exchange Control Restrictions. </w:t>
      </w:r>
      <w:r>
        <w:rPr>
          <w:rFonts w:ascii="Times New Roman;sans-serif" w:hAnsi="Times New Roman;sans-serif"/>
          <w:b w:val="false"/>
          <w:color w:val="000000"/>
          <w:sz w:val="22"/>
        </w:rPr>
        <w:t>The Employee understands and agrees that, due to exchange control laws in China, he or she will be required to immediately repatriate to China any proceeds from the sale of shares of Common Stock acquired from the Deferred Stock Units and any dividends and/or dividend equivalents paid to the Employee in cash. The Employee further understands that, under local law, such repatriation of the cash proceeds will be effected through a special exchange control account established by a member of the Mondelēz Group and the Employee hereby consents and agrees that any cash proceeds received in connection with the Plan will be transferred to such special account prior to being delivered to him or her. The proceeds may be paid in U.S. dollars or local currency at the Company’s discretion. If the proceeds are paid in U.S. dollars, the Employee acknowledges that he or she will be required to set up a U.S. dollar bank account in China so that the proceeds may be delivered to this account. If the proceeds are converted to local currency, the Employee acknowledges that the Mondelēz Group is under no obligation to secure any currency conversion rate and may face delays in converting the proceeds to local currency due to exchange control restrictions in China. The Employee agrees to bear any currency fluctuation risk between the date the shares of Common Stock acquired from the Deferred Stock Units are sold or any dividends are paid and the time that (i) the Tax-Related Items are converted to local currency and remitted to the tax authorities and (ii) net proceeds are converted to local currency and distributed to the Employee. The Employee acknowledges that the Mondelēz Group will not be held liable for any delay in delivering the proceeds to the Employee. The Employee agrees to sign any agreements, forms and/or consents that may be requested by the Company or the Company’s designated broker to effectuate any of the remittances, transfers, conversions or other processes affecting the proceeds.</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further agrees to comply with any other requirements that may be imposed by the Company in the future in order to facilitate compliance with exchange control requirements in China. For Deferred Stock Units, these additional requirements may include, but are not limited to, a requirement to maintain any shares of Common Stock acquired from the Deferred Stock Units in an account with a Company-designated broker and/or to sell any shares of Common Stock that the Employee receives immediately upon vesting of the Deferred Stock Units (as explained above) or upon termination of the Employee’s service with the Mondelēz Group.</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242"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xml:space="preserve">. Chinese residents may be required to report to the SAFE all details of their foreign financial assets and liabilities, as well as details of any economic transactions conducted with non-Chinese residents, including the Company. </w:t>
      </w:r>
    </w:p>
    <w:p>
      <w:pPr>
        <w:pStyle w:val="TextBody"/>
        <w:bidi w:val="0"/>
        <w:spacing w:lineRule="auto" w:line="276" w:before="238"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COLOMBIA</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5" w:after="283"/>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acknowledgments contained in paragraph 13 of the Agreement:</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that pursuant to Article 128 of the Colombian Labor Code, the Plan and related benefits do not constitute a component of the Employee’s “salary” for any legal purpose. Therefore, they will not be included and/or considered for purposes of calculating any and all labor benefits, such as legal/fringe benefits, vacations, indemnities, payroll taxes, social insurance contributions and/or any other labor-related amounts, subject to the limitations provided in Law 1393/2010.</w:t>
      </w:r>
    </w:p>
    <w:p>
      <w:pPr>
        <w:pStyle w:val="TextBody"/>
        <w:bidi w:val="0"/>
        <w:spacing w:lineRule="auto" w:line="271" w:before="242"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1"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shares of Common Stock are not and will not be registered in the Colombian registry of publicly traded securities (</w:t>
      </w:r>
      <w:r>
        <w:rPr>
          <w:rFonts w:ascii="Times New Roman;sans-serif" w:hAnsi="Times New Roman;sans-serif"/>
          <w:b w:val="false"/>
          <w:i/>
          <w:color w:val="000000"/>
          <w:sz w:val="22"/>
        </w:rPr>
        <w:t>Registro Nacional de Valores y Emisores</w:t>
      </w:r>
      <w:r>
        <w:rPr>
          <w:rFonts w:ascii="Times New Roman;sans-serif" w:hAnsi="Times New Roman;sans-serif"/>
          <w:b w:val="false"/>
          <w:color w:val="000000"/>
          <w:sz w:val="22"/>
        </w:rPr>
        <w:t>) and therefore the shares of Common Stock may not be offered to the public in Colombia. Nothing in this document should be construed as the making of a public offer of securities in Colombia. An offer of shares of Common Stock to employees will not be considered a public offer provided that it meets the conditions set forth in Article 6.1.1.1.1 in Decree 2555, 2010.</w:t>
      </w:r>
    </w:p>
    <w:p>
      <w:pPr>
        <w:pStyle w:val="TextBody"/>
        <w:bidi w:val="0"/>
        <w:spacing w:lineRule="auto" w:line="276" w:before="234"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Colombian residents must register shares of Common Stock acquired under the Plan, regardless of value, with the Central Bank of Colombia (</w:t>
      </w:r>
      <w:r>
        <w:rPr>
          <w:rFonts w:ascii="Times New Roman;sans-serif" w:hAnsi="Times New Roman;sans-serif"/>
          <w:b w:val="false"/>
          <w:i/>
          <w:color w:val="000000"/>
          <w:sz w:val="22"/>
        </w:rPr>
        <w:t>Banco de la República</w:t>
      </w:r>
      <w:r>
        <w:rPr>
          <w:rFonts w:ascii="Times New Roman;sans-serif" w:hAnsi="Times New Roman;sans-serif"/>
          <w:b w:val="false"/>
          <w:color w:val="000000"/>
          <w:sz w:val="22"/>
        </w:rPr>
        <w:t>) as foreign investment held abroad. In addition, the liquidation of such investments must be transferred through the Colombian foreign exchange market (e.g. local banks), which includes the obligation of correctly completing and filing the appropriate foreign exchange form (</w:t>
      </w:r>
      <w:r>
        <w:rPr>
          <w:rFonts w:ascii="Times New Roman;sans-serif" w:hAnsi="Times New Roman;sans-serif"/>
          <w:b w:val="false"/>
          <w:i/>
          <w:color w:val="000000"/>
          <w:sz w:val="22"/>
        </w:rPr>
        <w:t>declaración de cambio</w:t>
      </w:r>
      <w:r>
        <w:rPr>
          <w:rFonts w:ascii="Times New Roman;sans-serif" w:hAnsi="Times New Roman;sans-serif"/>
          <w:b w:val="false"/>
          <w:color w:val="000000"/>
          <w:sz w:val="22"/>
        </w:rPr>
        <w:t>).</w:t>
      </w:r>
    </w:p>
    <w:p>
      <w:pPr>
        <w:pStyle w:val="TextBody"/>
        <w:bidi w:val="0"/>
        <w:spacing w:lineRule="auto" w:line="276" w:before="235"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is responsible for complying with applicable exchange control requirements in Colombia and the Employee should consult his or her legal advisor prior to the acquisition or sale of the shares of Common Stock under the Plan to ensure compliance with current regulations.</w:t>
      </w:r>
    </w:p>
    <w:p>
      <w:pPr>
        <w:pStyle w:val="TextBody"/>
        <w:bidi w:val="0"/>
        <w:spacing w:lineRule="auto" w:line="276" w:before="237"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must file an annual informative return with the Colombian Tax Office detailing any assets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Common Stock) held abroad. If the individual value of any of these assets exceeds a certain threshold, the Employee must describe each asset and indicate the jurisdiction in which it is located, its nature and its value.</w:t>
      </w:r>
    </w:p>
    <w:p>
      <w:pPr>
        <w:pStyle w:val="TextBody"/>
        <w:bidi w:val="0"/>
        <w:spacing w:lineRule="auto" w:line="271" w:before="246"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COSTA RICA</w:t>
      </w:r>
    </w:p>
    <w:p>
      <w:pPr>
        <w:pStyle w:val="TextBody"/>
        <w:bidi w:val="0"/>
        <w:spacing w:lineRule="auto" w:line="276" w:before="235"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6" w:after="283"/>
        <w:jc w:val="center"/>
        <w:rPr/>
      </w:pPr>
      <w:r>
        <w:rPr>
          <w:rFonts w:ascii="Times New Roman;sans-serif" w:hAnsi="Times New Roman;sans-serif"/>
          <w:b/>
          <w:color w:val="000000"/>
          <w:sz w:val="22"/>
          <w:u w:val="single"/>
        </w:rPr>
        <w:t>CROATIA</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xml:space="preserve">. Croatian residents may be required to report any foreign investments (including shares of Common Stock acquired under the Plan) to the Croatian National Bank for statistical purposes and obtain prior approval from the Croatian National Bank for bank accounts opened abroad. However, because exchange control regulations may change without notice, the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should consult his or her legal advisor to ensure compliance with current regulations. It is the Employee's responsibility to comply with Croatian exchange control laws.</w:t>
      </w:r>
    </w:p>
    <w:p>
      <w:pPr>
        <w:pStyle w:val="TextBody"/>
        <w:bidi w:val="0"/>
        <w:spacing w:before="232" w:after="283"/>
        <w:jc w:val="left"/>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CZECH REPUBLIC</w:t>
      </w:r>
    </w:p>
    <w:p>
      <w:pPr>
        <w:pStyle w:val="TextBody"/>
        <w:bidi w:val="0"/>
        <w:spacing w:lineRule="auto" w:line="288" w:before="100" w:after="10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Czech residents may be required to fulfill certain notification duties in relation to the Deferred Stock Units and the opening and maintenance of a foreign account, including reporting (i) foreign direct investments with a value of CZK 2,500,000 or more in the aggregate or (ii) foreign financial assets with a value of CZK 200,000,000 or more. The Employee should consult their personal legal advisor to ensure compliance with the applicable requirements.</w:t>
      </w:r>
    </w:p>
    <w:p>
      <w:pPr>
        <w:pStyle w:val="TextBody"/>
        <w:bidi w:val="0"/>
        <w:spacing w:lineRule="auto" w:line="271" w:before="246" w:after="283"/>
        <w:jc w:val="center"/>
        <w:rPr/>
      </w:pPr>
      <w:r>
        <w:rPr>
          <w:rFonts w:ascii="Times New Roman;sans-serif" w:hAnsi="Times New Roman;sans-serif"/>
          <w:b/>
          <w:color w:val="000000"/>
          <w:sz w:val="22"/>
          <w:u w:val="single"/>
        </w:rPr>
        <w:t>DENMARK</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5" w:after="283"/>
        <w:jc w:val="left"/>
        <w:rPr/>
      </w:pPr>
      <w:r>
        <w:rPr>
          <w:rFonts w:ascii="Times New Roman;sans-serif" w:hAnsi="Times New Roman;sans-serif"/>
          <w:b/>
          <w:color w:val="000000"/>
          <w:sz w:val="22"/>
        </w:rPr>
        <w:t>Stock Option Act</w:t>
      </w:r>
      <w:r>
        <w:rPr>
          <w:rFonts w:ascii="Times New Roman;sans-serif" w:hAnsi="Times New Roman;sans-serif"/>
          <w:b w:val="false"/>
          <w:color w:val="000000"/>
          <w:sz w:val="22"/>
        </w:rPr>
        <w:t>. The Employee acknowledges that he or she has received an Employer Statement in Danish, which sets forth the additional terms of the Deferred Stock Units to the extent that the Danish Stock Option Act applies.</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is required to report any accounts holding shares of Common Stock or cash established outside Denmark to the Danish Tax Administration as part of his or her tax return under the section related to foreign affairs and income. The form which should be used in this respect can be obtained from a local bank.</w:t>
      </w:r>
    </w:p>
    <w:p>
      <w:pPr>
        <w:pStyle w:val="TextBody"/>
        <w:bidi w:val="0"/>
        <w:spacing w:lineRule="auto" w:line="271" w:before="242" w:after="283"/>
        <w:jc w:val="center"/>
        <w:rPr/>
      </w:pPr>
      <w:r>
        <w:rPr>
          <w:rFonts w:ascii="Times New Roman;sans-serif" w:hAnsi="Times New Roman;sans-serif"/>
          <w:b/>
          <w:color w:val="000000"/>
          <w:sz w:val="22"/>
          <w:u w:val="single"/>
        </w:rPr>
        <w:t>ECUADOR</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28"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of Common Stock acquired under the Plan. The Net Worth Declaration must be filed in May of the following year using the electronic form on the tax authorities’ website</w:t>
      </w:r>
      <w:r>
        <w:rPr>
          <w:color w:val="0000FF"/>
        </w:rPr>
        <w:t xml:space="preserve"> </w:t>
      </w:r>
      <w:r>
        <w:rPr>
          <w:rFonts w:ascii="Times New Roman;sans-serif" w:hAnsi="Times New Roman;sans-serif"/>
          <w:b w:val="false"/>
          <w:color w:val="0000FF"/>
          <w:sz w:val="22"/>
          <w:u w:val="single"/>
        </w:rPr>
        <w:t>(www.sri.gob.ec)</w:t>
      </w:r>
      <w:r>
        <w:rPr>
          <w:rFonts w:ascii="Times New Roman;sans-serif" w:hAnsi="Times New Roman;sans-serif"/>
          <w:b w:val="false"/>
          <w:color w:val="0000FF"/>
          <w:sz w:val="22"/>
        </w:rPr>
        <w:t>.</w:t>
      </w:r>
      <w:r>
        <w:rPr>
          <w:color w:val="000000"/>
        </w:rPr>
        <w:t xml:space="preserve"> </w:t>
      </w:r>
      <w:r>
        <w:rPr>
          <w:rFonts w:ascii="Times New Roman;sans-serif" w:hAnsi="Times New Roman;sans-serif"/>
          <w:b w:val="false"/>
          <w:color w:val="000000"/>
          <w:sz w:val="22"/>
        </w:rPr>
        <w:t>Penalties will apply to a late filing and it is not possible to seek an extension.</w:t>
      </w:r>
    </w:p>
    <w:p>
      <w:pPr>
        <w:pStyle w:val="TextBody"/>
        <w:bidi w:val="0"/>
        <w:spacing w:lineRule="auto" w:line="276" w:before="236"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Ecuadorian resident individuals are required to report on an annual basis, all monetary assets held in foreign financial entities in excess of US$100,000. The Employee should consult his or her legal or tax advisor to ensure compliance with all applicable reporting obligations.</w:t>
      </w:r>
    </w:p>
    <w:p>
      <w:pPr>
        <w:pStyle w:val="TextBody"/>
        <w:bidi w:val="0"/>
        <w:spacing w:lineRule="auto" w:line="271" w:before="246" w:after="283"/>
        <w:jc w:val="center"/>
        <w:rPr/>
      </w:pPr>
      <w:r>
        <w:rPr>
          <w:rFonts w:ascii="Times New Roman;sans-serif" w:hAnsi="Times New Roman;sans-serif"/>
          <w:b/>
          <w:color w:val="000000"/>
          <w:sz w:val="22"/>
          <w:u w:val="single"/>
        </w:rPr>
        <w:t>EGYPT</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transfers funds into Egypt in connection with the Deferred Stock Units, the Employee is required to transfer the funds through a registered bank in Egypt.</w:t>
      </w:r>
    </w:p>
    <w:p>
      <w:pPr>
        <w:pStyle w:val="TextBody"/>
        <w:bidi w:val="0"/>
        <w:spacing w:before="15" w:after="283"/>
        <w:jc w:val="center"/>
        <w:rPr/>
      </w:pPr>
      <w:r>
        <w:rPr/>
      </w:r>
    </w:p>
    <w:p>
      <w:pPr>
        <w:pStyle w:val="TextBody"/>
        <w:bidi w:val="0"/>
        <w:spacing w:lineRule="auto" w:line="273" w:before="15" w:after="283"/>
        <w:jc w:val="center"/>
        <w:rPr/>
      </w:pPr>
      <w:r>
        <w:rPr>
          <w:rFonts w:ascii="Times New Roman;sans-serif" w:hAnsi="Times New Roman;sans-serif"/>
          <w:b/>
          <w:color w:val="000000"/>
          <w:sz w:val="24"/>
          <w:u w:val="single"/>
        </w:rPr>
        <w:t>ESWATINI</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6" w:after="283"/>
        <w:jc w:val="left"/>
        <w:rPr/>
      </w:pPr>
      <w:r>
        <w:rPr>
          <w:rFonts w:ascii="Times New Roman;sans-serif" w:hAnsi="Times New Roman;sans-serif"/>
          <w:b/>
          <w:color w:val="000000"/>
          <w:sz w:val="22"/>
        </w:rPr>
        <w:t xml:space="preserve">Deferred Stock Units Payable Only in Cash.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At the discretion of the Company, Deferred Stock Units granted to Employees in Eswatini shall be paid in cash in an amount equal to the value of the shares of Common Stock on the Vesting Date.</w:t>
      </w:r>
    </w:p>
    <w:p>
      <w:pPr>
        <w:pStyle w:val="TextBody"/>
        <w:bidi w:val="0"/>
        <w:spacing w:lineRule="auto" w:line="271" w:before="247" w:after="283"/>
        <w:jc w:val="center"/>
        <w:rPr/>
      </w:pPr>
      <w:r>
        <w:rPr>
          <w:rFonts w:ascii="Times New Roman;sans-serif" w:hAnsi="Times New Roman;sans-serif"/>
          <w:b/>
          <w:color w:val="000000"/>
          <w:sz w:val="22"/>
          <w:u w:val="single"/>
        </w:rPr>
        <w:t>FINLAND</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There are no specific reporting requirements with respect to foreign assets/accounts. However, please note that the Employee must check their pre-completed tax return to confirm that the ownership of shares of Common Stock and other securities (foreign or domestic) is correctly reported. If the Employee finds any errors or omissions, the Employee must make the necessary corrections electronically or by sending specific paper forms to the local tax authorities.</w:t>
      </w:r>
    </w:p>
    <w:p>
      <w:pPr>
        <w:pStyle w:val="TextBody"/>
        <w:bidi w:val="0"/>
        <w:spacing w:lineRule="auto" w:line="271" w:before="246" w:after="283"/>
        <w:jc w:val="center"/>
        <w:rPr/>
      </w:pPr>
      <w:r>
        <w:rPr>
          <w:rFonts w:ascii="Times New Roman;sans-serif" w:hAnsi="Times New Roman;sans-serif"/>
          <w:b/>
          <w:color w:val="000000"/>
          <w:sz w:val="22"/>
          <w:u w:val="single"/>
        </w:rPr>
        <w:t>FRANCE</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8" w:after="283"/>
        <w:jc w:val="left"/>
        <w:rPr/>
      </w:pPr>
      <w:r>
        <w:rPr>
          <w:rFonts w:ascii="Times New Roman;sans-serif" w:hAnsi="Times New Roman;sans-serif"/>
          <w:b/>
          <w:color w:val="000000"/>
          <w:sz w:val="22"/>
        </w:rPr>
        <w:t xml:space="preserve">Deferred Stock Units Not French-Qualified. </w:t>
      </w:r>
      <w:r>
        <w:rPr>
          <w:rFonts w:ascii="Times New Roman;sans-serif" w:hAnsi="Times New Roman;sans-serif"/>
          <w:b w:val="false"/>
          <w:color w:val="000000"/>
          <w:sz w:val="22"/>
        </w:rPr>
        <w:t>The Deferred Stock Units granted under this Agreement are not intended to qualify for specific tax and social security treatment pursuant to Sections L. 225-197-1 to L. 225-197-6 of the French Commercial Code, as amended.</w:t>
      </w:r>
    </w:p>
    <w:p>
      <w:pPr>
        <w:pStyle w:val="TextBody"/>
        <w:bidi w:val="0"/>
        <w:spacing w:lineRule="auto" w:line="276" w:before="240" w:after="283"/>
        <w:jc w:val="left"/>
        <w:rPr/>
      </w:pPr>
      <w:r>
        <w:rPr>
          <w:rFonts w:ascii="Times New Roman;sans-serif" w:hAnsi="Times New Roman;sans-serif"/>
          <w:b/>
          <w:color w:val="000000"/>
          <w:sz w:val="22"/>
        </w:rPr>
        <w:t>Consent to Receive Information in English</w:t>
      </w:r>
      <w:r>
        <w:rPr>
          <w:rFonts w:ascii="Times New Roman;sans-serif" w:hAnsi="Times New Roman;sans-serif"/>
          <w:b w:val="false"/>
          <w:color w:val="000000"/>
          <w:sz w:val="22"/>
        </w:rPr>
        <w:t>. By accepting the Grant, the Employee confirms having read and understood the Plan and Agreement, including all terms and conditions included therein, which were provided in the English language. The Employee accepts the terms of those documents accordingly.</w:t>
      </w:r>
    </w:p>
    <w:p>
      <w:pPr>
        <w:pStyle w:val="TextBody"/>
        <w:bidi w:val="0"/>
        <w:spacing w:lineRule="auto" w:line="276" w:before="236" w:after="283"/>
        <w:jc w:val="left"/>
        <w:rPr/>
      </w:pPr>
      <w:r>
        <w:rPr>
          <w:rFonts w:ascii="Times New Roman;sans-serif" w:hAnsi="Times New Roman;sans-serif"/>
          <w:b w:val="false"/>
          <w:i/>
          <w:color w:val="000000"/>
          <w:sz w:val="22"/>
        </w:rPr>
        <w:t>En acceptant cette attribution, le Employé confirme avoir lu et compris le Plan et le Contrat y relatifs, incluant tous leurs termes et conditions, qui ont été transmis en langue anglaise. Le Employé accepte les dispositions de ces documents en connaissance de cause</w:t>
      </w:r>
      <w:r>
        <w:rPr>
          <w:rFonts w:ascii="Times New Roman;sans-serif" w:hAnsi="Times New Roman;sans-serif"/>
          <w:b w:val="false"/>
          <w:color w:val="000000"/>
          <w:sz w:val="22"/>
        </w:rPr>
        <w:t>.</w:t>
      </w:r>
    </w:p>
    <w:p>
      <w:pPr>
        <w:pStyle w:val="TextBody"/>
        <w:bidi w:val="0"/>
        <w:spacing w:lineRule="auto" w:line="271" w:before="242"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value of any cash or securities imported to or exported from France without the use of a financial institution must be reported to the customs and excise authorities when the value of such cash or securities is equal to or greater than a certain amount (currently €10,000).</w:t>
      </w:r>
    </w:p>
    <w:p>
      <w:pPr>
        <w:pStyle w:val="TextBody"/>
        <w:bidi w:val="0"/>
        <w:spacing w:lineRule="auto" w:line="276" w:before="242"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If the Employee holds shares of Common Stock outside France or maintains a foreign bank account, he or she is required to report such to the French tax authorities when filing his or her annual tax return, including any accounts that were closed during the year. Failure to comply could trigger significant penalties. Further, French residents with foreign account balances exceeding €1,000,000 may have additional monthly reporting obligations.</w:t>
      </w:r>
    </w:p>
    <w:p>
      <w:pPr>
        <w:pStyle w:val="TextBody"/>
        <w:bidi w:val="0"/>
        <w:spacing w:lineRule="auto" w:line="271" w:before="242" w:after="283"/>
        <w:jc w:val="center"/>
        <w:rPr/>
      </w:pPr>
      <w:r>
        <w:rPr>
          <w:rFonts w:ascii="Times New Roman;sans-serif" w:hAnsi="Times New Roman;sans-serif"/>
          <w:b/>
          <w:color w:val="000000"/>
          <w:sz w:val="22"/>
          <w:u w:val="single"/>
        </w:rPr>
        <w:t>GEORGIA</w:t>
      </w:r>
      <w:r>
        <w:rPr>
          <w:color w:val="000000"/>
        </w:rPr>
        <w:t xml:space="preserve"> </w:t>
      </w:r>
    </w:p>
    <w:p>
      <w:pPr>
        <w:pStyle w:val="TextBody"/>
        <w:bidi w:val="0"/>
        <w:spacing w:before="0" w:after="0"/>
        <w:jc w:val="left"/>
        <w:rPr/>
      </w:pPr>
      <w:r>
        <w:rPr/>
      </w:r>
    </w:p>
    <w:p>
      <w:pPr>
        <w:pStyle w:val="TextBody"/>
        <w:bidi w:val="0"/>
        <w:spacing w:lineRule="auto" w:line="271" w:before="14"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0" w:after="283"/>
        <w:jc w:val="both"/>
        <w:rPr/>
      </w:pPr>
      <w:r>
        <w:rPr>
          <w:rFonts w:ascii="Times New Roman;sans-serif" w:hAnsi="Times New Roman;sans-serif"/>
          <w:b/>
          <w:color w:val="000000"/>
          <w:sz w:val="22"/>
        </w:rPr>
        <w:t>Language Consent</w:t>
      </w:r>
      <w:r>
        <w:rPr>
          <w:rFonts w:ascii="Times New Roman;sans-serif" w:hAnsi="Times New Roman;sans-serif"/>
          <w:b w:val="false"/>
          <w:color w:val="000000"/>
          <w:sz w:val="22"/>
        </w:rPr>
        <w:t>. By accepting the Grant, the Employee acknowledges that he or she is proficient in reading and understanding English and fully understands the terms of the documents related to the grant (the Agreement and the Plan), which were provided in the English language. The Employee accepts the terms of those documents accordingly.</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9" w:before="248" w:after="283"/>
        <w:jc w:val="left"/>
        <w:rPr/>
      </w:pPr>
      <w:r>
        <w:rPr>
          <w:rFonts w:ascii="Times New Roman;sans-serif" w:hAnsi="Times New Roman;sans-serif"/>
          <w:b/>
          <w:i/>
          <w:color w:val="000000"/>
          <w:sz w:val="25"/>
        </w:rPr>
        <w:t>თანხმობა ენასთან დაკავშირებით</w:t>
      </w:r>
      <w:r>
        <w:rPr>
          <w:rFonts w:ascii="Times New Roman;sans-serif" w:hAnsi="Times New Roman;sans-serif"/>
          <w:b w:val="false"/>
          <w:i/>
          <w:color w:val="000000"/>
          <w:sz w:val="24"/>
        </w:rPr>
        <w:t xml:space="preserve">. </w:t>
      </w:r>
      <w:r>
        <w:rPr>
          <w:rFonts w:ascii="Calibri;sans-serif" w:hAnsi="Calibri;sans-serif"/>
          <w:b w:val="false"/>
          <w:i/>
          <w:color w:val="000000"/>
          <w:sz w:val="24"/>
        </w:rPr>
        <w:t>გრანტის მიღებით</w:t>
      </w:r>
      <w:r>
        <w:rPr>
          <w:rFonts w:ascii="Bookman Old Style;serif" w:hAnsi="Bookman Old Style;serif"/>
          <w:b/>
          <w:i/>
          <w:color w:val="000000"/>
          <w:sz w:val="19"/>
        </w:rPr>
        <w:t xml:space="preserve">, </w:t>
      </w:r>
      <w:r>
        <w:rPr>
          <w:rFonts w:ascii="Calibri;sans-serif" w:hAnsi="Calibri;sans-serif"/>
          <w:b w:val="false"/>
          <w:i/>
          <w:color w:val="000000"/>
          <w:sz w:val="24"/>
        </w:rPr>
        <w:t>თანამშრომელი ადასტურებს</w:t>
      </w:r>
      <w:r>
        <w:rPr>
          <w:rFonts w:ascii="Bookman Old Style;serif" w:hAnsi="Bookman Old Style;serif"/>
          <w:b/>
          <w:i/>
          <w:color w:val="000000"/>
          <w:sz w:val="19"/>
        </w:rPr>
        <w:t xml:space="preserve">, </w:t>
      </w:r>
      <w:r>
        <w:rPr>
          <w:rFonts w:ascii="Calibri;sans-serif" w:hAnsi="Calibri;sans-serif"/>
          <w:b w:val="false"/>
          <w:i/>
          <w:color w:val="000000"/>
          <w:sz w:val="24"/>
        </w:rPr>
        <w:t xml:space="preserve">რომ ფლობს ინგლისური ენის კითხვასა და გაგებას და სრულად ესმის გრანტთან დაკავშირებული დოკუმენტების პირობები </w:t>
      </w:r>
      <w:r>
        <w:rPr>
          <w:rFonts w:ascii="Bookman Old Style;serif" w:hAnsi="Bookman Old Style;serif"/>
          <w:b/>
          <w:i/>
          <w:color w:val="000000"/>
          <w:sz w:val="19"/>
        </w:rPr>
        <w:t>(</w:t>
      </w:r>
      <w:r>
        <w:rPr>
          <w:rFonts w:ascii="Calibri;sans-serif" w:hAnsi="Calibri;sans-serif"/>
          <w:b w:val="false"/>
          <w:i/>
          <w:color w:val="000000"/>
          <w:sz w:val="24"/>
        </w:rPr>
        <w:t>ხელშეკრულება და გეგმა</w:t>
      </w:r>
      <w:r>
        <w:rPr>
          <w:rFonts w:ascii="Bookman Old Style;serif" w:hAnsi="Bookman Old Style;serif"/>
          <w:b/>
          <w:i/>
          <w:color w:val="000000"/>
          <w:sz w:val="19"/>
        </w:rPr>
        <w:t xml:space="preserve">), </w:t>
      </w:r>
      <w:r>
        <w:rPr>
          <w:rFonts w:ascii="Calibri;sans-serif" w:hAnsi="Calibri;sans-serif"/>
          <w:b w:val="false"/>
          <w:i/>
          <w:color w:val="000000"/>
          <w:sz w:val="24"/>
        </w:rPr>
        <w:t>რომლებიც მოწოდებული იყო ინგლისურ ენაზე</w:t>
      </w:r>
      <w:r>
        <w:rPr>
          <w:rFonts w:ascii="Bookman Old Style;serif" w:hAnsi="Bookman Old Style;serif"/>
          <w:b/>
          <w:i/>
          <w:color w:val="000000"/>
          <w:sz w:val="19"/>
        </w:rPr>
        <w:t xml:space="preserve">. </w:t>
      </w:r>
      <w:r>
        <w:rPr>
          <w:rFonts w:ascii="Calibri;sans-serif" w:hAnsi="Calibri;sans-serif"/>
          <w:b w:val="false"/>
          <w:i/>
          <w:color w:val="000000"/>
          <w:sz w:val="24"/>
        </w:rPr>
        <w:t>თანამშრომელი შესაბამისად იღებს ამ დოკუმენტების პირობებს</w:t>
      </w:r>
      <w:r>
        <w:rPr>
          <w:rFonts w:ascii="Bookman Old Style;serif" w:hAnsi="Bookman Old Style;serif"/>
          <w:b/>
          <w:i/>
          <w:color w:val="000000"/>
          <w:sz w:val="19"/>
        </w:rPr>
        <w:t>.</w:t>
      </w:r>
    </w:p>
    <w:p>
      <w:pPr>
        <w:pStyle w:val="TextBody"/>
        <w:bidi w:val="0"/>
        <w:spacing w:lineRule="auto" w:line="271" w:before="267" w:after="283"/>
        <w:jc w:val="center"/>
        <w:rPr/>
      </w:pPr>
      <w:r>
        <w:rPr>
          <w:rFonts w:ascii="Times New Roman;sans-serif" w:hAnsi="Times New Roman;sans-serif"/>
          <w:b/>
          <w:color w:val="000000"/>
          <w:sz w:val="22"/>
          <w:u w:val="single"/>
        </w:rPr>
        <w:t>GERMANY</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0"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Cross-border payments in connection with the purchase or sale of securities in excess of €12,500 must be reported monthly to the German Federal Bank </w:t>
      </w:r>
      <w:r>
        <w:rPr>
          <w:rFonts w:ascii="Times New Roman;sans-serif" w:hAnsi="Times New Roman;sans-serif"/>
          <w:b w:val="false"/>
          <w:i/>
          <w:color w:val="000000"/>
          <w:sz w:val="22"/>
        </w:rPr>
        <w:t>(Bundesbank)</w:t>
      </w:r>
      <w:r>
        <w:rPr>
          <w:rFonts w:ascii="Times New Roman;sans-serif" w:hAnsi="Times New Roman;sans-serif"/>
          <w:b w:val="false"/>
          <w:color w:val="000000"/>
          <w:sz w:val="22"/>
        </w:rPr>
        <w:t>. If the Employee receives a payment in excess of this amount (including if the Employee acquires shares of Common Stock with a value in excess of this amount under the Plan or sells shares of Common Stock via a foreign broker, bank or service provider and receive proceeds in excess of this amount) and/or if the Company withholds or sells shares of Common Stock with a value in excess of this amount to cover Tax-Related Items, the Employee must report the payment and/or the value of the shares of Common Stock withheld or sold to Bundesbank. Such reports must be filed either electronically using the “General Statistics Reporting Portal” (Allgemeine Meldeportal Statistik) available via the Bundesbank’s website (</w:t>
      </w:r>
      <w:r>
        <w:rPr>
          <w:rFonts w:ascii="Times New Roman;sans-serif" w:hAnsi="Times New Roman;sans-serif"/>
          <w:b w:val="false"/>
          <w:color w:val="0000FF"/>
          <w:sz w:val="22"/>
          <w:u w:val="single"/>
        </w:rPr>
        <w:t>www.bundesbank.de</w:t>
      </w:r>
      <w:r>
        <w:rPr>
          <w:rFonts w:ascii="Times New Roman;sans-serif" w:hAnsi="Times New Roman;sans-serif"/>
          <w:b w:val="false"/>
          <w:color w:val="000000"/>
          <w:sz w:val="22"/>
        </w:rPr>
        <w:t>) or by such other method as is permitted or required by Bundesbank. The report must be submitted monthly or within such timing as is permitted or required by Bundesbank.</w:t>
      </w:r>
    </w:p>
    <w:p>
      <w:pPr>
        <w:pStyle w:val="TextBody"/>
        <w:bidi w:val="0"/>
        <w:spacing w:lineRule="auto" w:line="276" w:before="239"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German residents holding Common Stock must notify their local tax office if the acquisition of Common Stock under the Plan leads to a so-called qualified participation at any point during the calendar year. A qualified participation is attained only in the unlikely event (i) the Employee owns at least 1% of the Company and the value of the Common Stock acquired exceeds €150,000, or (ii) the Employee holds Common Stock exceeding 10% of the total capital of the Company.</w:t>
      </w:r>
    </w:p>
    <w:p>
      <w:pPr>
        <w:pStyle w:val="TextBody"/>
        <w:bidi w:val="0"/>
        <w:spacing w:lineRule="auto" w:line="271" w:before="242" w:after="283"/>
        <w:jc w:val="center"/>
        <w:rPr/>
      </w:pPr>
      <w:r>
        <w:rPr>
          <w:rFonts w:ascii="Times New Roman;sans-serif" w:hAnsi="Times New Roman;sans-serif"/>
          <w:b/>
          <w:color w:val="000000"/>
          <w:sz w:val="22"/>
          <w:u w:val="single"/>
        </w:rPr>
        <w:t>GREECE</w:t>
      </w:r>
      <w:r>
        <w:rPr>
          <w:color w:val="000000"/>
        </w:rPr>
        <w:t xml:space="preserve"> </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6" w:after="283"/>
        <w:jc w:val="center"/>
        <w:rPr/>
      </w:pPr>
      <w:r>
        <w:rPr>
          <w:rFonts w:ascii="Times New Roman;sans-serif" w:hAnsi="Times New Roman;sans-serif"/>
          <w:b/>
          <w:color w:val="000000"/>
          <w:sz w:val="22"/>
          <w:u w:val="single"/>
        </w:rPr>
        <w:t>HUNGARY</w:t>
      </w:r>
      <w:r>
        <w:rPr>
          <w:color w:val="000000"/>
        </w:rPr>
        <w:t xml:space="preserve"> </w:t>
      </w:r>
    </w:p>
    <w:p>
      <w:pPr>
        <w:pStyle w:val="TextBody"/>
        <w:bidi w:val="0"/>
        <w:spacing w:lineRule="auto" w:line="288" w:before="100" w:after="10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14" w:after="283"/>
        <w:jc w:val="center"/>
        <w:rPr/>
      </w:pPr>
      <w:r>
        <w:rPr>
          <w:rFonts w:ascii="Times New Roman;sans-serif" w:hAnsi="Times New Roman;sans-serif"/>
          <w:b/>
          <w:color w:val="000000"/>
          <w:sz w:val="22"/>
          <w:u w:val="single"/>
        </w:rPr>
        <w:t>INDIA</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2" w:after="283"/>
        <w:jc w:val="left"/>
        <w:rPr/>
      </w:pPr>
      <w:r>
        <w:rPr>
          <w:rFonts w:ascii="Times New Roman;sans-serif" w:hAnsi="Times New Roman;sans-serif"/>
          <w:b/>
          <w:color w:val="000000"/>
          <w:sz w:val="22"/>
        </w:rPr>
        <w:t xml:space="preserve">Payment after Vesting. </w:t>
      </w:r>
      <w:r>
        <w:rPr>
          <w:rFonts w:ascii="Times New Roman;sans-serif" w:hAnsi="Times New Roman;sans-serif"/>
          <w:b w:val="false"/>
          <w:color w:val="000000"/>
          <w:sz w:val="22"/>
        </w:rPr>
        <w:t>The following provision supplements Section 7 of the Agreement:</w:t>
      </w:r>
    </w:p>
    <w:p>
      <w:pPr>
        <w:pStyle w:val="TextBody"/>
        <w:bidi w:val="0"/>
        <w:spacing w:lineRule="auto" w:line="276" w:before="251"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Due to regulatory requirements in India, the Company reserves the right to require that the Employee sell all shares of Common Stock delivered to the Employee, either immediately upon receipt of such shares or upon the Employee’s termination of employment from the Mondelēz Group. In this regard, the Employee agrees that the Company is authorized to instruct its designated broker to assist with any such mandatory sale of shares of Common Stock (on the Employee’s behalf pursuant to this authorization), and the Employee expressly authorizes the designated broker to complete the sale of such shares. The Employee also agrees to sign any agreements, forms and/or consents that may be reasonably requested by the Company (or the designated broker) to effectuate the sale of the shares of Common Stock and shall otherwise cooperate with the Company with respect to such matters, provided that the Employee shall not be permitted to exercise any influence over how, when or whether the sales occur. The Employee acknowledges that the designated broker is under no obligation to arrange for the sale of the shares of Common Stock at any particular price. Due to fluctuations in the shares of Common Stock price and/or applicable exchange rates between the date the shares of Common Stock are delivered to the Employee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5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and (if later) the date on which the shares of Common Stock are sold, the amount of proceeds ultimately distributed to the v may be more or less than the market value of the shares of Common Stock on the relevant vesting date or the date on which such shares are delivered to the Employee. Upon the sale of the shares of Common Stock, the cash proceeds from the sale of shares (less any applicable Tax-Related Items) will be delivered to the Employee in accordance with applicable laws and regulations, as determined by the Company in its sole discretion.</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Indian residents are required to repatriate the cash proceeds received upon the sale of shares of Common Stock and convert such proceeds into local currency within specified timeframes as required under applicable regulations. Indian residents also are required to retain the foreign inward remittance certificate as evidence of repatriation. The Employee is personally responsible for complying with exchange control laws in India, and neither the Company nor the Employer will be liable for any fines or penalties resulting from the Employee’s failure to comply with applicable laws. The Employee may also be required to provide information regarding funds received from participation in the Plan to the Company and/or the Employer to enable them to comply with their filing requirements under exchange control laws in India.</w:t>
      </w:r>
    </w:p>
    <w:p>
      <w:pPr>
        <w:pStyle w:val="TextBody"/>
        <w:bidi w:val="0"/>
        <w:spacing w:lineRule="auto" w:line="276" w:before="235"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As exchange control regulations can change frequently and without notice, the Employee should consult his or her personal tax or legal advisor before selling shares of Common Stock to ensure compliance with current regulations.</w:t>
      </w:r>
    </w:p>
    <w:p>
      <w:pPr>
        <w:pStyle w:val="TextBody"/>
        <w:bidi w:val="0"/>
        <w:spacing w:lineRule="auto" w:line="276" w:before="245"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is required to declare foreign bank accounts and any foreign financial assets (including shares of Common Stock held outside India) in his or her annual tax return. It is the Employee’s responsibility to comply with this reporting obligation and the Employee should consult with his or her personal tax advisor in this regard.</w:t>
      </w:r>
    </w:p>
    <w:p>
      <w:pPr>
        <w:pStyle w:val="TextBody"/>
        <w:bidi w:val="0"/>
        <w:spacing w:lineRule="auto" w:line="276" w:before="245"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INDONESIA</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1" w:after="283"/>
        <w:jc w:val="left"/>
        <w:rPr/>
      </w:pPr>
      <w:r>
        <w:rPr>
          <w:rFonts w:ascii="Times New Roman;sans-serif" w:hAnsi="Times New Roman;sans-serif"/>
          <w:b/>
          <w:color w:val="000000"/>
          <w:sz w:val="22"/>
        </w:rPr>
        <w:t>Language Consent and Notification</w:t>
      </w:r>
      <w:r>
        <w:rPr>
          <w:rFonts w:ascii="Times New Roman;sans-serif" w:hAnsi="Times New Roman;sans-serif"/>
          <w:b w:val="false"/>
          <w:color w:val="000000"/>
          <w:sz w:val="22"/>
        </w:rPr>
        <w:t xml:space="preserve">. A translation of the documents relating to this Grant into Bahasa Indonesia can be provided to the Employee upon request to Astrid Januarita, My Rewards Advisor ID, at </w:t>
      </w:r>
      <w:r>
        <w:rPr>
          <w:rFonts w:ascii="Times New Roman;sans-serif" w:hAnsi="Times New Roman;sans-serif"/>
          <w:b w:val="false"/>
          <w:color w:val="0000FF"/>
          <w:sz w:val="22"/>
          <w:u w:val="single"/>
        </w:rPr>
        <w:t>astrid.januarita@mdlz.com.</w:t>
      </w:r>
      <w:r>
        <w:rPr>
          <w:color w:val="000000"/>
        </w:rPr>
        <w:t xml:space="preserve"> </w:t>
      </w:r>
      <w:r>
        <w:rPr>
          <w:rFonts w:ascii="Times New Roman;sans-serif" w:hAnsi="Times New Roman;sans-serif"/>
          <w:b w:val="false"/>
          <w:color w:val="000000"/>
          <w:sz w:val="22"/>
        </w:rPr>
        <w:t>By accepting the Grant, the Employee (i) confirms having read and understood the documents relating to this Grant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bidi w:val="0"/>
        <w:spacing w:lineRule="auto" w:line="276" w:before="229" w:after="283"/>
        <w:jc w:val="left"/>
        <w:rPr/>
      </w:pPr>
      <w:r>
        <w:rPr>
          <w:rFonts w:ascii="Times New Roman;sans-serif" w:hAnsi="Times New Roman;sans-serif"/>
          <w:b/>
          <w:i/>
          <w:color w:val="000000"/>
          <w:sz w:val="22"/>
        </w:rPr>
        <w:t>Language Consent and Notification</w:t>
      </w:r>
      <w:r>
        <w:rPr>
          <w:rFonts w:ascii="Times New Roman;sans-serif" w:hAnsi="Times New Roman;sans-serif"/>
          <w:b w:val="false"/>
          <w:i/>
          <w:color w:val="000000"/>
          <w:sz w:val="22"/>
        </w:rPr>
        <w:t xml:space="preserve">. </w:t>
      </w:r>
      <w:r>
        <w:rPr>
          <w:rFonts w:ascii="Times New Roman;sans-serif" w:hAnsi="Times New Roman;sans-serif"/>
          <w:b w:val="false"/>
          <w:color w:val="000000"/>
          <w:sz w:val="22"/>
        </w:rPr>
        <w:t>Terjemahan dari dokumen-dokumen terkait dengan pemberian ini ke Bahasa Indonesia dapat disediakan untuk anda berdasarkan permintaan kepada Astrid Januarita, My Rewards Advisor ID, di</w:t>
      </w:r>
      <w:r>
        <w:rPr>
          <w:color w:val="0000FF"/>
          <w:u w:val="single"/>
        </w:rPr>
        <w:t xml:space="preserve"> </w:t>
      </w:r>
      <w:r>
        <w:rPr>
          <w:rFonts w:ascii="Times New Roman;sans-serif" w:hAnsi="Times New Roman;sans-serif"/>
          <w:b w:val="false"/>
          <w:color w:val="0000FF"/>
          <w:sz w:val="22"/>
          <w:u w:val="single"/>
        </w:rPr>
        <w:t>astrid.januarita@mdlz.com.</w:t>
      </w:r>
      <w:r>
        <w:rPr>
          <w:color w:val="000000"/>
        </w:rPr>
        <w:t xml:space="preserve"> </w:t>
      </w:r>
      <w:r>
        <w:rPr>
          <w:rFonts w:ascii="Times New Roman;sans-serif" w:hAnsi="Times New Roman;sans-serif"/>
          <w:b w:val="false"/>
          <w:color w:val="000000"/>
          <w:sz w:val="22"/>
        </w:rPr>
        <w:t>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1"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Indonesian residents must provide the Indonesian central bank, Bank of Indonesia, with information on foreign exchange activities via a monthly report submitted online through the Bank of Indonesia’s website. The report is due no later than the fifteenth day of the following month in which the foreign exchange activities occurred or within such other timeframe specified by the Bank of Indonesia.</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2"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if the Employee remits funds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the Employee must complete a “Transfer Report Form.” The Transfer Report Form will be provided to the Employee by the bank through which the transaction is made.</w:t>
      </w:r>
    </w:p>
    <w:p>
      <w:pPr>
        <w:pStyle w:val="TextBody"/>
        <w:bidi w:val="0"/>
        <w:spacing w:lineRule="auto" w:line="276" w:before="237"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Indonesian residents have the obligation to report worldwide assets (including foreign accounts and shares of Common Stock acquired under the Plan) in their annual individual income tax return.</w:t>
      </w:r>
    </w:p>
    <w:p>
      <w:pPr>
        <w:pStyle w:val="TextBody"/>
        <w:bidi w:val="0"/>
        <w:spacing w:lineRule="auto" w:line="271" w:before="242" w:after="283"/>
        <w:jc w:val="center"/>
        <w:rPr/>
      </w:pPr>
      <w:r>
        <w:rPr>
          <w:rFonts w:ascii="Times New Roman;sans-serif" w:hAnsi="Times New Roman;sans-serif"/>
          <w:b/>
          <w:color w:val="000000"/>
          <w:sz w:val="22"/>
          <w:u w:val="single"/>
        </w:rPr>
        <w:t>IRELAND</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1" w:after="283"/>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If the Employee is a director, shadow director or secretary of an Irish subsidiary or affiliate, the Employee must notify the Irish subsidiary or affiliate in writing if (1) the Employee receives or disposes of an interest exceeding 1% of the Company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Deferred Stock Units, shares of Common Stock, etc.), (2) the Employee becomes aware of an event giving rise to a notification requirement, or (3) the Employee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pStyle w:val="TextBody"/>
        <w:bidi w:val="0"/>
        <w:spacing w:before="14" w:after="283"/>
        <w:jc w:val="center"/>
        <w:rPr/>
      </w:pPr>
      <w:r>
        <w:rPr/>
      </w:r>
    </w:p>
    <w:p>
      <w:pPr>
        <w:pStyle w:val="TextBody"/>
        <w:bidi w:val="0"/>
        <w:spacing w:lineRule="auto" w:line="271" w:before="14" w:after="283"/>
        <w:jc w:val="center"/>
        <w:rPr/>
      </w:pPr>
      <w:r>
        <w:rPr>
          <w:rFonts w:ascii="Times New Roman;sans-serif" w:hAnsi="Times New Roman;sans-serif"/>
          <w:b/>
          <w:color w:val="000000"/>
          <w:sz w:val="22"/>
          <w:u w:val="single"/>
        </w:rPr>
        <w:t>ITALY</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9" w:after="283"/>
        <w:jc w:val="left"/>
        <w:rPr/>
      </w:pPr>
      <w:r>
        <w:rPr>
          <w:rFonts w:ascii="Times New Roman;sans-serif" w:hAnsi="Times New Roman;sans-serif"/>
          <w:b/>
          <w:color w:val="000000"/>
          <w:sz w:val="22"/>
        </w:rPr>
        <w:t xml:space="preserve">Plan Document Acknowledgment. </w:t>
      </w:r>
      <w:r>
        <w:rPr>
          <w:rFonts w:ascii="Times New Roman;sans-serif" w:hAnsi="Times New Roman;sans-serif"/>
          <w:b w:val="false"/>
          <w:color w:val="000000"/>
          <w:sz w:val="22"/>
        </w:rPr>
        <w:t>In accepting the grant of Deferred Stock Units, the Employee acknowledges that he or she has received a copy of the Plan and the Agreement and has reviewed the Plan and the Agreement, including this Appendix A, in their entirety and fully understands and accepts all provisions of the Plan and the Agreement, including this Appendix A.</w:t>
      </w:r>
    </w:p>
    <w:p>
      <w:pPr>
        <w:pStyle w:val="TextBody"/>
        <w:bidi w:val="0"/>
        <w:spacing w:lineRule="auto" w:line="276" w:before="234"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further acknowledges that he or she has read and specifically and expressly approves the following paragraphs of the Global Deferred Stock Unit Agreement: paragraph 1 on Restrictions; paragraph 2 on Termination of Employment Before Vesting Date; paragraph 4 on Transfer Restrictions; paragraph 5 on Withholding Taxes; paragraph 6 on Death of Employee; paragraph 7 on Payment of Deferred Stock Units; paragraph 12 on Grant Confers No Rights to Continued Employment; paragraph 13 on the Nature of the Grant; paragraph 16 on Electronic Delivery and Acceptance; paragraph 17 on Language; paragraph 20 on Entire Agreement; Governing Law; paragraph 21 on Miscellaneous; paragraph 22 on Compliance With Law; paragraph 25 on Imposition of Other Requirements; paragraph 26 on Insider Trading/Market Abuse Laws; paragraph 29 on Waiver and the Data Privacy Notice in the European Union / European Economic Area section of this Appendix A.</w:t>
      </w:r>
    </w:p>
    <w:p>
      <w:pPr>
        <w:pStyle w:val="TextBody"/>
        <w:bidi w:val="0"/>
        <w:spacing w:lineRule="auto" w:line="271" w:before="248"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4"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Italian residents who, during the fiscal year,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Deferred Stock Units) which may generate income taxable in Italy are required to report such on their annual tax returns (UNICO Form, RW Schedule) or on a special form if no tax return is due. The same reporting obligations apply to Italian residents who, even if they do not directly hold investments abroad or foreign financial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cash, shares of Common Stock, Deferred Stock Units), are beneficial owners of the investment pursuant to Italian money laundering provisions.</w:t>
      </w:r>
    </w:p>
    <w:p>
      <w:pPr>
        <w:pStyle w:val="TextBody"/>
        <w:bidi w:val="0"/>
        <w:spacing w:lineRule="auto" w:line="276" w:before="239" w:after="283"/>
        <w:jc w:val="left"/>
        <w:rPr/>
      </w:pPr>
      <w:r>
        <w:rPr>
          <w:rFonts w:ascii="Times New Roman;sans-serif" w:hAnsi="Times New Roman;sans-serif"/>
          <w:b/>
          <w:color w:val="000000"/>
          <w:sz w:val="22"/>
        </w:rPr>
        <w:t xml:space="preserve">Foreign Financial Assets Tax. </w:t>
      </w:r>
      <w:r>
        <w:rPr>
          <w:rFonts w:ascii="Times New Roman;sans-serif" w:hAnsi="Times New Roman;sans-serif"/>
          <w:b w:val="false"/>
          <w:color w:val="000000"/>
          <w:sz w:val="22"/>
        </w:rPr>
        <w:t xml:space="preserve">The fair market value of any shares of Common Stock held outside Italy is subject to a foreign assets tax. The fair market value is considered to be the value of the shares of Common Stock on the Nasdaq Global Select Market on December 31 of each year or on the last day the </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Employee held the shares (in such case, or when the shares of Common Stock are acquired during the course of the year, the tax is levied in proportion to the actual days of holding over the calendar year). The Employee should consult with his or her personal tax advisor about the foreign financial assets tax.</w:t>
      </w:r>
    </w:p>
    <w:p>
      <w:pPr>
        <w:pStyle w:val="TextBody"/>
        <w:bidi w:val="0"/>
        <w:spacing w:lineRule="auto" w:line="271" w:before="247" w:after="283"/>
        <w:jc w:val="center"/>
        <w:rPr/>
      </w:pPr>
      <w:r>
        <w:rPr>
          <w:rFonts w:ascii="Times New Roman;sans-serif" w:hAnsi="Times New Roman;sans-serif"/>
          <w:b/>
          <w:color w:val="000000"/>
          <w:sz w:val="22"/>
          <w:u w:val="single"/>
        </w:rPr>
        <w:t>JAPAN</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4"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acquires shares of Common Stock valued at more than ¥100,000,000 in a single transaction, the Employee must file a Securities Acquisition Report with the Ministry of Finance through the Bank of Japan within 20 days of the purchase of the shares of Common Stock.</w:t>
      </w:r>
    </w:p>
    <w:p>
      <w:pPr>
        <w:pStyle w:val="TextBody"/>
        <w:bidi w:val="0"/>
        <w:spacing w:before="10" w:after="283"/>
        <w:jc w:val="left"/>
        <w:rPr/>
      </w:pPr>
      <w:r>
        <w:rPr/>
      </w:r>
    </w:p>
    <w:p>
      <w:pPr>
        <w:pStyle w:val="TextBody"/>
        <w:bidi w:val="0"/>
        <w:spacing w:lineRule="auto" w:line="240" w:before="0" w:after="0"/>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The Employee will be required to report details of any assets held outside Japan as of December 31st (including any shares of Common Stock acquired under the Plan) to the extent such assets have a total net fair market value exceeding ¥50,000,000. Such report will be due by March 15th each year. The Employee should consult with his or her personal tax advisor as to whether the reporting obligation applies to the Employee and whether the Employee will be required to include details of any outstanding Deferred Stock Units, shares of Common Stock or cash held by the Employee in the report.</w:t>
      </w:r>
    </w:p>
    <w:p>
      <w:pPr>
        <w:pStyle w:val="TextBody"/>
        <w:bidi w:val="0"/>
        <w:spacing w:lineRule="auto" w:line="271" w:before="240" w:after="283"/>
        <w:jc w:val="center"/>
        <w:rPr/>
      </w:pPr>
      <w:r>
        <w:rPr>
          <w:rFonts w:ascii="Times New Roman;sans-serif" w:hAnsi="Times New Roman;sans-serif"/>
          <w:b/>
          <w:color w:val="000000"/>
          <w:sz w:val="22"/>
          <w:u w:val="single"/>
        </w:rPr>
        <w:t>KAZAKHSTAN</w:t>
      </w:r>
      <w:r>
        <w:rPr>
          <w:color w:val="000000"/>
        </w:rPr>
        <w:t xml:space="preserve"> </w:t>
      </w:r>
    </w:p>
    <w:p>
      <w:pPr>
        <w:pStyle w:val="TextBody"/>
        <w:bidi w:val="0"/>
        <w:spacing w:lineRule="auto" w:line="276" w:before="254"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3" w:after="283"/>
        <w:jc w:val="left"/>
        <w:rPr/>
      </w:pPr>
      <w:r>
        <w:rPr>
          <w:rFonts w:ascii="Times New Roman;sans-serif" w:hAnsi="Times New Roman;sans-serif"/>
          <w:b/>
          <w:color w:val="000000"/>
          <w:sz w:val="22"/>
        </w:rPr>
        <w:t>Securities Law Notification</w:t>
      </w:r>
      <w:r>
        <w:rPr>
          <w:rFonts w:ascii="Times New Roman;sans-serif" w:hAnsi="Times New Roman;sans-serif"/>
          <w:b w:val="false"/>
          <w:color w:val="000000"/>
          <w:sz w:val="22"/>
        </w:rPr>
        <w:t>. This offer is addressed only to certain eligible employees in the form of the shares of Common Stock to be issued by the Company. Neither the Plan nor the Agreement has been approved, nor do they need to be approved, by the National Bank of Kazakhstan. This offer is intended only for the original recipient and is not for general circulation in the Republic of Kazakhstan.</w:t>
      </w:r>
    </w:p>
    <w:p>
      <w:pPr>
        <w:pStyle w:val="TextBody"/>
        <w:bidi w:val="0"/>
        <w:spacing w:lineRule="auto" w:line="276" w:before="251"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Residents of Kazakhstan may be required to notify the National Bank of Kazakhstan when they acquire shares of Common Stock under the Plan if the value of such shares of Common Stock exceeds US$100,000.</w:t>
      </w:r>
    </w:p>
    <w:p>
      <w:pPr>
        <w:pStyle w:val="TextBody"/>
        <w:bidi w:val="0"/>
        <w:spacing w:lineRule="auto" w:line="276" w:before="247" w:after="283"/>
        <w:jc w:val="left"/>
        <w:rPr>
          <w:rFonts w:ascii="Times New Roman;sans-serif" w:hAnsi="Times New Roman;sans-serif"/>
          <w:b w:val="false"/>
          <w:color w:val="000000"/>
          <w:sz w:val="22"/>
        </w:rPr>
      </w:pPr>
      <w:r>
        <w:rPr>
          <w:rFonts w:ascii="Times New Roman;sans-serif" w:hAnsi="Times New Roman;sans-serif"/>
          <w:b w:val="false"/>
          <w:color w:val="000000"/>
          <w:sz w:val="22"/>
        </w:rPr>
        <w:t>Please note that the exchange control regulations in Kazakhstan are subject to change. The Employee should consult with their personal legal advisor regarding any exchange control obligations that the Employee may have prior to vesting in the Deferred Stock Units or receiving proceeds from the sale of shares of Common Stock acquired under the Plan. The Employee is responsible for ensuring compliance with all exchange control laws in Kazakhstan.</w:t>
      </w:r>
    </w:p>
    <w:p>
      <w:pPr>
        <w:pStyle w:val="TextBody"/>
        <w:bidi w:val="0"/>
        <w:spacing w:lineRule="auto" w:line="271" w:before="255" w:after="283"/>
        <w:jc w:val="center"/>
        <w:rPr/>
      </w:pPr>
      <w:r>
        <w:rPr>
          <w:rFonts w:ascii="Times New Roman;sans-serif" w:hAnsi="Times New Roman;sans-serif"/>
          <w:b/>
          <w:color w:val="000000"/>
          <w:sz w:val="22"/>
          <w:u w:val="single"/>
        </w:rPr>
        <w:t>LITHUANIA</w:t>
      </w:r>
      <w:r>
        <w:rPr>
          <w:color w:val="000000"/>
        </w:rPr>
        <w:t xml:space="preserve"> </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71" w:before="246" w:after="283"/>
        <w:jc w:val="center"/>
        <w:rPr/>
      </w:pPr>
      <w:r>
        <w:rPr>
          <w:rFonts w:ascii="Times New Roman;sans-serif" w:hAnsi="Times New Roman;sans-serif"/>
          <w:b/>
          <w:color w:val="000000"/>
          <w:sz w:val="22"/>
          <w:u w:val="single"/>
        </w:rPr>
        <w:t>MALAYSIA</w:t>
      </w:r>
      <w:r>
        <w:rPr>
          <w:color w:val="000000"/>
        </w:rPr>
        <w:t xml:space="preserve"> </w:t>
      </w:r>
    </w:p>
    <w:p>
      <w:pPr>
        <w:pStyle w:val="TextBody"/>
        <w:bidi w:val="0"/>
        <w:spacing w:lineRule="auto" w:line="276" w:before="234"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2" w:after="221"/>
        <w:jc w:val="left"/>
        <w:rPr/>
      </w:pPr>
      <w:r>
        <w:rPr>
          <w:rFonts w:ascii="Times New Roman;sans-serif" w:hAnsi="Times New Roman;sans-serif"/>
          <w:b/>
          <w:color w:val="000000"/>
          <w:sz w:val="22"/>
        </w:rPr>
        <w:t>Data Privacy Notice</w:t>
      </w:r>
      <w:r>
        <w:rPr>
          <w:rFonts w:ascii="Times New Roman;sans-serif" w:hAnsi="Times New Roman;sans-serif"/>
          <w:b w:val="false"/>
          <w:color w:val="000000"/>
          <w:sz w:val="22"/>
        </w:rPr>
        <w:t>. The following provision replaces in its entirety paragraph 14 of the Agreement:</w:t>
      </w:r>
    </w:p>
    <w:p>
      <w:pPr>
        <w:pStyle w:val="TextBody"/>
        <w:bidi w:val="0"/>
        <w:spacing w:lineRule="auto" w:line="276" w:before="0" w:after="0"/>
        <w:jc w:val="left"/>
        <w:rPr>
          <w:rFonts w:ascii="Times New Roman;sans-serif" w:hAnsi="Times New Roman;sans-serif"/>
          <w:b/>
          <w:i/>
          <w:color w:val="000000"/>
          <w:sz w:val="22"/>
        </w:rPr>
      </w:pPr>
      <w:r>
        <w:rPr>
          <w:rFonts w:ascii="Times New Roman;sans-serif" w:hAnsi="Times New Roman;sans-serif"/>
          <w:b/>
          <w:i/>
          <w:color w:val="000000"/>
          <w:sz w:val="22"/>
        </w:rPr>
        <w:t>The Employee explicitly and unambiguously consents to the collection, use and transfer, in electronic or other form, of the Employee’s personal data as described in this Agreement and any other Deferred Stock Unit grant materials (“Data”) by and among, as applicable, the Employer and the Mondelēz Group for the exclusive purpose of implementing, administering and managing the Employee’s participation in the Plan. The Data is supplied by the Employer and also by the Employee through information collected in connection with the Agreement and the Plan.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4" w:before="0" w:after="0"/>
        <w:jc w:val="left"/>
        <w:rPr/>
      </w:pPr>
      <w:r>
        <w:rPr>
          <w:rFonts w:ascii="Times New Roman;sans-serif" w:hAnsi="Times New Roman;sans-serif"/>
          <w:b/>
          <w:i/>
          <w:color w:val="000000"/>
          <w:sz w:val="22"/>
        </w:rPr>
        <w:t xml:space="preserve">The Employee understands that the Company and the Employer may hold certain personal information about the Employee, including, but not limited to, the Employee’s name, home address, email address and telephone number, date of birth, social insurance number, passport or other identification number, salary, nationality, job title, any shares of stock or directorships held in the Company, details of all Deferred Stock Units or any other entitlement to shares of stock awarded, canceled, exercised, vested, unvested or outstanding in the </w:t>
      </w:r>
      <w:r>
        <w:rPr>
          <w:rFonts w:ascii="Times New Roman;sans-serif" w:hAnsi="Times New Roman;sans-serif"/>
          <w:b/>
          <w:i/>
          <w:color w:val="000000"/>
          <w:sz w:val="24"/>
        </w:rPr>
        <w:t xml:space="preserve">Employee’s favor, for the exclusive purpose of </w:t>
      </w:r>
      <w:r>
        <w:rPr>
          <w:rFonts w:ascii="Times New Roman;sans-serif" w:hAnsi="Times New Roman;sans-serif"/>
          <w:b/>
          <w:i/>
          <w:color w:val="000000"/>
          <w:sz w:val="22"/>
        </w:rPr>
        <w:t>implementing, administering and managing the Plan.</w:t>
      </w:r>
    </w:p>
    <w:p>
      <w:pPr>
        <w:pStyle w:val="TextBody"/>
        <w:bidi w:val="0"/>
        <w:spacing w:before="0" w:after="0"/>
        <w:jc w:val="left"/>
        <w:rPr/>
      </w:pPr>
      <w:r>
        <w:rPr/>
      </w:r>
    </w:p>
    <w:p>
      <w:pPr>
        <w:pStyle w:val="TextBody"/>
        <w:bidi w:val="0"/>
        <w:spacing w:lineRule="auto" w:line="261" w:before="0" w:after="0"/>
        <w:jc w:val="left"/>
        <w:rPr/>
      </w:pPr>
      <w:r>
        <w:rPr>
          <w:rFonts w:ascii="Times New Roman;sans-serif" w:hAnsi="Times New Roman;sans-serif"/>
          <w:b/>
          <w:i/>
          <w:color w:val="000000"/>
          <w:sz w:val="22"/>
        </w:rPr>
        <w:t xml:space="preserve">The Employee understands that Data will be transferred to Morgan Stanley Smith Barney, LLC </w:t>
      </w:r>
      <w:r>
        <w:rPr>
          <w:rFonts w:ascii="Times New Roman;sans-serif" w:hAnsi="Times New Roman;sans-serif"/>
          <w:b/>
          <w:i/>
          <w:color w:val="000000"/>
          <w:sz w:val="24"/>
        </w:rPr>
        <w:t>(“</w:t>
      </w:r>
      <w:r>
        <w:rPr>
          <w:rFonts w:ascii="Times New Roman;sans-serif" w:hAnsi="Times New Roman;sans-serif"/>
          <w:b/>
          <w:i/>
          <w:color w:val="000000"/>
          <w:sz w:val="22"/>
        </w:rPr>
        <w:t>Morgan Stanley</w:t>
      </w:r>
      <w:r>
        <w:rPr>
          <w:color w:val="000000"/>
        </w:rPr>
        <w:t>”</w:t>
      </w:r>
      <w:r>
        <w:rPr>
          <w:rFonts w:ascii="Times New Roman;sans-serif" w:hAnsi="Times New Roman;sans-serif"/>
          <w:b/>
          <w:i/>
          <w:color w:val="000000"/>
          <w:sz w:val="24"/>
        </w:rPr>
        <w:t>)</w:t>
      </w:r>
      <w:r>
        <w:rPr>
          <w:rFonts w:ascii="Times New Roman;sans-serif" w:hAnsi="Times New Roman;sans-serif"/>
          <w:b/>
          <w:i/>
          <w:color w:val="000000"/>
          <w:sz w:val="22"/>
        </w:rPr>
        <w:t>, or such other stock plan service provider as may be selected by the Company in the future, which is assisting the Company with the implementation, administration and management of the Plan. The Employee understands that Data may also be transferred to t</w:t>
      </w:r>
      <w:r>
        <w:rPr>
          <w:rFonts w:ascii="Times New Roman;sans-serif" w:hAnsi="Times New Roman;sans-serif"/>
          <w:b/>
          <w:i/>
          <w:color w:val="000000"/>
          <w:sz w:val="24"/>
        </w:rPr>
        <w:t xml:space="preserve">he Company’s independent </w:t>
      </w:r>
      <w:r>
        <w:rPr>
          <w:rFonts w:ascii="Times New Roman;sans-serif" w:hAnsi="Times New Roman;sans-serif"/>
          <w:b/>
          <w:i/>
          <w:color w:val="000000"/>
          <w:sz w:val="22"/>
        </w:rPr>
        <w:t xml:space="preserve">registered public accounting firm, PricewaterhouseCoopers LLP, or such other public accounting firm that may be engaged by the Company in the future. The Employee understands that the recipients of the Data may be located in the United States or elsewhere, and </w:t>
      </w:r>
      <w:r>
        <w:rPr>
          <w:rFonts w:ascii="Times New Roman;sans-serif" w:hAnsi="Times New Roman;sans-serif"/>
          <w:b/>
          <w:i/>
          <w:color w:val="000000"/>
          <w:sz w:val="24"/>
        </w:rPr>
        <w:t xml:space="preserve">that the recipients’ country (e.g., the United </w:t>
      </w:r>
      <w:r>
        <w:rPr>
          <w:rFonts w:ascii="Times New Roman;sans-serif" w:hAnsi="Times New Roman;sans-serif"/>
          <w:b/>
          <w:i/>
          <w:color w:val="000000"/>
          <w:sz w:val="22"/>
        </w:rPr>
        <w:t xml:space="preserve">States) may have different data privacy laws and </w:t>
      </w:r>
      <w:r>
        <w:rPr>
          <w:rFonts w:ascii="Times New Roman;sans-serif" w:hAnsi="Times New Roman;sans-serif"/>
          <w:b/>
          <w:i/>
          <w:color w:val="000000"/>
          <w:sz w:val="24"/>
        </w:rPr>
        <w:t xml:space="preserve">protections than the Employee’s country. The </w:t>
      </w:r>
      <w:r>
        <w:rPr>
          <w:rFonts w:ascii="Times New Roman;sans-serif" w:hAnsi="Times New Roman;sans-serif"/>
          <w:b/>
          <w:i/>
          <w:color w:val="000000"/>
          <w:sz w:val="22"/>
        </w:rPr>
        <w:t xml:space="preserve">Employee understands that the Employee may request a list with the names and addresses of any potential recipients of the Data by contacting </w:t>
      </w:r>
      <w:r>
        <w:rPr>
          <w:rFonts w:ascii="Times New Roman;sans-serif" w:hAnsi="Times New Roman;sans-serif"/>
          <w:b/>
          <w:i/>
          <w:color w:val="000000"/>
          <w:sz w:val="24"/>
        </w:rPr>
        <w:t xml:space="preserve">the Employee’s local human resources </w:t>
      </w:r>
      <w:r>
        <w:rPr>
          <w:rFonts w:ascii="Times New Roman;sans-serif" w:hAnsi="Times New Roman;sans-serif"/>
          <w:b/>
          <w:i/>
          <w:color w:val="000000"/>
          <w:sz w:val="22"/>
        </w:rPr>
        <w:t xml:space="preserve">representative at Mondelez Malaysia Sales Sdn Bhd, Lot 9.01 Level 9, 1 First Avenue, 2A, Dataran Bandar Utama, Bandar Utama Damasara, 47800 Petaling Jaya, Selangor, Malaysia. The Employee authorizes the Company, Morgan Stanley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w:t>
      </w:r>
      <w:r>
        <w:rPr>
          <w:rFonts w:ascii="Times New Roman;sans-serif" w:hAnsi="Times New Roman;sans-serif"/>
          <w:b/>
          <w:i/>
          <w:color w:val="000000"/>
          <w:sz w:val="24"/>
        </w:rPr>
        <w:t xml:space="preserve">managing the Employee’s participation in the </w:t>
      </w:r>
      <w:r>
        <w:rPr>
          <w:rFonts w:ascii="Times New Roman;sans-serif" w:hAnsi="Times New Roman;sans-serif"/>
          <w:b/>
          <w:i/>
          <w:color w:val="000000"/>
          <w:sz w:val="22"/>
        </w:rPr>
        <w:t xml:space="preserve">Plan. The Employee understands that Data will be held only as long as is necessary to implement, administer and manage the </w:t>
      </w:r>
      <w:r>
        <w:rPr>
          <w:rFonts w:ascii="Times New Roman;sans-serif" w:hAnsi="Times New Roman;sans-serif"/>
          <w:b/>
          <w:i/>
          <w:color w:val="000000"/>
          <w:sz w:val="24"/>
        </w:rPr>
        <w:t xml:space="preserve">Employee’s participation in the Plan. The </w:t>
      </w:r>
      <w:r>
        <w:rPr>
          <w:rFonts w:ascii="Times New Roman;sans-serif" w:hAnsi="Times New Roman;sans-serif"/>
          <w:b/>
          <w:i/>
          <w:color w:val="000000"/>
          <w:sz w:val="22"/>
        </w:rPr>
        <w:t>Employee understands that the Employee may, at any time, view Data, request additional information about the storage and processing of Data, require any necessary amendments to Data or refuse or withdraw the consents herein, in any case without cost, by contacting in writing the Employee’s local human resources representative.</w:t>
      </w:r>
    </w:p>
    <w:p>
      <w:pPr>
        <w:pStyle w:val="TextBody"/>
        <w:bidi w:val="0"/>
        <w:spacing w:before="0" w:after="0"/>
        <w:jc w:val="left"/>
        <w:rPr/>
      </w:pPr>
      <w:r>
        <w:rPr/>
      </w:r>
    </w:p>
    <w:p>
      <w:pPr>
        <w:pStyle w:val="TextBody"/>
        <w:bidi w:val="0"/>
        <w:spacing w:lineRule="auto" w:line="273" w:before="0" w:after="0"/>
        <w:jc w:val="left"/>
        <w:rPr>
          <w:rFonts w:ascii="Times New Roman;sans-serif" w:hAnsi="Times New Roman;sans-serif"/>
          <w:b/>
          <w:i/>
          <w:color w:val="000000"/>
          <w:sz w:val="22"/>
        </w:rPr>
      </w:pPr>
      <w:r>
        <w:rPr>
          <w:rFonts w:ascii="Times New Roman;sans-serif" w:hAnsi="Times New Roman;sans-serif"/>
          <w:b/>
          <w:i/>
          <w:color w:val="000000"/>
          <w:sz w:val="22"/>
        </w:rPr>
        <w:t>Further, the Employee understands that he or she is providing the consents herein on a purely voluntary basis. If the Employee does not consent, or if the Employee later seeks to revoke his or her consent, his or her employment status or service and career with the Employer will not be adversely affected; the only consequence of refusing or withdrawing the Employee’s consent is that the Company would not be able to grant the Employee Deferred Stock Units or other equity awards or administer or maintain such awards. The Employee also understands that the Company has no obligation to substitute other forms of awards or compensation in lieu of the Deferred Stock Units as a consequence of the Employee’s refusal or withdrawal of his or her consent. Therefore, the Employee understands that refusing or withdrawing his or her consent may affect the Employee’s ability to participate in the Plan. For more information on the consequences of the Employee’s refusal to consent or withdrawal of consent, the Employee understands that he or she may contact his or her local human resources representative.</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i/>
          <w:color w:val="000000"/>
          <w:sz w:val="22"/>
        </w:rPr>
      </w:pPr>
      <w:r>
        <w:rPr>
          <w:rFonts w:ascii="Times New Roman;sans-serif" w:hAnsi="Times New Roman;sans-serif"/>
          <w:b/>
          <w:i/>
          <w:color w:val="000000"/>
          <w:sz w:val="22"/>
        </w:rPr>
        <w:t>Pekerja dengan ini secara eksplisit dan tanpa sebarang keraguan mengizinkan pengumpulan, penggunaan dan pemindahan, dalam bentuk elektronik atau lain-lain, data peribadi Pekerja seperti yang diterangkan dalam Perjanjian ini serta mana-mana bahan-bahan geran Unit Saham Tertunda (“Data”) oleh dan di antara, seperti mana yang terpakai, Majikan serta Kumpulan Mondelez untuk tujuan ekslusif bagi melaksanakan, mentadbir dan menguruskan penyertaan Pekerja dalam Pelan. Data telah dibekalkan oleh pihak Majikan dan juga oleh Pekerja melalui informasi yang telah dikumpul berkaitan dengan Perjanjian dan Pelan.</w:t>
      </w:r>
    </w:p>
    <w:p>
      <w:pPr>
        <w:pStyle w:val="TextBody"/>
        <w:bidi w:val="0"/>
        <w:spacing w:before="0" w:after="0"/>
        <w:jc w:val="left"/>
        <w:rPr/>
      </w:pPr>
      <w:r>
        <w:rPr/>
      </w:r>
    </w:p>
    <w:p>
      <w:pPr>
        <w:pStyle w:val="TextBody"/>
        <w:bidi w:val="0"/>
        <w:spacing w:lineRule="auto" w:line="268"/>
        <w:jc w:val="left"/>
        <w:rPr>
          <w:rFonts w:ascii="Times New Roman;sans-serif" w:hAnsi="Times New Roman;sans-serif"/>
          <w:b/>
          <w:i/>
          <w:color w:val="000000"/>
          <w:sz w:val="22"/>
        </w:rPr>
      </w:pPr>
      <w:r>
        <w:rPr>
          <w:rFonts w:ascii="Times New Roman;sans-serif" w:hAnsi="Times New Roman;sans-serif"/>
          <w:b/>
          <w:i/>
          <w:color w:val="000000"/>
          <w:sz w:val="22"/>
        </w:rPr>
        <w:t xml:space="preserve">Pekerja memahami bahawa Syarikat dan Majikan mungkin memegang maklumat peribadi tertentu tentang Pekerja, termasuk, tetapi tidak terhad kepada, nama Pekerja, alamat rumah dan nombor telefon, almat emal, tarikh lahir, insurans sosial, nombor pasport atau pengenalan lain, gaji, kewarganegaraan, jawatan, apa-apa syer dalam Saham atau jawatan pengarah yang dipegang dalam Syarikat, maklumat berkaitan semua Unit Saham Tertunda atau apa-apa kelayakan lain untuk syer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ans-serif" w:hAnsi="Times New Roman;sans-serif"/>
          <w:b/>
          <w:i/>
          <w:color w:val="000000"/>
          <w:sz w:val="22"/>
        </w:rPr>
      </w:pPr>
      <w:r>
        <w:rPr>
          <w:rFonts w:ascii="Times New Roman;sans-serif" w:hAnsi="Times New Roman;sans-serif"/>
          <w:b/>
          <w:i/>
          <w:color w:val="000000"/>
          <w:sz w:val="22"/>
        </w:rPr>
        <w:t>dalam saham yang dianugerahkan, dibatalkan,    dilaksanakan, terletak hak, tidak diletak hak ataupun yang belum dijelaskan bagi faedah Pekerja, untuk tujuan eksklusif bagi melaksanakan, mentadbir dan menguruskan Pelan tersebut.</w:t>
      </w:r>
    </w:p>
    <w:p>
      <w:pPr>
        <w:pStyle w:val="TextBody"/>
        <w:bidi w:val="0"/>
        <w:spacing w:before="0" w:after="0"/>
        <w:jc w:val="left"/>
        <w:rPr/>
      </w:pPr>
      <w:r>
        <w:rPr/>
      </w:r>
    </w:p>
    <w:p>
      <w:pPr>
        <w:pStyle w:val="TextBody"/>
        <w:bidi w:val="0"/>
        <w:spacing w:lineRule="auto" w:line="259" w:before="0" w:after="0"/>
        <w:jc w:val="left"/>
        <w:rPr/>
      </w:pPr>
      <w:r>
        <w:rPr>
          <w:rFonts w:ascii="Times New Roman;sans-serif" w:hAnsi="Times New Roman;sans-serif"/>
          <w:b/>
          <w:i/>
          <w:color w:val="000000"/>
          <w:sz w:val="22"/>
        </w:rPr>
        <w:t xml:space="preserve">Pekerja memahami bahawa Data tersebut akan dipindahkan ke Morgan Stanley Smith Barney, LLC </w:t>
      </w:r>
      <w:r>
        <w:rPr>
          <w:rFonts w:ascii="Times New Roman;sans-serif" w:hAnsi="Times New Roman;sans-serif"/>
          <w:b w:val="false"/>
          <w:i/>
          <w:color w:val="000000"/>
          <w:sz w:val="24"/>
        </w:rPr>
        <w:t>(“</w:t>
      </w:r>
      <w:r>
        <w:rPr>
          <w:rFonts w:ascii="Times New Roman;sans-serif" w:hAnsi="Times New Roman;sans-serif"/>
          <w:b/>
          <w:i/>
          <w:color w:val="000000"/>
          <w:sz w:val="22"/>
        </w:rPr>
        <w:t>Morgan Stanley</w:t>
      </w:r>
      <w:r>
        <w:rPr>
          <w:color w:val="000000"/>
        </w:rPr>
        <w:t>”</w:t>
      </w:r>
      <w:r>
        <w:rPr>
          <w:rFonts w:ascii="Times New Roman;sans-serif" w:hAnsi="Times New Roman;sans-serif"/>
          <w:b w:val="false"/>
          <w:i/>
          <w:color w:val="000000"/>
          <w:sz w:val="24"/>
        </w:rPr>
        <w:t xml:space="preserve">) </w:t>
      </w:r>
      <w:r>
        <w:rPr>
          <w:rFonts w:ascii="Times New Roman;sans-serif" w:hAnsi="Times New Roman;sans-serif"/>
          <w:b/>
          <w:i/>
          <w:color w:val="000000"/>
          <w:sz w:val="22"/>
        </w:rPr>
        <w:t>atau pembekal perkhidmatan pelan saham lain yang mungkin dipilih oleh Syarikat pada masa hadapan, yang membantu Syarikat melaksanakan, mentadbir dan menguruskan Pelan tersebut. Pekerja memahami bahawa Data juga mungkin dipindahkan kepada firma akauntansi awamBerdaftar bebas Syarikat, PricewaterhouseCoopers LLP, atau firma akauntansi awam lain yang mungkin digunakan oleh Syarikat pada masa hadapan. Pekerja turut memahami bahawa penerima Data mungkin berada di Amerika Syarikat atau negara lain dan negara asal penerima Data (contohnya, Amerika Syarikat) mungkin mempunyai undang-undang data peribadi serta perlindungan yang berbeza daripada negara asal Pekerja. Pekerja memahami bahawa Pekerja boleh meminta satu senarai yang mengandungi nama dan alamat penerima-penerima Data yang berpotensi dengan menghubungi wakil sumber manusia tempatan Pekerja di Mondelez Malaysia Sales Sdn Bhd, Lot 9.01 Level 9, 1 First Avenue, 2A, Dataran Bandar Utama, Bandar Utama Damasara, 47800 Petaling Jaya, Selangor, Malaysia.</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i/>
          <w:color w:val="000000"/>
          <w:sz w:val="22"/>
        </w:rPr>
      </w:pPr>
      <w:r>
        <w:rPr>
          <w:rFonts w:ascii="Times New Roman;sans-serif" w:hAnsi="Times New Roman;sans-serif"/>
          <w:b/>
          <w:i/>
          <w:color w:val="000000"/>
          <w:sz w:val="22"/>
        </w:rPr>
        <w:t>Pekerjadengan ini membenarkan Syarikat, Morgan Stanley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 Pekerjadengan ini membenarkan Syarikat, Morgan Stanley dan mana-mana pihak yang mungkin menerima Data yang mungkin membantu pihak Syarikat (sekarang atau pada masa hadapan) dengan melaksanakan, mentadbir dan menguruskan Pelan untuk menerima, mempunya, mengguna, menyimpan serta memindah Data tersebut, dalam bentuk elektronik atau lain-lain, bagi tujuan tunggal untuk melaksana, mentadbir dan mengurus</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2" w:after="283"/>
        <w:jc w:val="left"/>
        <w:rPr/>
      </w:pPr>
      <w:r>
        <w:rPr>
          <w:rFonts w:ascii="Times New Roman;sans-serif" w:hAnsi="Times New Roman;sans-serif"/>
          <w:b/>
          <w:color w:val="000000"/>
          <w:sz w:val="22"/>
        </w:rPr>
        <w:t xml:space="preserve">Director Notification Obligation. </w:t>
      </w:r>
      <w:r>
        <w:rPr>
          <w:rFonts w:ascii="Times New Roman;sans-serif" w:hAnsi="Times New Roman;sans-serif"/>
          <w:b w:val="false"/>
          <w:color w:val="000000"/>
          <w:sz w:val="22"/>
        </w:rPr>
        <w:t>If the Employee is a director of the Company’s Malaysian subsidiary or affiliate, the Employee is subject to certain notification requirements under the Malaysian Companies Act. Among these requirements is an obligation to notify the Malaysian subsidiary or affiliate in writing when the Employee receives or disposes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Deferred Stock Units or shares of Common Stock) in the Company or any related company. Such notifications must be made within 14 days of receiving or disposing of any interest in the Company or any related company.</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MEXICO</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    </w:t>
      </w:r>
    </w:p>
    <w:p>
      <w:pPr>
        <w:pStyle w:val="TextBody"/>
        <w:bidi w:val="0"/>
        <w:spacing w:lineRule="auto" w:line="242" w:before="236" w:after="283"/>
        <w:jc w:val="left"/>
        <w:rPr/>
      </w:pPr>
      <w:r>
        <w:rPr>
          <w:rFonts w:ascii="Times New Roman;sans-serif" w:hAnsi="Times New Roman;sans-serif"/>
          <w:b/>
          <w:color w:val="000000"/>
          <w:sz w:val="22"/>
        </w:rPr>
        <w:t xml:space="preserve">Labor Law Policy. </w:t>
      </w:r>
      <w:r>
        <w:rPr>
          <w:rFonts w:ascii="Times New Roman;sans-serif" w:hAnsi="Times New Roman;sans-serif"/>
          <w:b w:val="false"/>
          <w:color w:val="000000"/>
          <w:sz w:val="22"/>
        </w:rPr>
        <w:t>In accepting the grant of the Deferred Stock Units, the Employee expressly recognizes that Mondelēz International, Inc., with registered offices at 905 West Fulton Market, Suite 200, Chicago, Illinois 60607, U.S.A., is solely responsible for the administration of the Plan and that the Employee’s participation in the Plan and acquisition of shares of Common Stock do not constitute an employment relationship between the Employee and Mondelēz International, Inc. since the Employee is participating in the Plan on a wholly commercial basis and his or her sole Employer is Mondelēz M</w:t>
      </w:r>
      <w:r>
        <w:rPr>
          <w:rFonts w:ascii="Times New Roman;sans-serif" w:hAnsi="Times New Roman;sans-serif"/>
          <w:b w:val="false"/>
          <w:color w:val="000000"/>
          <w:sz w:val="28"/>
        </w:rPr>
        <w:t>e</w:t>
      </w:r>
      <w:r>
        <w:rPr>
          <w:rFonts w:ascii="Times New Roman;sans-serif" w:hAnsi="Times New Roman;sans-serif"/>
          <w:b w:val="false"/>
          <w:color w:val="000000"/>
          <w:sz w:val="22"/>
        </w:rPr>
        <w:t>xico, S. de R.L. de C.V., located at Av. 18 de Noviembre 1028, Camino a Manzanilla, Heroica Puebla de Zaragoza, Puebla, C.P. 72304. Based on the foregoing, the Employee expressly recognizes that the Plan and the benefits that he or she may derive from participating in the Plan do not establish any rights between the Employee and the Employer, Mondelēz M</w:t>
      </w:r>
      <w:r>
        <w:rPr>
          <w:rFonts w:ascii="Times New Roman;sans-serif" w:hAnsi="Times New Roman;sans-serif"/>
          <w:b w:val="false"/>
          <w:color w:val="000000"/>
          <w:sz w:val="28"/>
        </w:rPr>
        <w:t>e</w:t>
      </w:r>
      <w:r>
        <w:rPr>
          <w:rFonts w:ascii="Times New Roman;sans-serif" w:hAnsi="Times New Roman;sans-serif"/>
          <w:b w:val="false"/>
          <w:color w:val="000000"/>
          <w:sz w:val="22"/>
        </w:rPr>
        <w:t>xico, S. de R.L. de C.V., and do not form part of the employment conditions and/or benefits provided by Mondelēz M</w:t>
      </w:r>
      <w:r>
        <w:rPr>
          <w:rFonts w:ascii="Times New Roman;sans-serif" w:hAnsi="Times New Roman;sans-serif"/>
          <w:b w:val="false"/>
          <w:color w:val="000000"/>
          <w:sz w:val="28"/>
        </w:rPr>
        <w:t>e</w:t>
      </w:r>
      <w:r>
        <w:rPr>
          <w:rFonts w:ascii="Times New Roman;sans-serif" w:hAnsi="Times New Roman;sans-serif"/>
          <w:b w:val="false"/>
          <w:color w:val="000000"/>
          <w:sz w:val="22"/>
        </w:rPr>
        <w:t>xico, S. de R.L. de C.V., and any modification of the Plan or its termination shall not constitute a change or impairment of the terms and conditions of the Employee’s employment.</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 Employee further understands that his or her participation in the Plan is as a result of a unilateral and discretionary decision of Mondelēz International, Inc.; therefore, Mondelēz International, Inc. reserves the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absolute right to amend and/or discontinue the Employee’s participation at any time without any liability to the Employee.</w:t>
      </w:r>
    </w:p>
    <w:p>
      <w:pPr>
        <w:pStyle w:val="TextBody"/>
        <w:bidi w:val="0"/>
        <w:spacing w:lineRule="auto" w:line="276" w:before="239" w:after="283"/>
        <w:jc w:val="left"/>
        <w:rPr/>
      </w:pPr>
      <w:r>
        <w:rPr>
          <w:rFonts w:ascii="Times New Roman;sans-serif" w:hAnsi="Times New Roman;sans-serif"/>
          <w:b/>
          <w:color w:val="000000"/>
          <w:sz w:val="22"/>
        </w:rPr>
        <w:t>Plan Document Acknowledgment</w:t>
      </w:r>
      <w:r>
        <w:rPr>
          <w:rFonts w:ascii="Times New Roman;sans-serif" w:hAnsi="Times New Roman;sans-serif"/>
          <w:b w:val="false"/>
          <w:color w:val="000000"/>
          <w:sz w:val="22"/>
        </w:rPr>
        <w:t>. By accepting the Deferred Stock Units, the Employee acknowledges that he or she has received copies of the Plan, has reviewed the Plan and the Agreement in their entirety and fully understands and accepts all provisions of the Plan and the Agreement.</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by accepting the Agreement, the Employee further acknowledges that he or she has read and specifically and expressly approves the terms and conditions in paragraph 13 of the Agreement (“Nature of the Grant.”), in which the following is clearly described and established: (i) participation in the Plan does not constitute an acquired right; (ii) the Plan and participation in the Plan is offered by Mondelēz International, Inc. on a wholly discretionary basis; (iii) participation in the Plan is voluntary; and (iv) neither Mondelēz International, Inc. nor any subsidiary or affiliate is responsible for any decrease in the value of the shares of Common Stock underlying the Deferred Stock Units.</w:t>
      </w:r>
    </w:p>
    <w:p>
      <w:pPr>
        <w:pStyle w:val="TextBody"/>
        <w:bidi w:val="0"/>
        <w:spacing w:lineRule="auto" w:line="276" w:before="238"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Finally, the Employee hereby declares that he or she does not reserve to him- or herself any action or right to bring any claim against Mondelēz International, Inc. for any compensation or damages regarding any provision of the Plan or the benefits derived under the Plan, and the Employee therefore grants a full and broad release to Mondelēz International, Inc., its affiliates, branches, representation offices, its shareholders, officers, agents or legal representatives with respect to any claim that may arise.</w:t>
      </w:r>
    </w:p>
    <w:p>
      <w:pPr>
        <w:pStyle w:val="TextBody"/>
        <w:bidi w:val="0"/>
        <w:spacing w:lineRule="auto" w:line="276" w:before="242" w:after="283"/>
        <w:jc w:val="left"/>
        <w:rPr>
          <w:rFonts w:ascii="Times New Roman;sans-serif" w:hAnsi="Times New Roman;sans-serif"/>
          <w:b/>
          <w:i/>
          <w:color w:val="000000"/>
          <w:sz w:val="22"/>
        </w:rPr>
      </w:pPr>
      <w:r>
        <w:rPr>
          <w:rFonts w:ascii="Times New Roman;sans-serif" w:hAnsi="Times New Roman;sans-serif"/>
          <w:b/>
          <w:i/>
          <w:color w:val="000000"/>
          <w:sz w:val="22"/>
        </w:rPr>
        <w:t>TÉRMINOS Y CONDICIONES</w:t>
      </w:r>
    </w:p>
    <w:p>
      <w:pPr>
        <w:pStyle w:val="TextBody"/>
        <w:bidi w:val="0"/>
        <w:spacing w:lineRule="auto" w:line="242" w:before="235" w:after="283"/>
        <w:jc w:val="left"/>
        <w:rPr/>
      </w:pPr>
      <w:r>
        <w:rPr>
          <w:rFonts w:ascii="Times New Roman;sans-serif" w:hAnsi="Times New Roman;sans-serif"/>
          <w:b/>
          <w:color w:val="000000"/>
          <w:sz w:val="22"/>
        </w:rPr>
        <w:t xml:space="preserve">Política Laboral y Reconocimiento/Aceptación. </w:t>
      </w:r>
      <w:r>
        <w:rPr>
          <w:rFonts w:ascii="Times New Roman;sans-serif" w:hAnsi="Times New Roman;sans-serif"/>
          <w:b w:val="false"/>
          <w:color w:val="000000"/>
          <w:sz w:val="22"/>
        </w:rPr>
        <w:t>Al aceptar el otorgamiento de las Acciones Diferidas, el Empleado expresamente reconoce que Mondelēz International, Inc., con domicilio registrado ubicado en 905 West Fulton Market, Suite 200, Chicago, Illinois 60607, U.S.A., es la única responsable por la administración del Plan y que la participación del Empleado en el Plan y en su caso la adquisición de Acciones no constituyen ni podrán interpretarse como una relación de trabajo entre el Empleado y Mondelēz International, Inc., ya que el Empleado participa en el Plan en un marco totalmente comercial y su único Patrón lo es Mondelēz M</w:t>
      </w:r>
      <w:r>
        <w:rPr>
          <w:rFonts w:ascii="Times New Roman;sans-serif" w:hAnsi="Times New Roman;sans-serif"/>
          <w:b w:val="false"/>
          <w:color w:val="000000"/>
          <w:sz w:val="28"/>
        </w:rPr>
        <w:t>e</w:t>
      </w:r>
      <w:r>
        <w:rPr>
          <w:rFonts w:ascii="Times New Roman;sans-serif" w:hAnsi="Times New Roman;sans-serif"/>
          <w:b w:val="false"/>
          <w:color w:val="000000"/>
          <w:sz w:val="22"/>
        </w:rPr>
        <w:t>xico, S. de R.L. de C.V. con domicilio en Avenida Santa Fe 485, Piso 7, Colonia Cruz Manca, Mexico City, C.P. 05349 Mexico. Derivado de lo anterior, el Empleado expresamente reconoce que el Plan y los beneficios que pudieran derivar de la participación en el Plan no establecen derecho alguno entre el Empleado y el Patrón, Mondelēz México, S. de R.L. de C.V. y no forma parte de las condiciones de trabajo y/o las prestaciones otorgadas por Mondelēz México, S. de R.L. de C.V. y que cualquier modificación al Plan o su terminación no constituye un cambio o impedimento de los términos y condiciones de la relación de trabajo del Empleado.</w:t>
      </w:r>
    </w:p>
    <w:p>
      <w:pPr>
        <w:pStyle w:val="TextBody"/>
        <w:bidi w:val="0"/>
        <w:spacing w:lineRule="auto" w:line="276" w:before="241"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Asimismo, el Empleado reconoce que su participación en el Plan es resultado de una decisión unilateral y discrecional de Mondelēz International, Inc.; por lo tanto, Mondelēz International, Inc. se reserva el absoluto derecho de modificar y/o terminar la participación del Empleado en cualquier momento y sin responsabilidad alguna frente el Empleado.</w:t>
      </w:r>
    </w:p>
    <w:p>
      <w:pPr>
        <w:pStyle w:val="TextBody"/>
        <w:bidi w:val="0"/>
        <w:spacing w:lineRule="auto" w:line="276" w:before="239" w:after="283"/>
        <w:jc w:val="left"/>
        <w:rPr/>
      </w:pPr>
      <w:r>
        <w:rPr>
          <w:rFonts w:ascii="Times New Roman;sans-serif" w:hAnsi="Times New Roman;sans-serif"/>
          <w:b/>
          <w:color w:val="000000"/>
          <w:sz w:val="22"/>
        </w:rPr>
        <w:t>Reconocimiento del Plan de Documentos</w:t>
      </w:r>
      <w:r>
        <w:rPr>
          <w:rFonts w:ascii="Times New Roman;sans-serif" w:hAnsi="Times New Roman;sans-serif"/>
          <w:b w:val="false"/>
          <w:color w:val="000000"/>
          <w:sz w:val="22"/>
        </w:rPr>
        <w:t>. Al aceptar el otorgamiento de las Acciones Diferidas, el Empleado reconoce que ha recibido copias del Plan, que ha revisado el Plan y el Acuerdo en su totalidad y que entiende y acepta completamente todas las disposiciones contenidas en el Plan y en el Acuerdo.</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Adicionalmente, al aceptar el Acuerdo, el Empleado reconoce que ha leído y que aprueba específica y expresamente los términos y condiciones contenidos en el párrafo 13 del Acuerdo (“La Naturaleza del Otorgamiento”) en el cual se encuentra claramente descrito y establecido lo siguiente: (i) la participación en el Plan no constituye un derecho adquirido; (ii) el Plan y la participación en el mismo es ofrecido por Mondelēz International, Inc. de forma completamente discrecional; (iii) la participación en el Plan es voluntaria; y (iv) ni Mondelēz International, Inc. ni de cualqiuer Sociedad controlante, Subsidiaria o Filial son responsables por ninguna disminución en el valor de las Acciones subyacentes de las Acciones Diferidas.</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Finalmente, el Empleado por este medio declara que no se reserve derecho o acción alguna que ej ercitar en contra de Mondelēz International, Inc. por cualquier compensación o daño en relación con las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disposiciones del Plan o de los beneficios derivados del Plan y por lo tanto, el Empleado otorga el más amplio finiquito que en derecho proceda a Mondelēz International, Inc., sus afiliadas, subsidiarias, oficinas de representación, sus accionistas, funcionarios, agentes o representantes legales en relación con cualquier demanda que pudiera surgir.</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The Deferred Stock Units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Deferred Stock Units may not be publicly distributed in Mexico. These materials are addressed to the Employee only because of the Employee’s existing relationship with the Company Group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Mondelēz México, S. de R.L. de C.V. made in accordance with the provisions of the Mexican Securities Market Law, and any rights under such offering shall not be assigned or transferred.</w:t>
      </w:r>
    </w:p>
    <w:p>
      <w:pPr>
        <w:pStyle w:val="TextBody"/>
        <w:bidi w:val="0"/>
        <w:spacing w:before="14" w:after="283"/>
        <w:jc w:val="center"/>
        <w:rPr/>
      </w:pPr>
      <w:r>
        <w:rPr/>
      </w:r>
    </w:p>
    <w:p>
      <w:pPr>
        <w:pStyle w:val="TextBody"/>
        <w:bidi w:val="0"/>
        <w:spacing w:lineRule="auto" w:line="240" w:before="0" w:after="0"/>
        <w:jc w:val="center"/>
        <w:rPr/>
      </w:pPr>
      <w:r>
        <w:rPr>
          <w:rFonts w:ascii="Times New Roman;sans-serif" w:hAnsi="Times New Roman;sans-serif"/>
          <w:b/>
          <w:color w:val="000000"/>
          <w:sz w:val="22"/>
          <w:u w:val="single"/>
        </w:rPr>
        <w:t>MOROCCO</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7" w:after="283"/>
        <w:jc w:val="left"/>
        <w:rPr/>
      </w:pPr>
      <w:r>
        <w:rPr>
          <w:rFonts w:ascii="Times New Roman;sans-serif" w:hAnsi="Times New Roman;sans-serif"/>
          <w:b/>
          <w:color w:val="000000"/>
          <w:sz w:val="22"/>
        </w:rPr>
        <w:t xml:space="preserve">Deferred Stock Units Payable Only in Cash.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Morocco shall be paid in cash in an amount equal to the value of the shares of Common Stock on the Vesting Date.</w:t>
      </w:r>
    </w:p>
    <w:p>
      <w:pPr>
        <w:pStyle w:val="TextBody"/>
        <w:bidi w:val="0"/>
        <w:spacing w:before="0" w:after="0"/>
        <w:jc w:val="left"/>
        <w:rPr/>
      </w:pPr>
      <w:r>
        <w:rPr/>
      </w:r>
    </w:p>
    <w:p>
      <w:pPr>
        <w:pStyle w:val="TextBody"/>
        <w:bidi w:val="0"/>
        <w:spacing w:lineRule="auto" w:line="540" w:before="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NETHERLANDS</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before="0" w:after="0"/>
        <w:ind w:left="0" w:right="0" w:firstLine="3816"/>
        <w:jc w:val="both"/>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NEW ZEALAND</w:t>
      </w:r>
    </w:p>
    <w:p>
      <w:pPr>
        <w:pStyle w:val="TextBody"/>
        <w:bidi w:val="0"/>
        <w:spacing w:lineRule="auto" w:line="537" w:before="0" w:after="0"/>
        <w:jc w:val="both"/>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0"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xml:space="preserve">. WARNING: </w:t>
      </w:r>
      <w:r>
        <w:rPr>
          <w:rFonts w:ascii="Times New Roman;sans-serif" w:hAnsi="Times New Roman;sans-serif"/>
          <w:b w:val="false"/>
          <w:i/>
          <w:color w:val="000000"/>
          <w:sz w:val="22"/>
        </w:rPr>
        <w:t>The Employee is being offered Deferred Stock Units which allows the Employee to acquire shares of Common Stock in accordance with the terms of the Plan and the Agreement. The shares of Common Stock, if issued, give the Employee a stake in the ownership of the Company. The Employee may receive a return if dividends are paid.</w:t>
      </w:r>
    </w:p>
    <w:p>
      <w:pPr>
        <w:pStyle w:val="TextBody"/>
        <w:bidi w:val="0"/>
        <w:spacing w:lineRule="auto" w:line="276" w:before="236"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If the Company runs into financial difficulties and is wound up, the Employee will be paid only after all creditors and holders of preferred shares have been paid. The Employee may lose some or all of his or her investment.</w:t>
      </w:r>
    </w:p>
    <w:p>
      <w:pPr>
        <w:pStyle w:val="TextBody"/>
        <w:bidi w:val="0"/>
        <w:spacing w:lineRule="auto" w:line="276" w:before="236" w:after="283"/>
        <w:jc w:val="both"/>
        <w:rPr>
          <w:rFonts w:ascii="Times New Roman;sans-serif" w:hAnsi="Times New Roman;sans-serif"/>
          <w:b w:val="false"/>
          <w:i/>
          <w:color w:val="000000"/>
          <w:sz w:val="22"/>
        </w:rPr>
      </w:pPr>
      <w:r>
        <w:rPr>
          <w:rFonts w:ascii="Times New Roman;sans-serif" w:hAnsi="Times New Roman;sans-serif"/>
          <w:b w:val="false"/>
          <w:i/>
          <w:color w:val="000000"/>
          <w:sz w:val="22"/>
        </w:rPr>
        <w:t>New Zealand law normally requires people who offer financial products to give information to investors before they invest. This information is designed to help investors to make an informed decision.</w:t>
      </w:r>
    </w:p>
    <w:p>
      <w:pPr>
        <w:pStyle w:val="TextBody"/>
        <w:bidi w:val="0"/>
        <w:spacing w:lineRule="auto" w:line="276" w:before="237"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The usual rules do not apply to this offer because it is made under an employee share purchase scheme. As a result, the Employee may not be given all the information usually required. The Employee will also have fewer other legal protections for this investment.</w:t>
      </w:r>
    </w:p>
    <w:p>
      <w:pPr>
        <w:pStyle w:val="TextBody"/>
        <w:bidi w:val="0"/>
        <w:spacing w:lineRule="auto" w:line="278" w:before="234"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The Employee understands that he or she should ask questions, read all documents carefully, and seek independent financial advice before participating in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6"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The shares of Common Stock are quoted and approved for trading on the Nasdaq Global Select Market in the United States of America. This means that, if the Employee acquires shares of Common Stock under the Plan, the Employee may be able to sell his or her investment on the Nasdaq if there are interested buyers. The price will depend on the demand for the shares of Common Stock.</w:t>
      </w:r>
    </w:p>
    <w:p>
      <w:pPr>
        <w:pStyle w:val="TextBody"/>
        <w:bidi w:val="0"/>
        <w:spacing w:lineRule="auto" w:line="276" w:before="239" w:after="283"/>
        <w:jc w:val="left"/>
        <w:rPr/>
      </w:pPr>
      <w:r>
        <w:rPr>
          <w:rFonts w:ascii="Times New Roman;sans-serif" w:hAnsi="Times New Roman;sans-serif"/>
          <w:b w:val="false"/>
          <w:i/>
          <w:color w:val="000000"/>
          <w:sz w:val="22"/>
        </w:rPr>
        <w:t>For information on risk factors impacting the Company’s business that may affect the value of the shares of Common Stock, the Employee should refer to the risk factors discussion in the Company’s Annual Report on Form 10-K and Quarterly Reports on Form 10-Q, which are filed with the U.S. Securities and Exchange Commission and are available online at</w:t>
      </w:r>
      <w:r>
        <w:rPr>
          <w:color w:val="0000FF"/>
          <w:u w:val="single"/>
        </w:rPr>
        <w:t xml:space="preserve"> </w:t>
      </w:r>
      <w:r>
        <w:rPr>
          <w:rFonts w:ascii="Times New Roman;sans-serif" w:hAnsi="Times New Roman;sans-serif"/>
          <w:b w:val="false"/>
          <w:i/>
          <w:color w:val="0000FF"/>
          <w:sz w:val="22"/>
          <w:u w:val="single"/>
        </w:rPr>
        <w:t>www.sec.gov,</w:t>
      </w:r>
      <w:r>
        <w:rPr>
          <w:color w:val="000000"/>
        </w:rPr>
        <w:t xml:space="preserve"> </w:t>
      </w:r>
      <w:r>
        <w:rPr>
          <w:rFonts w:ascii="Times New Roman;sans-serif" w:hAnsi="Times New Roman;sans-serif"/>
          <w:b w:val="false"/>
          <w:i/>
          <w:color w:val="000000"/>
          <w:sz w:val="22"/>
        </w:rPr>
        <w:t xml:space="preserve">as well as on the Company’s website at </w:t>
      </w:r>
      <w:r>
        <w:rPr>
          <w:rFonts w:ascii="Times New Roman;sans-serif" w:hAnsi="Times New Roman;sans-serif"/>
          <w:b w:val="false"/>
          <w:color w:val="0000FF"/>
          <w:sz w:val="22"/>
          <w:u w:val="single"/>
        </w:rPr>
        <w:t xml:space="preserve">http://ir.mondelezinternational.com/sec.cfm. </w:t>
      </w:r>
    </w:p>
    <w:p>
      <w:pPr>
        <w:pStyle w:val="TextBody"/>
        <w:bidi w:val="0"/>
        <w:spacing w:before="100" w:after="100"/>
        <w:jc w:val="center"/>
        <w:rPr/>
      </w:pPr>
      <w:r>
        <w:rPr/>
      </w:r>
    </w:p>
    <w:p>
      <w:pPr>
        <w:pStyle w:val="TextBody"/>
        <w:bidi w:val="0"/>
        <w:spacing w:lineRule="auto" w:line="240"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NIGERIA</w:t>
      </w:r>
    </w:p>
    <w:p>
      <w:pPr>
        <w:pStyle w:val="TextBody"/>
        <w:bidi w:val="0"/>
        <w:spacing w:lineRule="auto" w:line="288" w:before="100" w:after="100"/>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lineRule="auto" w:line="288" w:before="100" w:after="100"/>
        <w:jc w:val="center"/>
        <w:rPr>
          <w:rFonts w:ascii="Times New Roman;sans-serif" w:hAnsi="Times New Roman;sans-serif"/>
          <w:b/>
          <w:color w:val="000000"/>
          <w:sz w:val="22"/>
          <w:u w:val="single"/>
        </w:rPr>
      </w:pPr>
      <w:r>
        <w:rPr>
          <w:rFonts w:ascii="Times New Roman;sans-serif" w:hAnsi="Times New Roman;sans-serif"/>
          <w:b/>
          <w:color w:val="000000"/>
          <w:sz w:val="22"/>
          <w:u w:val="single"/>
        </w:rPr>
        <w:t>NORWAY</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0"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In general, Norwegian residents should not be subject to any foreign exchange requirements in connection with the acquisition or sale of shares of Common Stock under the Plan, except normal reporting requirements to the Norwegian Currency Registry. If the transfer of funds into or out of Norway is made through a Norwegian bank, the bank will make the registration.</w:t>
      </w:r>
    </w:p>
    <w:p>
      <w:pPr>
        <w:pStyle w:val="TextBody"/>
        <w:bidi w:val="0"/>
        <w:spacing w:lineRule="auto" w:line="276" w:before="238"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Norwegian residents may be subject to foreign asset reporting as part of their ordinary tax return. Norwegian banks, financial institutions, limited companies etc. must report certain information to the Tax Administration. Such information may then be pre-completed in a Norwegian resident’s tax return. However, if the resident has traded, or is the owner of, financial instruments (e.g., shares of Common Stock) not pre-completed in the tax return, the Norwegian resident must enter this information in Form RF-1159, which is an appendix to the tax return.</w:t>
      </w:r>
    </w:p>
    <w:p>
      <w:pPr>
        <w:pStyle w:val="TextBody"/>
        <w:bidi w:val="0"/>
        <w:spacing w:lineRule="auto" w:line="271" w:before="242" w:after="283"/>
        <w:jc w:val="center"/>
        <w:rPr/>
      </w:pPr>
      <w:r>
        <w:rPr>
          <w:rFonts w:ascii="Times New Roman;sans-serif" w:hAnsi="Times New Roman;sans-serif"/>
          <w:b/>
          <w:color w:val="000000"/>
          <w:sz w:val="22"/>
          <w:u w:val="single"/>
        </w:rPr>
        <w:t>PAKISTAN</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7" w:after="283"/>
        <w:jc w:val="left"/>
        <w:rPr/>
      </w:pPr>
      <w:r>
        <w:rPr>
          <w:rFonts w:ascii="Times New Roman;sans-serif" w:hAnsi="Times New Roman;sans-serif"/>
          <w:b/>
          <w:color w:val="000000"/>
          <w:sz w:val="22"/>
        </w:rPr>
        <w:t xml:space="preserve">Forced Sale of Shares. </w:t>
      </w:r>
      <w:r>
        <w:rPr>
          <w:rFonts w:ascii="Times New Roman;sans-serif" w:hAnsi="Times New Roman;sans-serif"/>
          <w:b w:val="false"/>
          <w:color w:val="000000"/>
          <w:sz w:val="22"/>
        </w:rPr>
        <w:t>The Company reserves the right to force the immediate sale of the shares of Common Stock to be issued upon vesting and settlement of the Deferred Stock Units. If applicable, the Employee agrees that the Company is authorized to instruct its designated broker, on behalf of the Employee, to assist with the mandatory sale of such shares of Common Stock and the Employee expressly authorizes the Company’s designated broker to complete the sale of such shares of Common Stock. The Employee expressly acknowledges that the Company’s designated broker is under no obligation to arrange for the sale of shares of Common Stock at any particular price. Upon the sale of shares of Common Stock, the Employee shall receive the cash proceeds from the sale of shares of Common Stock, less any brokerage fees or commissions and subject to any obligation to satisfy Tax-Related Items. The Employee also acknowledges that the Employee is unaware of any material nonpublic information with respect to the Company or any securities of the Company as of the date of the Agreement.</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4"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is required immediately to repatriate to Pakistan the proceeds from the sale of any Common Stock acquired from participation in Plan, including the proceeds from the sale of Common Stock acquired upon vesting of the Deferred Stock Units. The proceeds must be converted into local currency and the receipt of proceeds must be reported to the State Bank of Pakistan (the “</w:t>
      </w:r>
      <w:r>
        <w:rPr>
          <w:rFonts w:ascii="Times New Roman;sans-serif" w:hAnsi="Times New Roman;sans-serif"/>
          <w:b w:val="false"/>
          <w:color w:val="000000"/>
          <w:sz w:val="22"/>
          <w:u w:val="single"/>
        </w:rPr>
        <w:t>SBP</w:t>
      </w:r>
      <w:r>
        <w:rPr>
          <w:color w:val="000000"/>
        </w:rPr>
        <w:t>”</w:t>
      </w:r>
      <w:r>
        <w:rPr>
          <w:rFonts w:ascii="Times New Roman;sans-serif" w:hAnsi="Times New Roman;sans-serif"/>
          <w:b w:val="false"/>
          <w:color w:val="000000"/>
          <w:sz w:val="22"/>
        </w:rPr>
        <w:t xml:space="preserve">) by filing a “Proceeds Realization Certificate” issued by the bank converting the proceeds with the SBP. The repatriated amounts cannot be credited to a foreign currency account. The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4"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Employee should consult his or her personal advisor prior to repatriation of the sale proceeds to ensure compliance with applicable exchange control regulations in Pakistan, as such regulations are subject to frequent change. The Employee is responsible for ensuring compliance with all exchange control laws in Pakistan.</w:t>
      </w:r>
    </w:p>
    <w:p>
      <w:pPr>
        <w:pStyle w:val="TextBody"/>
        <w:bidi w:val="0"/>
        <w:spacing w:before="14" w:after="283"/>
        <w:jc w:val="center"/>
        <w:rPr/>
      </w:pPr>
      <w:r>
        <w:rPr/>
      </w:r>
    </w:p>
    <w:p>
      <w:pPr>
        <w:pStyle w:val="TextBody"/>
        <w:bidi w:val="0"/>
        <w:spacing w:lineRule="auto" w:line="240" w:before="0" w:after="0"/>
        <w:jc w:val="center"/>
        <w:rPr/>
      </w:pPr>
      <w:r>
        <w:rPr>
          <w:rFonts w:ascii="Times New Roman;sans-serif" w:hAnsi="Times New Roman;sans-serif"/>
          <w:b/>
          <w:color w:val="000000"/>
          <w:sz w:val="22"/>
          <w:u w:val="single"/>
        </w:rPr>
        <w:t>PERU</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7" w:after="283"/>
        <w:jc w:val="left"/>
        <w:rPr/>
      </w:pPr>
      <w:r>
        <w:rPr>
          <w:rFonts w:ascii="Times New Roman;sans-serif" w:hAnsi="Times New Roman;sans-serif"/>
          <w:b/>
          <w:color w:val="000000"/>
          <w:sz w:val="22"/>
        </w:rPr>
        <w:t xml:space="preserve">Labor Law Acknowledgement. </w:t>
      </w:r>
      <w:r>
        <w:rPr>
          <w:rFonts w:ascii="Times New Roman;sans-serif" w:hAnsi="Times New Roman;sans-serif"/>
          <w:b w:val="false"/>
          <w:color w:val="000000"/>
          <w:sz w:val="22"/>
        </w:rPr>
        <w:t>The following provision supplements the acknowledgment contained in paragraph 13 of the Agreement:</w:t>
      </w:r>
    </w:p>
    <w:p>
      <w:pPr>
        <w:pStyle w:val="TextBody"/>
        <w:bidi w:val="0"/>
        <w:spacing w:lineRule="auto" w:line="283" w:before="230" w:after="283"/>
        <w:jc w:val="left"/>
        <w:rPr/>
      </w:pPr>
      <w:r>
        <w:rPr>
          <w:rFonts w:ascii="Times New Roman;sans-serif" w:hAnsi="Times New Roman;sans-serif"/>
          <w:b w:val="false"/>
          <w:color w:val="000000"/>
          <w:sz w:val="22"/>
        </w:rPr>
        <w:t xml:space="preserve">By accepting the Deferred Stock Units, the Employee acknowledges, understands and agrees that the Deferred Stock Units are being granted </w:t>
      </w:r>
      <w:r>
        <w:rPr>
          <w:rFonts w:ascii="Times New Roman;sans-serif" w:hAnsi="Times New Roman;sans-serif"/>
          <w:b w:val="false"/>
          <w:i/>
          <w:color w:val="000000"/>
          <w:sz w:val="22"/>
        </w:rPr>
        <w:t xml:space="preserve">ex gratia </w:t>
      </w:r>
      <w:r>
        <w:rPr>
          <w:rFonts w:ascii="Times New Roman;sans-serif" w:hAnsi="Times New Roman;sans-serif"/>
          <w:b w:val="false"/>
          <w:color w:val="000000"/>
          <w:sz w:val="22"/>
        </w:rPr>
        <w:t>to the Employee.</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2"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grant of Deferred Stock Units is considered a private offering in Peru; therefore, it is not subject to registration. For more information concerning this offer, the Employee should refer to the Plan, the Agreement and any other grant documents made available by the Company. For more information regarding the Company, the Employee may refer to the Company’s most recent annual report on Form 10-K and quarterly report on Form 10-Q available at</w:t>
      </w:r>
      <w:r>
        <w:rPr>
          <w:color w:val="0000FF"/>
          <w:u w:val="single"/>
        </w:rPr>
        <w:t xml:space="preserve"> </w:t>
      </w:r>
      <w:r>
        <w:rPr>
          <w:rFonts w:ascii="Times New Roman;sans-serif" w:hAnsi="Times New Roman;sans-serif"/>
          <w:b w:val="false"/>
          <w:color w:val="0000FF"/>
          <w:sz w:val="22"/>
          <w:u w:val="single"/>
        </w:rPr>
        <w:t xml:space="preserve">www.sec.gov. </w:t>
      </w:r>
    </w:p>
    <w:p>
      <w:pPr>
        <w:pStyle w:val="TextBody"/>
        <w:bidi w:val="0"/>
        <w:spacing w:lineRule="auto" w:line="271" w:before="241" w:after="283"/>
        <w:jc w:val="center"/>
        <w:rPr/>
      </w:pPr>
      <w:r>
        <w:rPr>
          <w:rFonts w:ascii="Times New Roman;sans-serif" w:hAnsi="Times New Roman;sans-serif"/>
          <w:b/>
          <w:color w:val="000000"/>
          <w:sz w:val="22"/>
          <w:u w:val="single"/>
        </w:rPr>
        <w:t>PHILIPPINES</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7" w:after="283"/>
        <w:jc w:val="left"/>
        <w:rPr/>
      </w:pPr>
      <w:r>
        <w:rPr>
          <w:rFonts w:ascii="Times New Roman;sans-serif" w:hAnsi="Times New Roman;sans-serif"/>
          <w:b/>
          <w:color w:val="000000"/>
          <w:sz w:val="22"/>
        </w:rPr>
        <w:t xml:space="preserve">Deferred Stock Units Payable Only in Cash.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the Philippines shall be paid in cash in an amount equal to the value of the shares of Common Stock on the Vesting Date.</w:t>
      </w:r>
    </w:p>
    <w:p>
      <w:pPr>
        <w:pStyle w:val="TextBody"/>
        <w:bidi w:val="0"/>
        <w:spacing w:lineRule="auto" w:line="271" w:before="246" w:after="283"/>
        <w:jc w:val="center"/>
        <w:rPr/>
      </w:pPr>
      <w:r>
        <w:rPr>
          <w:rFonts w:ascii="Times New Roman;sans-serif" w:hAnsi="Times New Roman;sans-serif"/>
          <w:b/>
          <w:color w:val="000000"/>
          <w:sz w:val="22"/>
          <w:u w:val="single"/>
        </w:rPr>
        <w:t>POLAND</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Polish residents who maintain bank or brokerage accounts holding cash and foreign securities (including shares of Common Stock) abroad must report information to the National Bank of Poland on transactions and balances of the securities deposited in such accounts if the value of such transactions or balances (calculated individually or together with other assets or liabilities held abroad) exceeds certain thresholds. If required, the reports are due on a quarterly basis. Polish residents are also required to transfer funds through a bank account in Poland if the transferred amount in any single transaction exceeds a specified threshold (currently €15,000, however, if the transfer of funds is connected with the business activity an entrepreneur, the threshold is PLN 15,000). Further, upon the request of a Polish bank, Polish residents are required to inform the bank about all foreign exchange transactions performed through such bank. In addition, Polish residents are required to store documents connected with any foreign exchange transaction for a period of five years from the date the transaction occurred.</w:t>
      </w:r>
    </w:p>
    <w:p>
      <w:pPr>
        <w:pStyle w:val="TextBody"/>
        <w:bidi w:val="0"/>
        <w:spacing w:lineRule="auto" w:line="276" w:before="236"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PORTUGAL</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8" w:after="283"/>
        <w:jc w:val="left"/>
        <w:rPr/>
      </w:pPr>
      <w:r>
        <w:rPr>
          <w:rFonts w:ascii="Times New Roman;sans-serif" w:hAnsi="Times New Roman;sans-serif"/>
          <w:b/>
          <w:color w:val="000000"/>
          <w:sz w:val="22"/>
        </w:rPr>
        <w:t xml:space="preserve">Language Consent. </w:t>
      </w:r>
      <w:r>
        <w:rPr>
          <w:rFonts w:ascii="Times New Roman;sans-serif" w:hAnsi="Times New Roman;sans-serif"/>
          <w:b w:val="false"/>
          <w:color w:val="000000"/>
          <w:sz w:val="22"/>
        </w:rPr>
        <w:t>The Employee hereby expressly declares that he or she has full knowledge of the English language and has read, understood and fully accepted and agreed with the terms and conditions established in the Plan and the Agreement.</w:t>
      </w:r>
    </w:p>
    <w:p>
      <w:pPr>
        <w:pStyle w:val="TextBody"/>
        <w:bidi w:val="0"/>
        <w:spacing w:lineRule="auto" w:line="276" w:before="240" w:after="283"/>
        <w:jc w:val="left"/>
        <w:rPr/>
      </w:pPr>
      <w:r>
        <w:rPr>
          <w:rFonts w:ascii="Times New Roman;sans-serif" w:hAnsi="Times New Roman;sans-serif"/>
          <w:b/>
          <w:i/>
          <w:color w:val="000000"/>
          <w:sz w:val="22"/>
        </w:rPr>
        <w:t xml:space="preserve">Conhecimento da Lingua. </w:t>
      </w:r>
      <w:r>
        <w:rPr>
          <w:rFonts w:ascii="Times New Roman;sans-serif" w:hAnsi="Times New Roman;sans-serif"/>
          <w:b w:val="false"/>
          <w:i/>
          <w:color w:val="000000"/>
          <w:sz w:val="22"/>
        </w:rPr>
        <w:t>O Contratado, pelo presente instrumento, declara expressamente que tem pleno conhecimento da língua inglesa e que leu, compreendeu e livremente aceitou e concordou com os termos e condições estabelecidas no Plano e no Acordo de Atribuição (“Agreement” em inglês)</w:t>
      </w:r>
      <w:r>
        <w:rPr>
          <w:rFonts w:ascii="Times New Roman;sans-serif" w:hAnsi="Times New Roman;sans-serif"/>
          <w:b w:val="false"/>
          <w:color w:val="000000"/>
          <w:sz w:val="22"/>
        </w:rPr>
        <w:t>.</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If the Employee acquires shares of Common Stock under the Plan and does not hold the shares of Common Stock with a Portuguese financial intermediary, he or she may need to file a report with the Portuguese Central Bank. If the shares of Common Stock are held by a Portuguese financial intermediary, it will file the report for the Employee.</w:t>
      </w:r>
    </w:p>
    <w:p>
      <w:pPr>
        <w:pStyle w:val="TextBody"/>
        <w:bidi w:val="0"/>
        <w:spacing w:lineRule="auto" w:line="271" w:before="246" w:after="283"/>
        <w:jc w:val="center"/>
        <w:rPr/>
      </w:pPr>
      <w:r>
        <w:rPr>
          <w:rFonts w:ascii="Times New Roman;sans-serif" w:hAnsi="Times New Roman;sans-serif"/>
          <w:b/>
          <w:color w:val="000000"/>
          <w:sz w:val="22"/>
          <w:u w:val="single"/>
        </w:rPr>
        <w:t>ROMANIA</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deposits proceeds from the sale of Common Stock in a bank account in Romania, the Employee may be required to provide the Romanian bank assisting with the transaction with appropriate documentation explaining the source of the income. The Employee should consult with a personal legal advisor to determine whether the Employee will be required to submit such documentation to the Romanian bank.</w:t>
      </w:r>
    </w:p>
    <w:p>
      <w:pPr>
        <w:pStyle w:val="TextBody"/>
        <w:bidi w:val="0"/>
        <w:spacing w:lineRule="auto" w:line="271" w:before="242" w:after="283"/>
        <w:jc w:val="center"/>
        <w:rPr/>
      </w:pPr>
      <w:r>
        <w:rPr>
          <w:rFonts w:ascii="Times New Roman;sans-serif" w:hAnsi="Times New Roman;sans-serif"/>
          <w:b/>
          <w:color w:val="000000"/>
          <w:sz w:val="22"/>
          <w:u w:val="single"/>
        </w:rPr>
        <w:t>RUSSIA</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7"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This Agreement, the Plan and all other materials that the Employee may receive concerning the Deferred Stock Units and the Employee’s participation in the Plan do not constitute advertising or an offering of securities in Russia. The Common Stock to be issued upon the vesting of the Deferred Stock Units has not and will not be registered in Russia and, therefore, the Common Stock described in any Plan documents may not be offered or placed in public circulation in Russia. In no event will Common Stock to be issued upon the vesting of the Deferred Stock Units be delivered to the Employee in Russia. All Common Stock acquired under the Plan will be maintained on the Employee’s behalf outside of Russia. The Employee will not be permitted to sell Common Stock directly to a Russian legal entity or resident.</w:t>
      </w:r>
    </w:p>
    <w:p>
      <w:pPr>
        <w:pStyle w:val="TextBody"/>
        <w:bidi w:val="0"/>
        <w:spacing w:lineRule="auto" w:line="276" w:before="237" w:after="283"/>
        <w:jc w:val="left"/>
        <w:rPr/>
      </w:pPr>
      <w:r>
        <w:rPr>
          <w:rFonts w:ascii="Times New Roman;sans-serif" w:hAnsi="Times New Roman;sans-serif"/>
          <w:b/>
          <w:color w:val="000000"/>
          <w:sz w:val="22"/>
        </w:rPr>
        <w:t xml:space="preserve">Settlement of Deferred Stock Units and Sale of Shares. </w:t>
      </w:r>
      <w:r>
        <w:rPr>
          <w:rFonts w:ascii="Times New Roman;sans-serif" w:hAnsi="Times New Roman;sans-serif"/>
          <w:b w:val="false"/>
          <w:color w:val="000000"/>
          <w:sz w:val="22"/>
        </w:rPr>
        <w:t>The Employee understands that no shares of Common Stock will be issued upon vesting of the Deferred Stock Units if the Company, in its sole discretion, determines that such issuance would not comply with applicable laws and regulations in Russia. Notwithstanding anything to the contrary in the Agreement, depending on the development of local regulatory requirements, the Employee acknowledges that the Deferred Stock Units may be paid to the Employee in cash rather than shares of Common Stock. If shares of Common Stock are issued upon vesting of the Deferred Stock Units, in the Company’s sole discretion, the shares may be required to be immediately sold. The Employee further agrees that the Company is authorized to instruct its designated broker to assist with any mandatory sale of such shares of Common Stock (on the Employee’s behalf pursuant to this authorization) and the Employee expressly authorizes the Company’s designated broker to complete the sale of such shares. Upon any such sale of the shares, the proceeds, less any Tax-Related Items and broker’s fees or commissions, will be remitted to the Employee in accordance with any applicable exchange control laws and regulations.</w:t>
      </w:r>
    </w:p>
    <w:p>
      <w:pPr>
        <w:pStyle w:val="TextBody"/>
        <w:bidi w:val="0"/>
        <w:spacing w:lineRule="auto" w:line="276" w:before="243" w:after="283"/>
        <w:jc w:val="left"/>
        <w:rPr/>
      </w:pPr>
      <w:r>
        <w:rPr>
          <w:rFonts w:ascii="Times New Roman;sans-serif" w:hAnsi="Times New Roman;sans-serif"/>
          <w:b/>
          <w:color w:val="000000"/>
          <w:sz w:val="22"/>
        </w:rPr>
        <w:t xml:space="preserve">Data Privacy. </w:t>
      </w:r>
      <w:r>
        <w:rPr>
          <w:rFonts w:ascii="Times New Roman;sans-serif" w:hAnsi="Times New Roman;sans-serif"/>
          <w:b w:val="false"/>
          <w:color w:val="000000"/>
          <w:sz w:val="22"/>
        </w:rPr>
        <w:t>The following provision supplements paragraph 14 of the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6" w:after="283"/>
        <w:jc w:val="left"/>
        <w:rPr/>
      </w:pPr>
      <w:r>
        <w:rPr>
          <w:rFonts w:ascii="Times New Roman;sans-serif" w:hAnsi="Times New Roman;sans-serif"/>
          <w:b w:val="false"/>
          <w:color w:val="000000"/>
          <w:sz w:val="22"/>
        </w:rPr>
        <w:t>The Employee understands and agrees that he or she must complete and return a Consent to Processing of Personal Data (the “</w:t>
      </w:r>
      <w:r>
        <w:rPr>
          <w:rFonts w:ascii="Times New Roman;sans-serif" w:hAnsi="Times New Roman;sans-serif"/>
          <w:b w:val="false"/>
          <w:color w:val="000000"/>
          <w:sz w:val="22"/>
          <w:u w:val="single"/>
        </w:rPr>
        <w:t>Consent</w:t>
      </w:r>
      <w:r>
        <w:rPr>
          <w:color w:val="000000"/>
        </w:rPr>
        <w:t>”</w:t>
      </w:r>
      <w:r>
        <w:rPr>
          <w:rFonts w:ascii="Times New Roman;sans-serif" w:hAnsi="Times New Roman;sans-serif"/>
          <w:b w:val="false"/>
          <w:color w:val="000000"/>
          <w:sz w:val="22"/>
        </w:rPr>
        <w:t>) form to the Company. Further, the Employee understands and agrees that if the Employee does not complete and return a Consent form to the Company, the Company will not be able to grant Deferred Stock Units to the Employee or other Grants or administer or maintain such Grants. Finally, the Employee understands that the Company has no obligation to substitute other forms of Grants or compensation in lieu of the Deferred Stock Units if the Employee fails to complete and return the Consent. Therefore, the Employee understands that refusing to complete a Consent form or withdrawing his or her consent may affect the Employee’s ability to participate in the Plan.</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is responsible for complying with any and all Russian foreign exchange control requirements in connection with the Deferred Stock Units, any shares of Common Stock acquired and funds remitted into Russia in connection with the Plan. This may include, in certain circumstances, reporting and repatriation requirements. The foreign exchange control rules and regulations in Russia are subject to frequent change. The Employee should contact their personal advisor to determine applicability of all repatriation, remittance or other exchange control requirements to ensure compliance with all applicable exchange control requirements prior to vesting in the Deferred Stock Units and/or selling shares of Common Stock.</w:t>
      </w:r>
    </w:p>
    <w:p>
      <w:pPr>
        <w:pStyle w:val="TextBody"/>
        <w:bidi w:val="0"/>
        <w:spacing w:lineRule="auto" w:line="276" w:before="239" w:after="283"/>
        <w:jc w:val="left"/>
        <w:rPr/>
      </w:pPr>
      <w:r>
        <w:rPr>
          <w:rFonts w:ascii="Times New Roman;sans-serif" w:hAnsi="Times New Roman;sans-serif"/>
          <w:b/>
          <w:color w:val="000000"/>
          <w:sz w:val="22"/>
        </w:rPr>
        <w:t xml:space="preserve">Labor Law Information. </w:t>
      </w:r>
      <w:r>
        <w:rPr>
          <w:rFonts w:ascii="Times New Roman;sans-serif" w:hAnsi="Times New Roman;sans-serif"/>
          <w:b w:val="false"/>
          <w:color w:val="000000"/>
          <w:sz w:val="22"/>
        </w:rPr>
        <w:t>If the Employee continues to hold shares of Common Stock acquired at vesting of Deferred Stock Units after an involuntary termination of employment, the Employee will not be eligible to receive unemployment benefits in Russia.</w:t>
      </w:r>
    </w:p>
    <w:p>
      <w:pPr>
        <w:pStyle w:val="TextBody"/>
        <w:bidi w:val="0"/>
        <w:spacing w:lineRule="auto" w:line="276" w:before="236"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Russian residents are required to report the opening, closing or change of details of any foreign brokerage account to the Russian tax authorities within one (1) month of opening, closing or change of details of such account. Russian residents are also required to submit an annual cash flow report for any such foreign brokerage account on or before June 1 of the following year. Reporting requirements were further revised effective August 11, 2020 to expand the reporting requirement to include financial assets (including Common Stock) transactions in offshore accounts. Non-compliance with the reporting obligations could impact the Employee’s ability to vest, receive shares of Common Stock pursuant to Deferred Stock Units, maintain the account outside of Russia and participate in the Plan. The Employee should consult with their personal legal advisor to determine the applicability of these reporting requirements to any brokerage account opened in connection with participation in the Plan.</w:t>
      </w:r>
    </w:p>
    <w:p>
      <w:pPr>
        <w:pStyle w:val="TextBody"/>
        <w:bidi w:val="0"/>
        <w:spacing w:lineRule="auto" w:line="276" w:before="238" w:after="283"/>
        <w:jc w:val="left"/>
        <w:rPr/>
      </w:pPr>
      <w:r>
        <w:rPr>
          <w:rFonts w:ascii="Times New Roman;sans-serif" w:hAnsi="Times New Roman;sans-serif"/>
          <w:b/>
          <w:color w:val="000000"/>
          <w:sz w:val="22"/>
        </w:rPr>
        <w:t>Anti-Corruption Information</w:t>
      </w:r>
      <w:r>
        <w:rPr>
          <w:rFonts w:ascii="Times New Roman;sans-serif" w:hAnsi="Times New Roman;sans-serif"/>
          <w:b w:val="false"/>
          <w:color w:val="000000"/>
          <w:sz w:val="22"/>
        </w:rPr>
        <w:t>. Anti-corruption laws prohibit certain public servants, their spouses and their dependent children from owning any foreign source financial instruments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shares of foreign companies such as the Company). Accordingly, the Employee should inform the Company if the Employee is covered by these laws because the Employee should not hold shares of Common Stock acquired under the Plan.</w:t>
      </w:r>
    </w:p>
    <w:p>
      <w:pPr>
        <w:pStyle w:val="TextBody"/>
        <w:bidi w:val="0"/>
        <w:spacing w:lineRule="auto" w:line="276" w:before="238"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SAUDI ARABIA</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1" w:after="283"/>
        <w:jc w:val="left"/>
        <w:rPr/>
      </w:pPr>
      <w:r>
        <w:rPr>
          <w:rFonts w:ascii="Times New Roman;sans-serif" w:hAnsi="Times New Roman;sans-serif"/>
          <w:b/>
          <w:color w:val="000000"/>
          <w:sz w:val="22"/>
        </w:rPr>
        <w:t>Deferred Stock Units Payable Only in Cash</w:t>
      </w:r>
      <w:r>
        <w:rPr>
          <w:rFonts w:ascii="Times New Roman;sans-serif" w:hAnsi="Times New Roman;sans-serif"/>
          <w:b w:val="false"/>
          <w:color w:val="000000"/>
          <w:sz w:val="22"/>
        </w:rPr>
        <w:t>. 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Saudi Arabia shall be paid in cash in an amount equal to the value of the shares of Common Stock on the Vesting Date less any Tax-Related Items.</w:t>
      </w:r>
    </w:p>
    <w:p>
      <w:pPr>
        <w:pStyle w:val="TextBody"/>
        <w:bidi w:val="0"/>
        <w:spacing w:lineRule="auto" w:line="271" w:before="247"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5"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This document may not be distributed in the Kingdom of Saudi Arabia except to such persons as are permitted (</w:t>
      </w:r>
      <w:r>
        <w:rPr>
          <w:rFonts w:ascii="Times New Roman;sans-serif" w:hAnsi="Times New Roman;sans-serif"/>
          <w:b w:val="false"/>
          <w:i/>
          <w:color w:val="000000"/>
          <w:sz w:val="22"/>
        </w:rPr>
        <w:t>e.g.</w:t>
      </w:r>
      <w:r>
        <w:rPr>
          <w:rFonts w:ascii="Times New Roman;sans-serif" w:hAnsi="Times New Roman;sans-serif"/>
          <w:b w:val="false"/>
          <w:color w:val="000000"/>
          <w:sz w:val="22"/>
        </w:rPr>
        <w:t>, Employees) under the Offer of Securities Regulations and Continuing Obligations issued by the Capital Market Authority.</w:t>
      </w:r>
    </w:p>
    <w:p>
      <w:pPr>
        <w:pStyle w:val="TextBody"/>
        <w:bidi w:val="0"/>
        <w:spacing w:lineRule="auto" w:line="276" w:before="233"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Capital Market Authority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the Employee does not understand the contents of this document he or she should consult an authorized financial advisor.</w:t>
      </w:r>
    </w:p>
    <w:p>
      <w:pPr>
        <w:pStyle w:val="TextBody"/>
        <w:bidi w:val="0"/>
        <w:spacing w:lineRule="auto" w:line="271" w:before="246" w:after="283"/>
        <w:jc w:val="center"/>
        <w:rPr/>
      </w:pPr>
      <w:r>
        <w:rPr>
          <w:rFonts w:ascii="Times New Roman;sans-serif" w:hAnsi="Times New Roman;sans-serif"/>
          <w:b/>
          <w:color w:val="000000"/>
          <w:sz w:val="22"/>
          <w:u w:val="single"/>
        </w:rPr>
        <w:t>SERBIA</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grant of the Deferred Stock Units and the issuance of any shares of Common Stock in settlement of the Deferred Stock Units is not subject to the regulations governing public offerings and private placements under the Law on Capital Markets.</w:t>
      </w:r>
    </w:p>
    <w:p>
      <w:pPr>
        <w:pStyle w:val="TextBody"/>
        <w:bidi w:val="0"/>
        <w:spacing w:lineRule="auto" w:line="276" w:before="229"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Pursuant to the Law on Foreign Exchange Transactions, the Employee is permitted to acquire shares of Common Stock under the Plan and hold the shares and any proceeds from the sale of shares of Common Stock in a U.S. brokerage account or other foreign brokerage account. However, the Employee needs permission from the National Bank of Serbia to hold any proceeds from the sale of shares of Common Stock in an offshore bank account. An exemption from this reporting obligation may apply on the basis that the shares of Common Stock are acquired for no consideration. Because the exchange control regulations in Serbia may change without notice, the Employee should consult with his or her personal advisor to ensure compliance with applicable exchange control laws.</w:t>
      </w:r>
    </w:p>
    <w:p>
      <w:pPr>
        <w:pStyle w:val="TextBody"/>
        <w:bidi w:val="0"/>
        <w:spacing w:lineRule="auto" w:line="271" w:before="246" w:after="283"/>
        <w:jc w:val="center"/>
        <w:rPr/>
      </w:pPr>
      <w:r>
        <w:rPr>
          <w:rFonts w:ascii="Times New Roman;sans-serif" w:hAnsi="Times New Roman;sans-serif"/>
          <w:b/>
          <w:color w:val="000000"/>
          <w:sz w:val="22"/>
          <w:u w:val="single"/>
        </w:rPr>
        <w:t>SINGAPORE</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88" w:before="100" w:after="100"/>
        <w:jc w:val="left"/>
        <w:rPr/>
      </w:pPr>
      <w:r>
        <w:rPr>
          <w:rFonts w:ascii="Times New Roman;sans-serif" w:hAnsi="Times New Roman;sans-serif"/>
          <w:b/>
          <w:color w:val="000000"/>
          <w:sz w:val="22"/>
        </w:rPr>
        <w:t xml:space="preserve">Sale Restriction. </w:t>
      </w:r>
      <w:r>
        <w:rPr>
          <w:rFonts w:ascii="Times New Roman;sans-serif" w:hAnsi="Times New Roman;sans-serif"/>
          <w:b w:val="false"/>
          <w:color w:val="000000"/>
          <w:sz w:val="22"/>
        </w:rPr>
        <w:t>The Employee agrees that any shares of Common Stock acquired pursuant to the Deferred Stock Units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applicable provisions of the SFA.</w:t>
      </w:r>
    </w:p>
    <w:p>
      <w:pPr>
        <w:pStyle w:val="TextBody"/>
        <w:bidi w:val="0"/>
        <w:spacing w:lineRule="auto" w:line="288" w:before="100" w:after="100"/>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88" w:before="100" w:after="100"/>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grant of Deferred Stock Units is being made pursuant to the “Qualifying Person” exemption under section 273(1)(f) of the SFA and is not made to the Employee with a view to the Deferred Stock Units being subsequently offered for sale to any other party. The Plan has not been lodged or registered as a prospectus with the Monetary Authority of Singapore.</w:t>
      </w:r>
    </w:p>
    <w:p>
      <w:pPr>
        <w:pStyle w:val="TextBody"/>
        <w:bidi w:val="0"/>
        <w:spacing w:lineRule="auto" w:line="276" w:before="233" w:after="283"/>
        <w:jc w:val="left"/>
        <w:rPr/>
      </w:pPr>
      <w:r>
        <w:rPr>
          <w:rFonts w:ascii="Times New Roman;sans-serif" w:hAnsi="Times New Roman;sans-serif"/>
          <w:b/>
          <w:color w:val="000000"/>
          <w:sz w:val="22"/>
        </w:rPr>
        <w:t xml:space="preserve">Director Notification Requirement. </w:t>
      </w:r>
      <w:r>
        <w:rPr>
          <w:rFonts w:ascii="Times New Roman;sans-serif" w:hAnsi="Times New Roman;sans-serif"/>
          <w:b w:val="false"/>
          <w:color w:val="000000"/>
          <w:sz w:val="22"/>
        </w:rPr>
        <w:t>The directors, associate directors and shadow directors of a Singapore subsidiary or affiliate are subject to certain notification requirements under the Singapore Companies Act. The directors, associate directors and shadow directors must notify the Singapore subsidiary or affiliate in writing of an interest (</w:t>
      </w:r>
      <w:r>
        <w:rPr>
          <w:rFonts w:ascii="Times New Roman;sans-serif" w:hAnsi="Times New Roman;sans-serif"/>
          <w:b w:val="false"/>
          <w:i/>
          <w:color w:val="000000"/>
          <w:sz w:val="22"/>
        </w:rPr>
        <w:t>e.g.</w:t>
      </w:r>
      <w:r>
        <w:rPr>
          <w:rFonts w:ascii="Times New Roman;sans-serif" w:hAnsi="Times New Roman;sans-serif"/>
          <w:b w:val="false"/>
          <w:color w:val="000000"/>
          <w:sz w:val="22"/>
        </w:rPr>
        <w:t>, Deferred Stock Units, shares of Common Stock, etc.) in the Company or any related companies within two business days of (i) its acquisition or disposal, (ii) any change in a previously disclosed interest (</w:t>
      </w:r>
      <w:r>
        <w:rPr>
          <w:rFonts w:ascii="Times New Roman;sans-serif" w:hAnsi="Times New Roman;sans-serif"/>
          <w:b w:val="false"/>
          <w:i/>
          <w:color w:val="000000"/>
          <w:sz w:val="22"/>
        </w:rPr>
        <w:t xml:space="preserve">e.g., </w:t>
      </w:r>
      <w:r>
        <w:rPr>
          <w:rFonts w:ascii="Times New Roman;sans-serif" w:hAnsi="Times New Roman;sans-serif"/>
          <w:b w:val="false"/>
          <w:color w:val="000000"/>
          <w:sz w:val="22"/>
        </w:rPr>
        <w:t>when the shares of Common Stock are sold), or (iii) becoming a director, associate director or shadow director.</w:t>
      </w:r>
    </w:p>
    <w:p>
      <w:pPr>
        <w:pStyle w:val="TextBody"/>
        <w:bidi w:val="0"/>
        <w:spacing w:lineRule="auto" w:line="271" w:before="246"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SLOVAK REPUBLIC</w:t>
      </w:r>
    </w:p>
    <w:p>
      <w:pPr>
        <w:pStyle w:val="TextBody"/>
        <w:bidi w:val="0"/>
        <w:spacing w:lineRule="auto" w:line="276" w:before="235"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There are no country specific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246" w:after="283"/>
        <w:jc w:val="center"/>
        <w:rPr/>
      </w:pPr>
      <w:r>
        <w:rPr>
          <w:rFonts w:ascii="Times New Roman;sans-serif" w:hAnsi="Times New Roman;sans-serif"/>
          <w:b/>
          <w:color w:val="000000"/>
          <w:sz w:val="22"/>
          <w:u w:val="single"/>
        </w:rPr>
        <w:t>SLOVENIA</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6" w:after="283"/>
        <w:jc w:val="left"/>
        <w:rPr/>
      </w:pPr>
      <w:r>
        <w:rPr>
          <w:rFonts w:ascii="Times New Roman;sans-serif" w:hAnsi="Times New Roman;sans-serif"/>
          <w:b/>
          <w:color w:val="000000"/>
          <w:sz w:val="22"/>
        </w:rPr>
        <w:t>Foreign Asset/Account Reporting Information</w:t>
      </w:r>
      <w:r>
        <w:rPr>
          <w:rFonts w:ascii="Times New Roman;sans-serif" w:hAnsi="Times New Roman;sans-serif"/>
          <w:b w:val="false"/>
          <w:color w:val="000000"/>
          <w:sz w:val="22"/>
        </w:rPr>
        <w:t>. Slovenian residents may be required to report the opening of bank and/or brokerage accounts to tax authorities within eight (8) days of opening such account. The Employee should consult with his or her personal tax advisor to determine whether this requirement will be applicable to any accounts opened in connection with the Employee’s participation in the Plan (</w:t>
      </w:r>
      <w:r>
        <w:rPr>
          <w:rFonts w:ascii="Times New Roman;sans-serif" w:hAnsi="Times New Roman;sans-serif"/>
          <w:b w:val="false"/>
          <w:i/>
          <w:color w:val="000000"/>
          <w:sz w:val="22"/>
        </w:rPr>
        <w:t>e</w:t>
      </w:r>
      <w:r>
        <w:rPr>
          <w:rFonts w:ascii="Times New Roman;sans-serif" w:hAnsi="Times New Roman;sans-serif"/>
          <w:b w:val="false"/>
          <w:color w:val="000000"/>
          <w:sz w:val="22"/>
        </w:rPr>
        <w:t>.</w:t>
      </w:r>
      <w:r>
        <w:rPr>
          <w:rFonts w:ascii="Times New Roman;sans-serif" w:hAnsi="Times New Roman;sans-serif"/>
          <w:b w:val="false"/>
          <w:i/>
          <w:color w:val="000000"/>
          <w:sz w:val="22"/>
        </w:rPr>
        <w:t>g</w:t>
      </w:r>
      <w:r>
        <w:rPr>
          <w:rFonts w:ascii="Times New Roman;sans-serif" w:hAnsi="Times New Roman;sans-serif"/>
          <w:b w:val="false"/>
          <w:color w:val="000000"/>
          <w:sz w:val="22"/>
        </w:rPr>
        <w:t>., the Employee’s brokerage account with the Company’s designated broker).</w:t>
      </w:r>
    </w:p>
    <w:p>
      <w:pPr>
        <w:pStyle w:val="TextBody"/>
        <w:bidi w:val="0"/>
        <w:spacing w:lineRule="auto" w:line="271" w:before="237"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AFRICA</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283"/>
        <w:jc w:val="left"/>
        <w:rPr/>
      </w:pPr>
      <w:r>
        <w:rPr>
          <w:rFonts w:ascii="Times New Roman;sans-serif" w:hAnsi="Times New Roman;sans-serif"/>
          <w:b/>
          <w:color w:val="000000"/>
          <w:sz w:val="22"/>
        </w:rPr>
        <w:t>Securities Law Notice</w:t>
      </w:r>
      <w:r>
        <w:rPr>
          <w:rFonts w:ascii="Times New Roman;sans-serif" w:hAnsi="Times New Roman;sans-serif"/>
          <w:b w:val="false"/>
          <w:color w:val="000000"/>
          <w:sz w:val="22"/>
        </w:rPr>
        <w:t>. In compliance with South African Securities Law, the documents listed below are available for the Employee’s review on the Company’s public site or intranet site, as applicable, as listed below:</w:t>
      </w:r>
    </w:p>
    <w:p>
      <w:pPr>
        <w:pStyle w:val="TextBody"/>
        <w:bidi w:val="0"/>
        <w:spacing w:lineRule="auto" w:line="276" w:before="236" w:after="283"/>
        <w:ind w:left="0" w:right="0" w:hanging="360"/>
        <w:jc w:val="both"/>
        <w:rPr/>
      </w:pPr>
      <w:r>
        <w:rPr>
          <w:rFonts w:ascii="Times New Roman;sans-serif" w:hAnsi="Times New Roman;sans-serif"/>
          <w:b w:val="false"/>
          <w:color w:val="000000"/>
          <w:sz w:val="22"/>
        </w:rPr>
        <w:t>1.The Company’s most recent Annual Report (Form 10-K): from the investor relations section of the Company’s website at</w:t>
      </w:r>
      <w:r>
        <w:rPr>
          <w:color w:val="0000FF"/>
          <w:u w:val="single"/>
        </w:rPr>
        <w:t xml:space="preserve"> </w:t>
      </w:r>
      <w:r>
        <w:rPr>
          <w:rFonts w:ascii="Times New Roman;sans-serif" w:hAnsi="Times New Roman;sans-serif"/>
          <w:b w:val="false"/>
          <w:color w:val="0000FF"/>
          <w:sz w:val="22"/>
          <w:u w:val="single"/>
        </w:rPr>
        <w:t>http://www.mondelezinternational.com/investors.</w:t>
      </w:r>
      <w:r>
        <w:rPr>
          <w:color w:val="000000"/>
        </w:rPr>
        <w:t xml:space="preserve"> </w:t>
      </w:r>
    </w:p>
    <w:p>
      <w:pPr>
        <w:pStyle w:val="TextBody"/>
        <w:bidi w:val="0"/>
        <w:spacing w:lineRule="auto" w:line="276" w:before="236" w:after="283"/>
        <w:ind w:left="0" w:right="0" w:hanging="360"/>
        <w:jc w:val="left"/>
        <w:rPr/>
      </w:pPr>
      <w:r>
        <w:rPr>
          <w:rFonts w:ascii="Times New Roman;sans-serif" w:hAnsi="Times New Roman;sans-serif"/>
          <w:b w:val="false"/>
          <w:color w:val="000000"/>
          <w:sz w:val="22"/>
        </w:rPr>
        <w:t xml:space="preserve">2.The Company’s most recent Plan prospectus: a copy of which can be found on the Company’s Intranet site located at: </w:t>
      </w:r>
      <w:r>
        <w:rPr>
          <w:rFonts w:ascii="Times New Roman;sans-serif" w:hAnsi="Times New Roman;sans-serif"/>
          <w:b w:val="false"/>
          <w:color w:val="0000FF"/>
          <w:sz w:val="22"/>
          <w:u w:val="single"/>
        </w:rPr>
        <w:t>https://intranet.mdlz.com/sites/globalhr/comp/Pages/Legal-Documents.aspx.</w:t>
      </w:r>
      <w:r>
        <w:rPr>
          <w:color w:val="000000"/>
        </w:rPr>
        <w:t xml:space="preserve"> </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that he or she may have copies of the above documents sent to him or her, at no charge, on written request being mailed to Corporate Secretary, Mondelēz International, Inc., 905 West Fulton Market, Suite 200, Chicago, Illinois 60607, U.S.A. The telephone number at the executive offices is +1 847-943-4000.</w:t>
      </w:r>
    </w:p>
    <w:p>
      <w:pPr>
        <w:pStyle w:val="TextBody"/>
        <w:bidi w:val="0"/>
        <w:spacing w:lineRule="auto" w:line="276" w:before="241" w:after="283"/>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The following provision supplements paragraph 5 of the Agreement:</w:t>
      </w:r>
    </w:p>
    <w:p>
      <w:pPr>
        <w:pStyle w:val="TextBody"/>
        <w:bidi w:val="0"/>
        <w:spacing w:before="12" w:after="283"/>
        <w:jc w:val="left"/>
        <w:rPr/>
      </w:pPr>
      <w:r>
        <w:rPr/>
      </w:r>
    </w:p>
    <w:p>
      <w:pPr>
        <w:pStyle w:val="TextBody"/>
        <w:bidi w:val="0"/>
        <w:spacing w:lineRule="auto" w:line="276" w:before="12"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accepting the Deferred Stock Units, the Employee understands and acknowledges that he or she is required to notify the Employer of the amount of any gain realized upon vesting of the Deferred Stock Units.</w:t>
      </w:r>
    </w:p>
    <w:p>
      <w:pPr>
        <w:pStyle w:val="TextBody"/>
        <w:bidi w:val="0"/>
        <w:spacing w:lineRule="auto" w:line="276" w:before="235" w:after="283"/>
        <w:jc w:val="left"/>
        <w:rPr/>
      </w:pPr>
      <w:r>
        <w:rPr>
          <w:rFonts w:ascii="Times New Roman;sans-serif" w:hAnsi="Times New Roman;sans-serif"/>
          <w:b/>
          <w:color w:val="000000"/>
          <w:sz w:val="22"/>
        </w:rPr>
        <w:t xml:space="preserve">Exchange Control Obligations. </w:t>
      </w:r>
      <w:r>
        <w:rPr>
          <w:rFonts w:ascii="Times New Roman;sans-serif" w:hAnsi="Times New Roman;sans-serif"/>
          <w:b w:val="false"/>
          <w:color w:val="000000"/>
          <w:sz w:val="22"/>
        </w:rPr>
        <w:t>The Employee is solely responsible for complying with applicable South African exchange control regulations. In particular, the Employee may be required to obtain approval from the South African Reserve Bank for payments (including shares of Common Stock received pursuant to the Plan) that the Employee receives into accounts based outside of South Africa (e.g., a U.S. brokerage account). Since the exchange control regulations change frequently and without notice, the Employee should consult his or her legal advisor prior to the acquisition or sale of the shares of Common Stock under the Plan to ensure compliance with current regulations. As noted, it is the Employee’s responsibility to comply with South African exchange control laws, and neither the Company nor the Employer will be liable for any fines or penalties resulting from failure to comply with applicable laws.</w:t>
      </w:r>
    </w:p>
    <w:p>
      <w:pPr>
        <w:pStyle w:val="TextBody"/>
        <w:bidi w:val="0"/>
        <w:spacing w:lineRule="auto" w:line="271" w:before="246"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SOUTH KOREA</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5" w:after="283"/>
        <w:jc w:val="left"/>
        <w:rPr/>
      </w:pPr>
      <w:r>
        <w:rPr>
          <w:rFonts w:ascii="Times New Roman;sans-serif" w:hAnsi="Times New Roman;sans-serif"/>
          <w:b/>
          <w:color w:val="000000"/>
          <w:sz w:val="22"/>
        </w:rPr>
        <w:t>Domestic Broker Requirement for Selling Shares</w:t>
      </w:r>
      <w:r>
        <w:rPr>
          <w:rFonts w:ascii="Times New Roman;sans-serif" w:hAnsi="Times New Roman;sans-serif"/>
          <w:b/>
          <w:i/>
          <w:color w:val="000000"/>
          <w:sz w:val="22"/>
        </w:rPr>
        <w:t xml:space="preserve">. </w:t>
      </w:r>
      <w:r>
        <w:rPr>
          <w:rFonts w:ascii="Times New Roman;sans-serif" w:hAnsi="Times New Roman;sans-serif"/>
          <w:b w:val="false"/>
          <w:color w:val="000000"/>
          <w:sz w:val="22"/>
        </w:rPr>
        <w:t xml:space="preserve">Residents of South Korea are not permitted to sell foreign securities (such as shares of Common Stock acquired under the Plan) through non-Korean brokers (such as Morgan Stanley Smith Barney, LLC) or deposit funds resulting from the sale of shares of Common Stock in an account with an overseas financial institution. If the Employee wishes to sell shares of Common Stock acquired under the Plan, the Employee is required to personally transfer the shares of Common Stock receive pursuant to the Plan to a domestic investment broker in South Korea and to effect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5"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sale through such broker. The Employee is solely responsible for (a) establishing and maintaining the Employee’s local brokerage account with a domestic broker in South Korea, and (b) all costs, fees and expenses associated with the establishment and maintenance of the Employee’s local brokerage account with the domestic broker in South Korea. The Employee’s non-compliance with the requirement to sell Shares through a domestic broker in South Korea can result in significant penalties.</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 xml:space="preserve">Foreign Asset/Account Reporting Information. </w:t>
      </w:r>
      <w:r>
        <w:rPr>
          <w:rFonts w:ascii="Times New Roman;sans-serif" w:hAnsi="Times New Roman;sans-serif"/>
          <w:b w:val="false"/>
          <w:color w:val="000000"/>
          <w:sz w:val="22"/>
        </w:rPr>
        <w:t>South Korean residents must declare all foreign financial accounts (</w:t>
      </w:r>
      <w:r>
        <w:rPr>
          <w:rFonts w:ascii="Times New Roman;sans-serif" w:hAnsi="Times New Roman;sans-serif"/>
          <w:b w:val="false"/>
          <w:i/>
          <w:color w:val="000000"/>
          <w:sz w:val="22"/>
        </w:rPr>
        <w:t>e.g.</w:t>
      </w:r>
      <w:r>
        <w:rPr>
          <w:rFonts w:ascii="Times New Roman;sans-serif" w:hAnsi="Times New Roman;sans-serif"/>
          <w:b w:val="false"/>
          <w:color w:val="000000"/>
          <w:sz w:val="22"/>
        </w:rPr>
        <w:t>, non-South Korean bank accounts, brokerage accounts, etc.) to the South Korean tax authority and file a report with respect to such accounts if the value of such accounts exceeds KRW 500 million (or an equivalent amount in foreign currency) on any month-end date during a calendar year. The Employee should consult with his or her personal tax advisor to determine how to value the Employee’s foreign accounts for purposes of this reporting requirement and whether the Employee is required to file a report with respect to such accounts.</w:t>
      </w:r>
    </w:p>
    <w:p>
      <w:pPr>
        <w:pStyle w:val="TextBody"/>
        <w:bidi w:val="0"/>
        <w:spacing w:lineRule="auto" w:line="271" w:before="246" w:after="283"/>
        <w:jc w:val="center"/>
        <w:rPr/>
      </w:pPr>
      <w:r>
        <w:rPr>
          <w:rFonts w:ascii="Times New Roman;sans-serif" w:hAnsi="Times New Roman;sans-serif"/>
          <w:b/>
          <w:color w:val="000000"/>
          <w:sz w:val="22"/>
          <w:u w:val="single"/>
        </w:rPr>
        <w:t>SPAIN</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283"/>
        <w:jc w:val="left"/>
        <w:rPr/>
      </w:pPr>
      <w:r>
        <w:rPr>
          <w:rFonts w:ascii="Times New Roman;sans-serif" w:hAnsi="Times New Roman;sans-serif"/>
          <w:b/>
          <w:color w:val="000000"/>
          <w:sz w:val="22"/>
        </w:rPr>
        <w:t xml:space="preserve">Nature of Grant. </w:t>
      </w:r>
      <w:r>
        <w:rPr>
          <w:rFonts w:ascii="Times New Roman;sans-serif" w:hAnsi="Times New Roman;sans-serif"/>
          <w:b w:val="false"/>
          <w:color w:val="000000"/>
          <w:sz w:val="22"/>
        </w:rPr>
        <w:t>The following provision supplements paragraph 13 of the Agreement:</w:t>
      </w:r>
    </w:p>
    <w:p>
      <w:pPr>
        <w:pStyle w:val="TextBody"/>
        <w:bidi w:val="0"/>
        <w:spacing w:lineRule="auto" w:line="276" w:before="242"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accepting the Deferred Stock Units, the Employee consents to participation in the Plan and acknowledges that he or she has received a copy of the Plan.The Employee understands and agrees that, as a condition of the grant of the Deferred Stock Units, except as provided for in paragraph 2 of the Agreement, the termination of the Employee’s employment for any reason (including for the reasons listed below) will automatically result in the loss of the Deferred Stock Units that may have been granted to the Employee and that have not vested on the date of termination.</w:t>
      </w:r>
    </w:p>
    <w:p>
      <w:pPr>
        <w:pStyle w:val="TextBody"/>
        <w:bidi w:val="0"/>
        <w:spacing w:lineRule="auto" w:line="276" w:before="238" w:after="283"/>
        <w:jc w:val="left"/>
        <w:rPr/>
      </w:pPr>
      <w:r>
        <w:rPr>
          <w:rFonts w:ascii="Times New Roman;sans-serif" w:hAnsi="Times New Roman;sans-serif"/>
          <w:b w:val="false"/>
          <w:color w:val="000000"/>
          <w:sz w:val="22"/>
        </w:rPr>
        <w:t>In particular, the Employee understands and agrees that any unvested Deferred Stock Units as of Employee’s termination date will be forfeited without entitlement to the underlying shares of Common Stock or to any amount as indemnification in the event of a termination by reason of, including, but not limited to: resignation, disciplinary dismissal adjudged to be with cause, disciplinary dismissal adjudged or recognized to be without good cause (</w:t>
      </w:r>
      <w:r>
        <w:rPr>
          <w:rFonts w:ascii="Times New Roman;sans-serif" w:hAnsi="Times New Roman;sans-serif"/>
          <w:b w:val="false"/>
          <w:i/>
          <w:color w:val="000000"/>
          <w:sz w:val="22"/>
        </w:rPr>
        <w:t>i</w:t>
      </w:r>
      <w:r>
        <w:rPr>
          <w:rFonts w:ascii="Times New Roman;sans-serif" w:hAnsi="Times New Roman;sans-serif"/>
          <w:b w:val="false"/>
          <w:color w:val="000000"/>
          <w:sz w:val="22"/>
        </w:rPr>
        <w:t>.</w:t>
      </w:r>
      <w:r>
        <w:rPr>
          <w:rFonts w:ascii="Times New Roman;sans-serif" w:hAnsi="Times New Roman;sans-serif"/>
          <w:b w:val="false"/>
          <w:i/>
          <w:color w:val="000000"/>
          <w:sz w:val="22"/>
        </w:rPr>
        <w:t>e</w:t>
      </w:r>
      <w:r>
        <w:rPr>
          <w:rFonts w:ascii="Times New Roman;sans-serif" w:hAnsi="Times New Roman;sans-serif"/>
          <w:b w:val="false"/>
          <w:color w:val="000000"/>
          <w:sz w:val="22"/>
        </w:rPr>
        <w:t>.,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pStyle w:val="TextBody"/>
        <w:bidi w:val="0"/>
        <w:spacing w:lineRule="auto" w:line="276" w:before="238" w:after="283"/>
        <w:jc w:val="left"/>
        <w:rPr>
          <w:rFonts w:ascii="Times New Roman;sans-serif" w:hAnsi="Times New Roman;sans-serif"/>
          <w:b w:val="false"/>
          <w:color w:val="000000"/>
          <w:sz w:val="22"/>
        </w:rPr>
      </w:pPr>
      <w:r>
        <w:rPr>
          <w:rFonts w:ascii="Times New Roman;sans-serif" w:hAnsi="Times New Roman;sans-serif"/>
          <w:b w:val="false"/>
          <w:color w:val="000000"/>
          <w:sz w:val="22"/>
        </w:rPr>
        <w:t>Furthermore, the Employee understands that the Company has unilaterally, gratuitously and discretionally decided to grant the Deferred Stock Units under the Plan to individuals who may be employees of the Mondelēz Group. The decision is a limited decision that is entered into upon the express assumption and condition that any Grant will not economically or otherwise bind the Mondelēz Group on an ongoing basis other than to the extent set forth in the Agreement. Consequently, the Employee understands that the Deferred Stock Units are granted on the assumption and condition that the Deferred Stock Units and the shares of Common Stock issued upon vesting shall not become a part of any employment or contract (with the Mondelēz Group, including the Employer) and shall not be considered a mandatory benefit, salary for any purposes (including severance compensation) or any other right whatsoever. Furthermore, the Employee understands and freely accepts that there is no guarantee that any benefit whatsoever will arise from the Deferred Stock Units, which is gratuitous and discretionary, since the future value of the underlying shares of Common Stock is unknown and unpredictable. In addition, the Employee understands that the grant of the Deferred Stock Units would not be made to the Employee but for the assumptions and conditions referred to above; thus, the Employee acknowledges and freely accepts that should any or all of the assumptions be mistaken or should any of the conditions not be met for any reason, then any grant to the Employee of the Deferred Stock Units shall be null and void.</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1" w:before="242"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0"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 xml:space="preserve">No “offer of securities to the public,” as defined under Spanish law, has taken place or will take place in the Spanish territory. The Agreement (including this Appendix) has not been nor will it be registered with the </w:t>
      </w:r>
      <w:r>
        <w:rPr>
          <w:rFonts w:ascii="Times New Roman;sans-serif" w:hAnsi="Times New Roman;sans-serif"/>
          <w:b w:val="false"/>
          <w:i/>
          <w:color w:val="000000"/>
          <w:sz w:val="22"/>
        </w:rPr>
        <w:t>Comisión Nacional del Mercado de Valores</w:t>
      </w:r>
      <w:r>
        <w:rPr>
          <w:rFonts w:ascii="Times New Roman;sans-serif" w:hAnsi="Times New Roman;sans-serif"/>
          <w:b w:val="false"/>
          <w:color w:val="000000"/>
          <w:sz w:val="22"/>
        </w:rPr>
        <w:t>, and does not constitute a public offering prospectus.</w:t>
      </w:r>
    </w:p>
    <w:p>
      <w:pPr>
        <w:pStyle w:val="TextBody"/>
        <w:bidi w:val="0"/>
        <w:spacing w:lineRule="auto" w:line="276" w:before="239"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may be required to declare electronically to the Bank of Spain any foreign accounts (including brokerage accounts held abroad), any foreign instruments (including any shares of Common Stock acquired under the Plan) and any transactions with non-Spanish residents (including any payments of shares of Common Stock made to the Employee by the Company) depending on the value of such accounts and instruments and the amount of the transactions during the relevant year as of December 31 of the relevant year.</w:t>
      </w:r>
    </w:p>
    <w:p>
      <w:pPr>
        <w:pStyle w:val="TextBody"/>
        <w:bidi w:val="0"/>
        <w:spacing w:lineRule="auto" w:line="276" w:before="237" w:after="283"/>
        <w:jc w:val="left"/>
        <w:rPr/>
      </w:pPr>
      <w:r>
        <w:rPr>
          <w:rFonts w:ascii="Times New Roman;sans-serif" w:hAnsi="Times New Roman;sans-serif"/>
          <w:b/>
          <w:color w:val="000000"/>
          <w:sz w:val="22"/>
        </w:rPr>
        <w:t xml:space="preserve">Foreign Asset/Accounting Reporting Information. </w:t>
      </w:r>
      <w:r>
        <w:rPr>
          <w:rFonts w:ascii="Times New Roman;sans-serif" w:hAnsi="Times New Roman;sans-serif"/>
          <w:b w:val="false"/>
          <w:color w:val="000000"/>
          <w:sz w:val="22"/>
        </w:rPr>
        <w:t>If the Employee holds rights or assets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or cash held in a bank or brokerage account) outside Spain with a value in excess of €50,000 per type of right or asset (</w:t>
      </w:r>
      <w:r>
        <w:rPr>
          <w:rFonts w:ascii="Times New Roman;sans-serif" w:hAnsi="Times New Roman;sans-serif"/>
          <w:b w:val="false"/>
          <w:i/>
          <w:color w:val="000000"/>
          <w:sz w:val="22"/>
        </w:rPr>
        <w:t>e.g.</w:t>
      </w:r>
      <w:r>
        <w:rPr>
          <w:rFonts w:ascii="Times New Roman;sans-serif" w:hAnsi="Times New Roman;sans-serif"/>
          <w:b w:val="false"/>
          <w:color w:val="000000"/>
          <w:sz w:val="22"/>
        </w:rPr>
        <w:t>, shares of Common Stock, cash, etc.) as of December 31 each year, the Employee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or if ownership of the asset is transferred or relinquished during the year. If the value of such rights and/or assets does not exceed €50,000, a summarized form of declaration may be presented. The reporting must be completed by the March 31 each year. The Employee should consult his or her personal tax advisor for details regarding this requirement.</w:t>
      </w:r>
    </w:p>
    <w:p>
      <w:pPr>
        <w:pStyle w:val="TextBody"/>
        <w:bidi w:val="0"/>
        <w:spacing w:lineRule="auto" w:line="271" w:before="247" w:after="283"/>
        <w:jc w:val="center"/>
        <w:rPr/>
      </w:pPr>
      <w:r>
        <w:rPr>
          <w:rFonts w:ascii="Times New Roman;sans-serif" w:hAnsi="Times New Roman;sans-serif"/>
          <w:b/>
          <w:color w:val="000000"/>
          <w:sz w:val="22"/>
          <w:u w:val="single"/>
        </w:rPr>
        <w:t>SWEDEN</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2" w:after="283"/>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The following provision supplements paragraph 5 of the Agreement:</w:t>
      </w:r>
    </w:p>
    <w:p>
      <w:pPr>
        <w:pStyle w:val="TextBody"/>
        <w:bidi w:val="0"/>
        <w:spacing w:lineRule="auto" w:line="276" w:before="237"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Without limiting the Company’s and the Employer’s authority to satisfy their withholding obligations for Tax-Related Items as set forth in paragraph 5 of the Agreement, by accepting the Deferred Stock Units, the Employee authorizes the Company and/or the Employer to withhold shares of Common Stock or to sell shares of Common Stock otherwise deliverable to the Employee upon vesting to satisfy Tax-Related Items, regardless of whether the Company and/or the Employer have an obligation to withhold such Tax-Related Items.</w:t>
      </w:r>
    </w:p>
    <w:p>
      <w:pPr>
        <w:pStyle w:val="TextBody"/>
        <w:bidi w:val="0"/>
        <w:spacing w:lineRule="auto" w:line="271" w:before="247" w:after="283"/>
        <w:jc w:val="center"/>
        <w:rPr/>
      </w:pPr>
      <w:r>
        <w:rPr>
          <w:rFonts w:ascii="Times New Roman;sans-serif" w:hAnsi="Times New Roman;sans-serif"/>
          <w:b/>
          <w:color w:val="000000"/>
          <w:sz w:val="22"/>
          <w:u w:val="single"/>
        </w:rPr>
        <w:t>SWITZERLAND</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Neither this document nor any other materials relating to the Deferred Stock Units (i) constitutes a prospectus according to articles 35 et seq. of the Swiss Federal Act on Financial Services (“FinSA”) (ii) may be publicly distributed or otherwise made publicly available in Switzerland to any person other than an Employee of the Mondelēz Group or (iii) has been or will be filed with, approved or supervised by any Swiss reviewing body according to article 51 FinSA or any Swiss regulatory authority, including the Swiss Financial Market Supervisory Authority.</w:t>
      </w:r>
    </w:p>
    <w:p>
      <w:pPr>
        <w:pStyle w:val="TextBody"/>
        <w:bidi w:val="0"/>
        <w:spacing w:lineRule="auto" w:line="271" w:before="247" w:after="283"/>
        <w:jc w:val="center"/>
        <w:rPr/>
      </w:pPr>
      <w:r>
        <w:rPr>
          <w:rFonts w:ascii="Times New Roman;sans-serif" w:hAnsi="Times New Roman;sans-serif"/>
          <w:b/>
          <w:color w:val="000000"/>
          <w:sz w:val="22"/>
          <w:u w:val="single"/>
        </w:rPr>
        <w:t>TAIWAN</w:t>
      </w:r>
      <w:r>
        <w:rPr>
          <w:color w:val="000000"/>
        </w:rPr>
        <w:t xml:space="preserve"> </w:t>
      </w:r>
    </w:p>
    <w:p>
      <w:pPr>
        <w:pStyle w:val="TextBody"/>
        <w:bidi w:val="0"/>
        <w:spacing w:lineRule="auto" w:line="271" w:before="240"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1" w:after="283"/>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 xml:space="preserve">The Employee hereby acknowledges that he or she has read and understood the terms regarding collection, processing and transfer of Data contained in paragraph 14 of the Agreement and by participating in the Plan, the Employee agrees to such terms. In this regard, upon request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1"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Company or the Employer, the Employee agrees to provide an executed data privacy consent form to the Employer or the Company (or any other agreements or consents that may be required by the Employer or the Company) that the Company and/or the Employer may deem necessary to obtain under the data privacy laws in the Employee’s country, either now or in the future. The Employee understands he or she will not be able to participate in the Plan if the Employee fails to execute any such consent or agreement.</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9"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Deferred Stock Units and the shares of Common Stock to be issued pursuant to the Plan are available only to employees of the Mondelēz Group. The grant of Deferred Stock Units does not constitute a public offer of securities.</w:t>
      </w:r>
    </w:p>
    <w:p>
      <w:pPr>
        <w:pStyle w:val="TextBody"/>
        <w:bidi w:val="0"/>
        <w:spacing w:lineRule="auto" w:line="276" w:before="238"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The Employee may acquire and remit foreign currency (including proceeds from the sale of shares of Common Stock) into Taiwan up to US$5,000,000 per year. If the transaction amount is TWD$500,000 or more in a single transaction, the Employee must submit a foreign exchange transaction form and also provide supporting documentation to the satisfaction of the remitting bank. The Employee should consult his or her personal advisor to ensure compliance with applicable exchange control laws in Taiwan.</w:t>
      </w:r>
    </w:p>
    <w:p>
      <w:pPr>
        <w:pStyle w:val="TextBody"/>
        <w:bidi w:val="0"/>
        <w:spacing w:lineRule="auto" w:line="271" w:before="246" w:after="283"/>
        <w:jc w:val="center"/>
        <w:rPr/>
      </w:pPr>
      <w:r>
        <w:rPr>
          <w:rFonts w:ascii="Times New Roman;sans-serif" w:hAnsi="Times New Roman;sans-serif"/>
          <w:b/>
          <w:color w:val="000000"/>
          <w:sz w:val="22"/>
          <w:u w:val="single"/>
        </w:rPr>
        <w:t>THAILAND</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4"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If the Employee receives proceeds from the sale of shares of Common Stock or cash dividends in relation to the shares of Common Stock in excess of US$1,000,000 in a single transaction, the Employee must immediately repatriate the funds to Thailand (or utilize such funds offshore for permissible purposes) and convert the funds to Thai Baht within 360 days of repatriation or deposit the funds in an authorized foreign exchange account in Thailand. The Employee is also required to provide details of the transaction (i.e., identification information and purpose of the transaction) to the receiving bank.</w:t>
      </w:r>
    </w:p>
    <w:p>
      <w:pPr>
        <w:pStyle w:val="TextBody"/>
        <w:bidi w:val="0"/>
        <w:spacing w:lineRule="auto" w:line="276" w:before="241"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the Employee does not repatriate such funds and utilizes them offshore for permissible purposes (i.e., purposes not listed in the negative list prescribed by the Bank of Thailand), the Employee must obtain a waiver of the repatriation requirement from a commercial bank in Thailand by submitting an application and supporting documents evidencing that such funds will be utilized offshore for permissible purposes.</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Employee should consult his or her personal advisor prior to taking any action with respect to remittance of proceeds from the sale of shares of Common Stock into Thailand. The Employee is responsible for ensuring compliance with all exchange control laws in Thailand.</w:t>
      </w:r>
    </w:p>
    <w:p>
      <w:pPr>
        <w:pStyle w:val="TextBody"/>
        <w:bidi w:val="0"/>
        <w:spacing w:lineRule="auto" w:line="271" w:before="242" w:after="283"/>
        <w:jc w:val="center"/>
        <w:rPr/>
      </w:pPr>
      <w:r>
        <w:rPr>
          <w:rFonts w:ascii="Times New Roman;sans-serif" w:hAnsi="Times New Roman;sans-serif"/>
          <w:b/>
          <w:color w:val="000000"/>
          <w:sz w:val="22"/>
          <w:u w:val="single"/>
        </w:rPr>
        <w:t>TÜRKIYE</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0"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Under Turkish law, the Employee is not permitted to sell shares of Common Stock acquired under the Plan in Turkey. The shares of Common Stock are currently traded on the Nasdaq Global Select Market, which is located outside Turkey and the shares of Common Stock may be sold through this exchange.</w:t>
      </w:r>
    </w:p>
    <w:p>
      <w:pPr>
        <w:pStyle w:val="TextBody"/>
        <w:bidi w:val="0"/>
        <w:spacing w:lineRule="auto" w:line="276" w:before="235" w:after="283"/>
        <w:jc w:val="left"/>
        <w:rPr/>
      </w:pPr>
      <w:r>
        <w:rPr>
          <w:rFonts w:ascii="Times New Roman;sans-serif" w:hAnsi="Times New Roman;sans-serif"/>
          <w:b/>
          <w:color w:val="000000"/>
          <w:sz w:val="22"/>
        </w:rPr>
        <w:t xml:space="preserve">Exchange Control Information. </w:t>
      </w:r>
      <w:r>
        <w:rPr>
          <w:rFonts w:ascii="Times New Roman;sans-serif" w:hAnsi="Times New Roman;sans-serif"/>
          <w:b w:val="false"/>
          <w:color w:val="000000"/>
          <w:sz w:val="22"/>
        </w:rPr>
        <w:t xml:space="preserve">The Employee may be required to engage a Turkish financial intermediary to assist with the sale of shares of Common Stock acquired under the Plan. To the extent a Turkish financial intermediary is required in connection with the sale of any shares of Common Stock acquired under the Plan, the Employee is solely responsible for engaging such Turkish financial intermediary. The Employee should consult his or her personal legal advisor prior to the vesting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5"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Deferred Stock Units or any sale of shares of Common Stock to ensure compliance with the current requirements.</w:t>
      </w:r>
    </w:p>
    <w:p>
      <w:pPr>
        <w:pStyle w:val="TextBody"/>
        <w:bidi w:val="0"/>
        <w:spacing w:lineRule="auto" w:line="271" w:before="247" w:after="283"/>
        <w:jc w:val="center"/>
        <w:rPr/>
      </w:pPr>
      <w:r>
        <w:rPr>
          <w:rFonts w:ascii="Times New Roman;sans-serif" w:hAnsi="Times New Roman;sans-serif"/>
          <w:b/>
          <w:color w:val="000000"/>
          <w:sz w:val="22"/>
          <w:u w:val="single"/>
        </w:rPr>
        <w:t>UKRAINE</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4" w:after="283"/>
        <w:jc w:val="left"/>
        <w:rPr/>
      </w:pPr>
      <w:r>
        <w:rPr>
          <w:rFonts w:ascii="Times New Roman;sans-serif" w:hAnsi="Times New Roman;sans-serif"/>
          <w:b/>
          <w:color w:val="000000"/>
          <w:sz w:val="22"/>
        </w:rPr>
        <w:t xml:space="preserve">Deferred Stock Units Payable Only in Cash.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Ukraine shall be paid in cash in an amount equal to the value of the shares of Common Stock on the Vesting Date.</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5"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The Employee is solely responsible for complying with applicable Ukraine exchange control regulations. Since the exchange control regulations change frequently and without notice, the Employee should consult his or her legal advisor prior to the acquisition or sale of shares of Common Stock under the Plan to ensure compliance with current regulations. As noted, it is the Employee’s responsibility to comply with the Ukraine exchange control laws, and the Mondelēz Group will not be liable for any fines or penalties resulting from the Employee ‘s failure to comply with applicable laws.</w:t>
      </w:r>
    </w:p>
    <w:p>
      <w:pPr>
        <w:pStyle w:val="TextBody"/>
        <w:bidi w:val="0"/>
        <w:spacing w:lineRule="auto" w:line="271" w:before="246"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ARAB EMIRATES</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7" w:after="283"/>
        <w:jc w:val="left"/>
        <w:rPr/>
      </w:pPr>
      <w:r>
        <w:rPr>
          <w:rFonts w:ascii="Times New Roman;sans-serif" w:hAnsi="Times New Roman;sans-serif"/>
          <w:b/>
          <w:color w:val="000000"/>
          <w:sz w:val="22"/>
        </w:rPr>
        <w:t>Securities Law Information</w:t>
      </w:r>
      <w:r>
        <w:rPr>
          <w:rFonts w:ascii="Times New Roman;sans-serif" w:hAnsi="Times New Roman;sans-serif"/>
          <w:b w:val="false"/>
          <w:color w:val="000000"/>
          <w:sz w:val="22"/>
        </w:rPr>
        <w:t>. Participation in the Plan is being offered only to selected Employees and is in the nature of providing equity incentives to Employees in the United Arab Emirates. The Plan and the Agreement are intended for distribution only to such Employees and must not be delivered to, or relied on by, any other person. Prospective purchasers of the securities offered should conduct their own due diligence on the securities.</w:t>
      </w:r>
    </w:p>
    <w:p>
      <w:pPr>
        <w:pStyle w:val="TextBody"/>
        <w:bidi w:val="0"/>
        <w:spacing w:lineRule="auto" w:line="276" w:before="239" w:after="283"/>
        <w:jc w:val="left"/>
        <w:rPr>
          <w:rFonts w:ascii="Times New Roman;sans-serif" w:hAnsi="Times New Roman;sans-serif"/>
          <w:b w:val="false"/>
          <w:color w:val="000000"/>
          <w:sz w:val="22"/>
        </w:rPr>
      </w:pPr>
      <w:r>
        <w:rPr>
          <w:rFonts w:ascii="Times New Roman;sans-serif" w:hAnsi="Times New Roman;sans-serif"/>
          <w:b w:val="false"/>
          <w:color w:val="000000"/>
          <w:sz w:val="22"/>
        </w:rPr>
        <w:t>If the Employee does not understand the contents of the Plan and the Agreement, the Employee should consult an authorized financial adviser. 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pStyle w:val="TextBody"/>
        <w:bidi w:val="0"/>
        <w:spacing w:lineRule="auto" w:line="271" w:before="241"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KINGDOM (“U.K.”)</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1" w:after="283"/>
        <w:jc w:val="left"/>
        <w:rPr/>
      </w:pPr>
      <w:r>
        <w:rPr>
          <w:rFonts w:ascii="Times New Roman;sans-serif" w:hAnsi="Times New Roman;sans-serif"/>
          <w:b/>
          <w:color w:val="000000"/>
          <w:sz w:val="22"/>
        </w:rPr>
        <w:t xml:space="preserve">Withholding Taxes. </w:t>
      </w:r>
      <w:r>
        <w:rPr>
          <w:rFonts w:ascii="Times New Roman;sans-serif" w:hAnsi="Times New Roman;sans-serif"/>
          <w:b w:val="false"/>
          <w:color w:val="000000"/>
          <w:sz w:val="22"/>
        </w:rPr>
        <w:t>The following provision supplements paragraph 5 of the Agreement:</w:t>
      </w:r>
    </w:p>
    <w:p>
      <w:pPr>
        <w:pStyle w:val="TextBody"/>
        <w:bidi w:val="0"/>
        <w:spacing w:lineRule="auto" w:line="276" w:before="235" w:after="283"/>
        <w:jc w:val="left"/>
        <w:rPr/>
      </w:pPr>
      <w:r>
        <w:rPr>
          <w:rFonts w:ascii="Times New Roman;sans-serif" w:hAnsi="Times New Roman;sans-serif"/>
          <w:b w:val="false"/>
          <w:color w:val="000000"/>
          <w:sz w:val="22"/>
        </w:rPr>
        <w:t>Without limitation to paragraph 5 of the Agreement, the Employee hereby agrees that he or she is liable for all Tax-Related Items and hereby covenants to pay all such Tax-Related Items, as and when requested by the Company or the Employer, as applicable, or by HM Revenue &amp; Customs (“</w:t>
      </w:r>
      <w:r>
        <w:rPr>
          <w:rFonts w:ascii="Times New Roman;sans-serif" w:hAnsi="Times New Roman;sans-serif"/>
          <w:b w:val="false"/>
          <w:color w:val="000000"/>
          <w:sz w:val="22"/>
          <w:u w:val="single"/>
        </w:rPr>
        <w:t>HMRC</w:t>
      </w:r>
      <w:r>
        <w:rPr>
          <w:color w:val="000000"/>
        </w:rPr>
        <w:t>”</w:t>
      </w:r>
      <w:r>
        <w:rPr>
          <w:rFonts w:ascii="Times New Roman;sans-serif" w:hAnsi="Times New Roman;sans-serif"/>
          <w:b w:val="false"/>
          <w:color w:val="000000"/>
          <w:sz w:val="22"/>
        </w:rPr>
        <w:t>) (or any other tax authority or any other relevant authority). The Employee also hereby agrees to indemnify and keep indemnified the Company and the Employer, as applicable, against any Tax-Related Items that they are required to pay or withhold or have paid or will pay to HMRC (or any other tax authority or any other relevant authority) on the Employee’s behalf.</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Notwithstanding the foregoing, if the Employee is a director or executive officer of the Company (within the meaning of Section 13(k) of the Exchange Act), the Employee understands that he or she may not be </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left"/>
        <w:rPr/>
      </w:pPr>
      <w:r>
        <w:rPr>
          <w:rFonts w:ascii="Times New Roman;sans-serif" w:hAnsi="Times New Roman;sans-serif"/>
          <w:b w:val="false"/>
          <w:color w:val="000000"/>
          <w:sz w:val="22"/>
        </w:rPr>
        <w:t>able to indemnify the Company for the amount of any Tax-Related Items not collected from or paid by the Employee, in case the indemnification could be considered to be a loan. In this case, the Tax-Related Items not collected or paid may constitute a benefit to the Employee on which additional income tax and National Insurance Contributions (“</w:t>
      </w:r>
      <w:r>
        <w:rPr>
          <w:rFonts w:ascii="Times New Roman;sans-serif" w:hAnsi="Times New Roman;sans-serif"/>
          <w:b w:val="false"/>
          <w:color w:val="000000"/>
          <w:sz w:val="22"/>
          <w:u w:val="single"/>
        </w:rPr>
        <w:t>NICs</w:t>
      </w:r>
      <w:r>
        <w:rPr>
          <w:color w:val="000000"/>
        </w:rPr>
        <w:t>”</w:t>
      </w:r>
      <w:r>
        <w:rPr>
          <w:rFonts w:ascii="Times New Roman;sans-serif" w:hAnsi="Times New Roman;sans-serif"/>
          <w:b w:val="false"/>
          <w:color w:val="000000"/>
          <w:sz w:val="22"/>
        </w:rPr>
        <w:t>) may be payable. The Employee understands that he or she will be responsible for reporting and paying any income tax due on this additional benefit directly to HMRC under the self-assessment regime and for paying to the Company and/or the Employer (as appropriate) the amount of any NICs due on this additional benefit, which may also be recovered from the Employee by any of the means referred to in paragraph 5 of the Agreement.</w:t>
      </w:r>
    </w:p>
    <w:p>
      <w:pPr>
        <w:pStyle w:val="TextBody"/>
        <w:bidi w:val="0"/>
        <w:spacing w:lineRule="auto" w:line="276"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 addition, the Employee agrees that the Company and/or the Employer may calculate the Tax-Related Items to be withheld and accounted for by reference to the maximum applicable rates, without prejudice to any right the Employee may have to recover any overpayment from the relevant tax authorities.</w:t>
      </w:r>
    </w:p>
    <w:p>
      <w:pPr>
        <w:pStyle w:val="TextBody"/>
        <w:bidi w:val="0"/>
        <w:spacing w:lineRule="auto" w:line="271" w:before="242" w:after="283"/>
        <w:jc w:val="center"/>
        <w:rPr>
          <w:rFonts w:ascii="Times New Roman;sans-serif" w:hAnsi="Times New Roman;sans-serif"/>
          <w:b/>
          <w:color w:val="000000"/>
          <w:sz w:val="22"/>
          <w:u w:val="single"/>
        </w:rPr>
      </w:pPr>
      <w:r>
        <w:rPr>
          <w:rFonts w:ascii="Times New Roman;sans-serif" w:hAnsi="Times New Roman;sans-serif"/>
          <w:b/>
          <w:color w:val="000000"/>
          <w:sz w:val="22"/>
          <w:u w:val="single"/>
        </w:rPr>
        <w:t>UNITED STATES</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46" w:after="283"/>
        <w:jc w:val="left"/>
        <w:rPr/>
      </w:pPr>
      <w:r>
        <w:rPr>
          <w:rFonts w:ascii="Times New Roman;sans-serif" w:hAnsi="Times New Roman;sans-serif"/>
          <w:b/>
          <w:color w:val="000000"/>
          <w:sz w:val="22"/>
        </w:rPr>
        <w:t>Data Privacy Terms</w:t>
      </w:r>
      <w:r>
        <w:rPr>
          <w:rFonts w:ascii="Times New Roman;sans-serif" w:hAnsi="Times New Roman;sans-serif"/>
          <w:b w:val="false"/>
          <w:color w:val="000000"/>
          <w:sz w:val="22"/>
        </w:rPr>
        <w:t>. This provision supplements paragraph 14 of the Agreement:</w:t>
      </w:r>
    </w:p>
    <w:p>
      <w:pPr>
        <w:pStyle w:val="TextBody"/>
        <w:bidi w:val="0"/>
        <w:spacing w:lineRule="auto" w:line="276" w:before="252" w:after="283"/>
        <w:jc w:val="left"/>
        <w:rPr>
          <w:rFonts w:ascii="Times New Roman;sans-serif" w:hAnsi="Times New Roman;sans-serif"/>
          <w:b w:val="false"/>
          <w:color w:val="000000"/>
          <w:sz w:val="22"/>
        </w:rPr>
      </w:pPr>
      <w:r>
        <w:rPr>
          <w:rFonts w:ascii="Times New Roman;sans-serif" w:hAnsi="Times New Roman;sans-serif"/>
          <w:b w:val="false"/>
          <w:color w:val="000000"/>
          <w:sz w:val="22"/>
        </w:rPr>
        <w:t>Pursuant to applicable data protection laws, the Employee is hereby notified that the Company collects, processes, uses and transfers certain personally-identifiable information about the Employee for the exclusive legitimate purpose of administering the Plan and implementing, administering and managing your participation in the Plan. For California residents, the categories of personal,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Company does not sell the Employee's Personal Data or share it for cross-context behavioral advertising. If the Employee would like a copy of the Company’s privacy policy, please contact a local human resources representative.</w:t>
      </w:r>
    </w:p>
    <w:p>
      <w:pPr>
        <w:pStyle w:val="TextBody"/>
        <w:bidi w:val="0"/>
        <w:spacing w:lineRule="auto" w:line="271" w:before="243"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41" w:after="283"/>
        <w:jc w:val="left"/>
        <w:rPr/>
      </w:pPr>
      <w:r>
        <w:rPr>
          <w:rFonts w:ascii="Times New Roman;sans-serif" w:hAnsi="Times New Roman;sans-serif"/>
          <w:b/>
          <w:color w:val="000000"/>
          <w:sz w:val="22"/>
        </w:rPr>
        <w:t>Foreign Asset/Accounting Reporting Information</w:t>
      </w:r>
      <w:r>
        <w:rPr>
          <w:rFonts w:ascii="Times New Roman;sans-serif" w:hAnsi="Times New Roman;sans-serif"/>
          <w:b w:val="false"/>
          <w:color w:val="000000"/>
          <w:sz w:val="22"/>
        </w:rPr>
        <w:t>. If the Employee holds assets (</w:t>
      </w:r>
      <w:r>
        <w:rPr>
          <w:rFonts w:ascii="Times New Roman;sans-serif" w:hAnsi="Times New Roman;sans-serif"/>
          <w:b w:val="false"/>
          <w:i/>
          <w:color w:val="000000"/>
          <w:sz w:val="22"/>
        </w:rPr>
        <w:t>i.e</w:t>
      </w:r>
      <w:r>
        <w:rPr>
          <w:rFonts w:ascii="Times New Roman;sans-serif" w:hAnsi="Times New Roman;sans-serif"/>
          <w:b w:val="false"/>
          <w:color w:val="000000"/>
          <w:sz w:val="22"/>
        </w:rPr>
        <w:t>., Deferred Stock Units or Common Stock) or other financial assets in an account outside the United States and the aggregate amount of said assets is US$10,000 or more, the Employee is required to submit a report of Foreign Bank and Financial Account with the United States Internal Revenue Service by June 30 of the year following the year in which the assets in the Employee’s account meet the US$10,000 threshold.</w:t>
      </w:r>
    </w:p>
    <w:p>
      <w:pPr>
        <w:pStyle w:val="TextBody"/>
        <w:bidi w:val="0"/>
        <w:spacing w:lineRule="auto" w:line="271" w:before="241" w:after="283"/>
        <w:jc w:val="center"/>
        <w:rPr/>
      </w:pPr>
      <w:r>
        <w:rPr>
          <w:rFonts w:ascii="Times New Roman;sans-serif" w:hAnsi="Times New Roman;sans-serif"/>
          <w:b/>
          <w:color w:val="000000"/>
          <w:sz w:val="22"/>
          <w:u w:val="single"/>
        </w:rPr>
        <w:t>URUGUAY</w:t>
      </w:r>
      <w:r>
        <w:rPr>
          <w:color w:val="000000"/>
        </w:rPr>
        <w:t xml:space="preserve"> </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283"/>
        <w:jc w:val="left"/>
        <w:rPr/>
      </w:pPr>
      <w:r>
        <w:rPr>
          <w:rFonts w:ascii="Times New Roman;sans-serif" w:hAnsi="Times New Roman;sans-serif"/>
          <w:b/>
          <w:color w:val="000000"/>
          <w:sz w:val="22"/>
        </w:rPr>
        <w:t xml:space="preserve">Data Privacy Consent. </w:t>
      </w:r>
      <w:r>
        <w:rPr>
          <w:rFonts w:ascii="Times New Roman;sans-serif" w:hAnsi="Times New Roman;sans-serif"/>
          <w:b w:val="false"/>
          <w:color w:val="000000"/>
          <w:sz w:val="22"/>
        </w:rPr>
        <w:t>The Employee understands that the Data will be collected by the Employer and will be transferred to the Company at 905 West Fulton Market, Suite 200, Chicago, Illinois 60607, U.S.A. and/or any financial institutions or brokers involved in the management and administration of the Plan. The Employee further understands that any of these entities may store the Data for purposes of administering the Employee’s participation in the Plan.</w:t>
      </w:r>
    </w:p>
    <w:p>
      <w:pPr>
        <w:pStyle w:val="TextBody"/>
        <w:bidi w:val="0"/>
        <w:spacing w:lineRule="auto" w:line="271" w:before="247" w:after="283"/>
        <w:jc w:val="center"/>
        <w:rPr/>
      </w:pPr>
      <w:r>
        <w:rPr>
          <w:rFonts w:ascii="Times New Roman;sans-serif" w:hAnsi="Times New Roman;sans-serif"/>
          <w:b/>
          <w:color w:val="000000"/>
          <w:sz w:val="22"/>
          <w:u w:val="single"/>
        </w:rPr>
        <w:t>VENEZUELA</w:t>
      </w:r>
      <w:r>
        <w:rPr>
          <w:color w:val="000000"/>
        </w:rPr>
        <w:t xml:space="preserve"> </w:t>
      </w:r>
    </w:p>
    <w:p>
      <w:pPr>
        <w:pStyle w:val="TextBody"/>
        <w:bidi w:val="0"/>
        <w:spacing w:lineRule="auto" w:line="271" w:before="245"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4" w:after="283"/>
        <w:jc w:val="left"/>
        <w:rPr/>
      </w:pPr>
      <w:r>
        <w:rPr>
          <w:rFonts w:ascii="Times New Roman;sans-serif" w:hAnsi="Times New Roman;sans-serif"/>
          <w:b/>
          <w:color w:val="000000"/>
          <w:sz w:val="22"/>
        </w:rPr>
        <w:t xml:space="preserve">Investment Representation. </w:t>
      </w:r>
      <w:r>
        <w:rPr>
          <w:rFonts w:ascii="Times New Roman;sans-serif" w:hAnsi="Times New Roman;sans-serif"/>
          <w:b w:val="false"/>
          <w:color w:val="000000"/>
          <w:sz w:val="22"/>
        </w:rPr>
        <w:t>As a condition of the grant of the Deferred Stock Units, the Employee acknowledges and agrees that any shares of Common Stock the Employee may acquire upon the settlement of the Deferred Stock Units are acquired as and intended to be an investment rather than for the resale of the shares of Common Stock and conversion of shares into foreign currency.</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34" w:after="283"/>
        <w:jc w:val="left"/>
        <w:rPr/>
      </w:pPr>
      <w:r>
        <w:rPr>
          <w:rFonts w:ascii="Times New Roman;sans-serif" w:hAnsi="Times New Roman;sans-serif"/>
          <w:b/>
          <w:color w:val="000000"/>
          <w:sz w:val="22"/>
        </w:rPr>
        <w:t>Exchange Control Information</w:t>
      </w:r>
      <w:r>
        <w:rPr>
          <w:rFonts w:ascii="Times New Roman;sans-serif" w:hAnsi="Times New Roman;sans-serif"/>
          <w:b w:val="false"/>
          <w:color w:val="000000"/>
          <w:sz w:val="22"/>
        </w:rPr>
        <w:t>. Exchange control restrictions may limit the ability to vest in the Deferred Stock Units or remit funds into Venezuela following the receipt of the cash proceeds from the sale of shares of Common Stock acquired upon settlement of the Deferred Stock Units under the Plan. The Company reserves the right to further restrict the settlement of the Deferred Stock Units, or to amend or cancel the Deferred Stock Units at any time, in order to comply with the applicable exchange control laws in Venezuela. The Employee is responsible for complying with exchange control laws in Venezuela and neither the Company nor the Employer will be liable for any fines or penalties resulting from the Employee’s failure to comply with applicable laws. Because exchange control laws and regulations change frequently and without notice, the Employee should consult with his or her personal legal advisor before accepting the Deferred Stock Units to ensure compliance with current regulations.</w:t>
      </w:r>
    </w:p>
    <w:p>
      <w:pPr>
        <w:pStyle w:val="TextBody"/>
        <w:bidi w:val="0"/>
        <w:spacing w:lineRule="auto" w:line="271" w:before="246" w:after="283"/>
        <w:jc w:val="left"/>
        <w:rPr>
          <w:rFonts w:ascii="Times New Roman;sans-serif" w:hAnsi="Times New Roman;sans-serif"/>
          <w:b/>
          <w:i/>
          <w:color w:val="000000"/>
          <w:sz w:val="22"/>
        </w:rPr>
      </w:pPr>
      <w:r>
        <w:rPr>
          <w:rFonts w:ascii="Times New Roman;sans-serif" w:hAnsi="Times New Roman;sans-serif"/>
          <w:b/>
          <w:i/>
          <w:color w:val="000000"/>
          <w:sz w:val="22"/>
        </w:rPr>
        <w:t>NOTIFICATIONS</w:t>
      </w:r>
    </w:p>
    <w:p>
      <w:pPr>
        <w:pStyle w:val="TextBody"/>
        <w:bidi w:val="0"/>
        <w:spacing w:lineRule="auto" w:line="276" w:before="238" w:after="283"/>
        <w:jc w:val="left"/>
        <w:rPr/>
      </w:pPr>
      <w:r>
        <w:rPr>
          <w:rFonts w:ascii="Times New Roman;sans-serif" w:hAnsi="Times New Roman;sans-serif"/>
          <w:b/>
          <w:color w:val="000000"/>
          <w:sz w:val="22"/>
        </w:rPr>
        <w:t xml:space="preserve">Securities Law Information. </w:t>
      </w:r>
      <w:r>
        <w:rPr>
          <w:rFonts w:ascii="Times New Roman;sans-serif" w:hAnsi="Times New Roman;sans-serif"/>
          <w:b w:val="false"/>
          <w:color w:val="000000"/>
          <w:sz w:val="22"/>
        </w:rPr>
        <w:t>The Deferred Stock Units granted under the Plan and the shares of Common Stock issued under the Plan are offered as a personal, private, exclusive transaction and are not subject to Venezuelan government securities regulations. The Deferred Stock Units granted under the Plan does not qualify as a public offering under the laws of the Bolivarian Republic of Venezuela and, therefore, it is not required to request the previous authorization of the National Superintendent of Securities.</w:t>
      </w:r>
    </w:p>
    <w:p>
      <w:pPr>
        <w:pStyle w:val="TextBody"/>
        <w:bidi w:val="0"/>
        <w:spacing w:lineRule="auto" w:line="271" w:before="246" w:after="283"/>
        <w:jc w:val="center"/>
        <w:rPr/>
      </w:pPr>
      <w:r>
        <w:rPr>
          <w:rFonts w:ascii="Times New Roman;sans-serif" w:hAnsi="Times New Roman;sans-serif"/>
          <w:b/>
          <w:color w:val="000000"/>
          <w:sz w:val="22"/>
          <w:u w:val="single"/>
        </w:rPr>
        <w:t>VIETNAM</w:t>
      </w:r>
      <w:r>
        <w:rPr>
          <w:color w:val="000000"/>
        </w:rPr>
        <w:t xml:space="preserve"> </w:t>
      </w:r>
    </w:p>
    <w:p>
      <w:pPr>
        <w:pStyle w:val="TextBody"/>
        <w:bidi w:val="0"/>
        <w:spacing w:lineRule="auto" w:line="271" w:before="241" w:after="283"/>
        <w:jc w:val="left"/>
        <w:rPr>
          <w:rFonts w:ascii="Times New Roman;sans-serif" w:hAnsi="Times New Roman;sans-serif"/>
          <w:b/>
          <w:i/>
          <w:color w:val="000000"/>
          <w:sz w:val="22"/>
        </w:rPr>
      </w:pPr>
      <w:r>
        <w:rPr>
          <w:rFonts w:ascii="Times New Roman;sans-serif" w:hAnsi="Times New Roman;sans-serif"/>
          <w:b/>
          <w:i/>
          <w:color w:val="000000"/>
          <w:sz w:val="22"/>
        </w:rPr>
        <w:t>TERMS AND CONDITIONS</w:t>
      </w:r>
    </w:p>
    <w:p>
      <w:pPr>
        <w:pStyle w:val="TextBody"/>
        <w:bidi w:val="0"/>
        <w:spacing w:lineRule="auto" w:line="276" w:before="236" w:after="5987"/>
        <w:jc w:val="left"/>
        <w:rPr/>
      </w:pPr>
      <w:r>
        <w:rPr>
          <w:rFonts w:ascii="Times New Roman;sans-serif" w:hAnsi="Times New Roman;sans-serif"/>
          <w:b/>
          <w:color w:val="000000"/>
          <w:sz w:val="22"/>
        </w:rPr>
        <w:t xml:space="preserve">Deferred Stock Units Payable Only in Cash. </w:t>
      </w:r>
      <w:r>
        <w:rPr>
          <w:rFonts w:ascii="Times New Roman;sans-serif" w:hAnsi="Times New Roman;sans-serif"/>
          <w:b w:val="false"/>
          <w:color w:val="000000"/>
          <w:sz w:val="22"/>
        </w:rPr>
        <w:t>Notwithstanding any discretion in the Plan or anything to the contrary in the Agreement (including paragraph 7 of the Agreement), the grant of Deferred Stock Units does not provide any right for the Employee to receive shares of Common Stock upon the Vesting Date. Deferred Stock Units granted to Employees in Vietnam shall be paid in cash in an amount equal to the value of the shares of Common Stock on the Vesting Date less any Tax-Related Items.</w:t>
      </w:r>
    </w:p>
    <w:p>
      <w:pPr>
        <w:pStyle w:val="TextBody"/>
        <w:bidi w:val="0"/>
        <w:spacing w:before="4"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 w:name="Garamond">
    <w:altName w:val="serif"/>
    <w:charset w:val="01"/>
    <w:family w:val="auto"/>
    <w:pitch w:val="default"/>
  </w:font>
  <w:font w:name="Calibri">
    <w:altName w:val="sans-serif"/>
    <w:charset w:val="01"/>
    <w:family w:val="auto"/>
    <w:pitch w:val="default"/>
  </w:font>
  <w:font w:name="Bookman Old Style">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hyperlink" Target="https://www.sec.gov/Archives/edgar/data/1103982/000110398224000027/ex_101.htm" TargetMode="External"/><Relationship Id="rId100" Type="http://schemas.openxmlformats.org/officeDocument/2006/relationships/hyperlink" Target="https://www.sec.gov/Archives/edgar/data/1103982/000110398224000027/ex_101.htm" TargetMode="External"/><Relationship Id="rId101" Type="http://schemas.openxmlformats.org/officeDocument/2006/relationships/hyperlink" Target="https://www.sec.gov/Archives/edgar/data/1103982/000110398224000027/ex_101.htm" TargetMode="External"/><Relationship Id="rId102" Type="http://schemas.openxmlformats.org/officeDocument/2006/relationships/hyperlink" Target="https://www.sec.gov/Archives/edgar/data/1103982/000110398224000027/ex_101.htm" TargetMode="External"/><Relationship Id="rId103" Type="http://schemas.openxmlformats.org/officeDocument/2006/relationships/hyperlink" Target="https://www.sec.gov/Archives/edgar/data/1103982/000110398224000027/ex_101.htm" TargetMode="External"/><Relationship Id="rId104" Type="http://schemas.openxmlformats.org/officeDocument/2006/relationships/hyperlink" Target="https://www.sec.gov/Archives/edgar/data/1103982/000110398224000027/ex_101.htm" TargetMode="External"/><Relationship Id="rId105" Type="http://schemas.openxmlformats.org/officeDocument/2006/relationships/hyperlink" Target="https://www.sec.gov/Archives/edgar/data/1103982/000110398224000027/ex_101.htm" TargetMode="External"/><Relationship Id="rId106" Type="http://schemas.openxmlformats.org/officeDocument/2006/relationships/hyperlink" Target="https://www.sec.gov/Archives/edgar/data/1103982/000110398224000027/ex_101.htm" TargetMode="External"/><Relationship Id="rId107" Type="http://schemas.openxmlformats.org/officeDocument/2006/relationships/hyperlink" Target="https://www.sec.gov/Archives/edgar/data/1103982/000110398224000027/ex_101.htm" TargetMode="External"/><Relationship Id="rId108" Type="http://schemas.openxmlformats.org/officeDocument/2006/relationships/hyperlink" Target="https://www.sec.gov/Archives/edgar/data/1103982/000110398224000027/ex_101.htm" TargetMode="External"/><Relationship Id="rId109" Type="http://schemas.openxmlformats.org/officeDocument/2006/relationships/hyperlink" Target="https://www.sec.gov/Archives/edgar/data/1103982/000110398224000027/ex_101.htm" TargetMode="External"/><Relationship Id="rId110" Type="http://schemas.openxmlformats.org/officeDocument/2006/relationships/hyperlink" Target="https://www.sec.gov/Archives/edgar/data/1103982/000110398224000027/ex_101.htm" TargetMode="External"/><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fontTable" Target="fontTable.xml"/><Relationship Id="rId1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149</Pages>
  <Words>102577</Words>
  <Characters>559887</Characters>
  <CharactersWithSpaces>659620</CharactersWithSpaces>
  <Paragraphs>4746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